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D1F3C"/>
          <w:sz w:val="28"/>
          <w:szCs w:val="28"/>
        </w:rPr>
        <w:t xml:space="preserve">DISEÑO Y SOSTENIBILIDAD DE ORGANISMOS ANTICORRUPCIÓN AUTÓNOMOS</w:t>
      </w:r>
    </w:p>
    <w:p>
      <w:pPr>
        <w:spacing w:after="240" w:before="0"/>
        <w:jc w:val="center"/>
      </w:pPr>
      <w:r>
        <w:rPr>
          <w:rFonts w:ascii="Arial" w:cs="Arial" w:eastAsia="Arial" w:hAnsi="Arial"/>
          <w:i/>
          <w:iCs/>
          <w:color w:val="2E5FA3"/>
          <w:sz w:val="24"/>
          <w:szCs w:val="24"/>
        </w:rPr>
        <w:t xml:space="preserve">Lecciones comparadas para América Latina y propuesta para Ecuador</w:t>
      </w:r>
    </w:p>
    <w:p>
      <w:pPr>
        <w:spacing w:after="160" w:before="0"/>
      </w:pPr>
      <w:r>
        <w:rPr>
          <w:sz w:val="22"/>
          <w:szCs w:val="22"/>
        </w:rPr>
        <w:t xml:space="preserve"/>
      </w:r>
    </w:p>
    <w:p>
      <w:pPr>
        <w:spacing w:after="60" w:before="0"/>
        <w:jc w:val="center"/>
      </w:pPr>
      <w:r>
        <w:rPr>
          <w:rFonts w:ascii="Arial" w:cs="Arial" w:eastAsia="Arial" w:hAnsi="Arial"/>
          <w:b/>
          <w:bCs/>
          <w:color w:val="222222"/>
          <w:sz w:val="24"/>
          <w:szCs w:val="24"/>
        </w:rPr>
        <w:t xml:space="preserve">Adonis Manuel Loor Anchundia</w:t>
      </w:r>
    </w:p>
    <w:p>
      <w:pPr>
        <w:spacing w:after="40" w:before="0"/>
        <w:jc w:val="center"/>
      </w:pPr>
      <w:r>
        <w:rPr>
          <w:rFonts w:ascii="Times New Roman" w:cs="Times New Roman" w:eastAsia="Times New Roman" w:hAnsi="Times New Roman"/>
          <w:i/>
          <w:iCs/>
          <w:color w:val="444444"/>
          <w:sz w:val="20"/>
          <w:szCs w:val="20"/>
        </w:rPr>
        <w:t xml:space="preserve">Docente — Unidad Educativa Capitán Edmundo Chiriboga</w:t>
      </w:r>
    </w:p>
    <w:p>
      <w:pPr>
        <w:spacing w:after="40" w:before="0"/>
        <w:jc w:val="center"/>
      </w:pPr>
      <w:r>
        <w:rPr>
          <w:rFonts w:ascii="Times New Roman" w:cs="Times New Roman" w:eastAsia="Times New Roman" w:hAnsi="Times New Roman"/>
          <w:i/>
          <w:iCs/>
          <w:color w:val="444444"/>
          <w:sz w:val="20"/>
          <w:szCs w:val="20"/>
        </w:rPr>
        <w:t xml:space="preserve">Calceta, Manabí, Ecuador</w:t>
      </w:r>
    </w:p>
    <w:p>
      <w:pPr>
        <w:spacing w:after="240" w:before="0"/>
        <w:jc w:val="center"/>
      </w:pPr>
      <w:r>
        <w:rPr>
          <w:rFonts w:ascii="Times New Roman" w:cs="Times New Roman" w:eastAsia="Times New Roman" w:hAnsi="Times New Roman"/>
          <w:color w:val="666666"/>
          <w:sz w:val="18"/>
          <w:szCs w:val="18"/>
        </w:rPr>
        <w:t xml:space="preserve">Correspondencia: [correo del autor]</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F3C" w:sz="6"/>
              <w:left w:val="none" w:color="FFFFFF" w:sz="0" w:space="0"/>
              <w:bottom w:val="single" w:color="0D1F3C" w:sz="6"/>
              <w:right w:val="none" w:color="FFFFFF" w:sz="0" w:space="0"/>
            </w:tcBorders>
            <w:shd w:fill="F4F5F7" w:val="clear"/>
            <w:tcMar>
              <w:top w:type="dxa" w:w="180"/>
              <w:left w:type="dxa" w:w="360"/>
              <w:bottom w:type="dxa" w:w="180"/>
              <w:right w:type="dxa" w:w="360"/>
            </w:tcMar>
          </w:tcPr>
          <w:p>
            <w:pPr>
              <w:spacing w:after="80" w:before="0"/>
            </w:pPr>
            <w:r>
              <w:rPr>
                <w:rFonts w:ascii="Arial" w:cs="Arial" w:eastAsia="Arial" w:hAnsi="Arial"/>
                <w:b/>
                <w:bCs/>
                <w:color w:val="0D1F3C"/>
                <w:sz w:val="22"/>
                <w:szCs w:val="22"/>
              </w:rPr>
              <w:t xml:space="preserve">Resumen</w:t>
            </w:r>
          </w:p>
          <w:p>
            <w:pPr>
              <w:spacing w:after="80" w:before="0" w:line="320" w:lineRule="auto"/>
              <w:jc w:val="both"/>
            </w:pPr>
            <w:r>
              <w:rPr>
                <w:rFonts w:ascii="Times New Roman" w:cs="Times New Roman" w:eastAsia="Times New Roman" w:hAnsi="Times New Roman"/>
                <w:sz w:val="20"/>
                <w:szCs w:val="20"/>
              </w:rPr>
              <w:t xml:space="preserve">El presente artículo analiza los factores que determinan la autonomía real y la sostenibilidad institucional de los organismos especializados en la lucha contra la corrupción, con énfasis en las implicaciones para el diseño de tales organismos en América Latina. A través del análisis comparado del Corrupt Practices Investigation Bureau (CPIB) de Singapur, la Independent Commission Against Corruption (ICAC) de Hong Kong, el Serious Fraud Office (SFO) de Nueva Zelanda y el Ombudsman de Nueva Zelanda y Dinamarca, el artículo identifica cinco dimensiones críticas que distinguen a los organismos con autonomía real de aquellos con independencia meramente formal: el mecanismo de selección de sus directivos, la protección constitucional de su presupuesto, los circuitos de control cruzado que evitan la interferencia política, los mecanismos de rendición de cuentas ciudadana y los vínculos internacionales que generan costos reputacionales ante intentos de captura. Con base en este análisis se proponen los principios de diseño del directorio autónomo del Sistema Nacional de Integridad Pública (SNIP) para Ecuador, argumentando que la autonomía institucional no es un atributo que se declara sino una arquitectura que se construye deliberadamente.</w:t>
            </w:r>
          </w:p>
          <w:p>
            <w:pPr>
              <w:spacing w:after="0" w:before="60"/>
            </w:pPr>
            <w:r>
              <w:rPr>
                <w:rFonts w:ascii="Times New Roman" w:cs="Times New Roman" w:eastAsia="Times New Roman" w:hAnsi="Times New Roman"/>
                <w:b/>
                <w:bCs/>
                <w:color w:val="0D1F3C"/>
                <w:sz w:val="20"/>
                <w:szCs w:val="20"/>
              </w:rPr>
              <w:t xml:space="preserve">Palabras clave: </w:t>
            </w:r>
            <w:r>
              <w:rPr>
                <w:rFonts w:ascii="Times New Roman" w:cs="Times New Roman" w:eastAsia="Times New Roman" w:hAnsi="Times New Roman"/>
                <w:sz w:val="20"/>
                <w:szCs w:val="20"/>
              </w:rPr>
              <w:t xml:space="preserve">organismos anticorrupción; autonomía institucional; captura del Estado; América Latina; Ecuador; SNIP; diseño institucional; sostenibilidad</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F3C" w:sz="6"/>
              <w:left w:val="none" w:color="FFFFFF" w:sz="0" w:space="0"/>
              <w:bottom w:val="single" w:color="0D1F3C" w:sz="6"/>
              <w:right w:val="none" w:color="FFFFFF" w:sz="0" w:space="0"/>
            </w:tcBorders>
            <w:shd w:fill="F4F5F7" w:val="clear"/>
            <w:tcMar>
              <w:top w:type="dxa" w:w="180"/>
              <w:left w:type="dxa" w:w="360"/>
              <w:bottom w:type="dxa" w:w="180"/>
              <w:right w:type="dxa" w:w="360"/>
            </w:tcMar>
          </w:tcPr>
          <w:p>
            <w:pPr>
              <w:spacing w:after="80" w:before="0"/>
            </w:pPr>
            <w:r>
              <w:rPr>
                <w:rFonts w:ascii="Arial" w:cs="Arial" w:eastAsia="Arial" w:hAnsi="Arial"/>
                <w:b/>
                <w:bCs/>
                <w:color w:val="0D1F3C"/>
                <w:sz w:val="22"/>
                <w:szCs w:val="22"/>
              </w:rPr>
              <w:t xml:space="preserve">Abstract</w:t>
            </w:r>
          </w:p>
          <w:p>
            <w:pPr>
              <w:spacing w:after="80" w:before="0" w:line="320" w:lineRule="auto"/>
              <w:jc w:val="both"/>
            </w:pPr>
            <w:r>
              <w:rPr>
                <w:rFonts w:ascii="Times New Roman" w:cs="Times New Roman" w:eastAsia="Times New Roman" w:hAnsi="Times New Roman"/>
                <w:i/>
                <w:iCs/>
                <w:sz w:val="20"/>
                <w:szCs w:val="20"/>
              </w:rPr>
              <w:t xml:space="preserve">This article analyzes the factors that determine the real autonomy and institutional sustainability of specialized anti-corruption bodies, with emphasis on the implications for designing such organizations in Latin America. Through comparative analysis of Singapore's Corrupt Practices Investigation Bureau (CPIB), Hong Kong's Independent Commission Against Corruption (ICAC), New Zealand's Serious Fraud Office (SFO) and Ombudsman, and Denmark's Ombudsman, the article identifies five critical dimensions that distinguish bodies with real autonomy from those with merely formal independence: the mechanism for selecting their directors, constitutional protection of their budget, cross-control circuits that prevent political interference, citizen accountability mechanisms, and international linkages that generate reputational costs against capture attempts. Based on this analysis, the article proposes the design principles for the autonomous directorate of Ecuador's proposed National Public Integrity System (SNIP), arguing that institutional autonomy is not an attribute that is declared but an architecture that is deliberately constructed.</w:t>
            </w:r>
          </w:p>
          <w:p>
            <w:pPr>
              <w:spacing w:after="0" w:before="60"/>
            </w:pPr>
            <w:r>
              <w:rPr>
                <w:rFonts w:ascii="Times New Roman" w:cs="Times New Roman" w:eastAsia="Times New Roman" w:hAnsi="Times New Roman"/>
                <w:b/>
                <w:bCs/>
                <w:i/>
                <w:iCs/>
                <w:color w:val="0D1F3C"/>
                <w:sz w:val="20"/>
                <w:szCs w:val="20"/>
              </w:rPr>
              <w:t xml:space="preserve">Keywords: </w:t>
            </w:r>
            <w:r>
              <w:rPr>
                <w:rFonts w:ascii="Times New Roman" w:cs="Times New Roman" w:eastAsia="Times New Roman" w:hAnsi="Times New Roman"/>
                <w:i/>
                <w:iCs/>
                <w:sz w:val="20"/>
                <w:szCs w:val="20"/>
              </w:rPr>
              <w:t xml:space="preserve">anti-corruption agencies; institutional autonomy; state capture; Latin America; Ecuador; SNIP; institutional design; sustainability</w:t>
            </w:r>
          </w:p>
        </w:tc>
      </w:tr>
    </w:tbl>
    <w:p>
      <w:r>
        <w:br w:type="page"/>
      </w:r>
    </w:p>
    <w:p>
      <w:pPr>
        <w:pStyle w:val="Heading1"/>
        <w:spacing w:after="200" w:before="400"/>
      </w:pPr>
      <w:r>
        <w:rPr>
          <w:rFonts w:ascii="Arial" w:cs="Arial" w:eastAsia="Arial" w:hAnsi="Arial"/>
          <w:b/>
          <w:bCs/>
          <w:caps/>
          <w:color w:val="0D1F3C"/>
          <w:sz w:val="28"/>
          <w:szCs w:val="28"/>
        </w:rPr>
        <w:t xml:space="preserve">1. Introducción</w:t>
      </w:r>
    </w:p>
    <w:p>
      <w:pPr>
        <w:spacing w:after="180" w:before="0" w:line="360" w:lineRule="auto"/>
        <w:jc w:val="both"/>
      </w:pPr>
      <w:r>
        <w:rPr>
          <w:rFonts w:ascii="Times New Roman" w:cs="Times New Roman" w:eastAsia="Times New Roman" w:hAnsi="Times New Roman"/>
          <w:sz w:val="22"/>
          <w:szCs w:val="22"/>
        </w:rPr>
        <w:t xml:space="preserve">El fracaso de los organismos anticorrupción en América Latina raramente se debe a la ausencia de legislación anticorrupción o a la falta de organismos formalmente designados para ejercer el control. La región cuenta con fiscalías anticorrupción, contralorías, defensorías del pueblo y comisiones especiales que, en su mayoría, existen formalmente pero carecen de la autonomía real para operar con independencia del poder político que supuestamente deben controlar. Este fenómeno — la existencia de organismos de control sin capacidad efectiva de control — ha sido documentado extensamente en la literatura sobre captura del Estado en América Latina (Hellman, Jones y Kaufmann, 2000; O'Donnell, 1994; Levitsky y Ziblatt, 2018).</w:t>
      </w:r>
    </w:p>
    <w:p>
      <w:pPr>
        <w:spacing w:after="180" w:before="0" w:line="360" w:lineRule="auto"/>
        <w:jc w:val="both"/>
      </w:pPr>
      <w:r>
        <w:rPr>
          <w:rFonts w:ascii="Times New Roman" w:cs="Times New Roman" w:eastAsia="Times New Roman" w:hAnsi="Times New Roman"/>
          <w:sz w:val="22"/>
          <w:szCs w:val="22"/>
        </w:rPr>
        <w:t xml:space="preserve">La pregunta central de este artículo es: ¿qué características del diseño institucional distinguen a los organismos de control con autonomía real de aquellos con independencia meramente formal, y qué implicaciones tiene esta distinción para el diseño de organismos anticorrupción en América Latina? Esta pregunta adquiere urgencia particular en el contexto ecuatoriano, donde el diseño del Sistema Nacional de Integridad Pública (SNIP) ofrece la oportunidad de incorporar desde el inicio los principios de autonomía que han demostrado efectividad en otros contextos.</w:t>
      </w:r>
    </w:p>
    <w:p>
      <w:pPr>
        <w:spacing w:after="180" w:before="0" w:line="360" w:lineRule="auto"/>
        <w:jc w:val="both"/>
      </w:pPr>
      <w:r>
        <w:rPr>
          <w:rFonts w:ascii="Times New Roman" w:cs="Times New Roman" w:eastAsia="Times New Roman" w:hAnsi="Times New Roman"/>
          <w:sz w:val="22"/>
          <w:szCs w:val="22"/>
        </w:rPr>
        <w:t xml:space="preserve">La hipótesis que guía el análisis es que la autonomía institucional real es una función de cinco dimensiones del diseño: el mecanismo de selección de los directivos, la protección presupuestaria, los circuitos de control cruzado, los mecanismos de rendición de cuentas ciudadana y los vínculos internacionales. Ninguna de estas dimensiones es suficiente por sí sola; es su combinación la que produce organismos resistentes a la captura política.</w:t>
      </w:r>
    </w:p>
    <w:p>
      <w:pPr>
        <w:spacing w:after="160" w:before="0"/>
      </w:pPr>
      <w:r>
        <w:rPr>
          <w:sz w:val="22"/>
          <w:szCs w:val="22"/>
        </w:rPr>
        <w:t xml:space="preserve"/>
      </w:r>
    </w:p>
    <w:p>
      <w:pPr>
        <w:pStyle w:val="Heading1"/>
        <w:spacing w:after="200" w:before="400"/>
      </w:pPr>
      <w:r>
        <w:rPr>
          <w:rFonts w:ascii="Arial" w:cs="Arial" w:eastAsia="Arial" w:hAnsi="Arial"/>
          <w:b/>
          <w:bCs/>
          <w:caps/>
          <w:color w:val="0D1F3C"/>
          <w:sz w:val="28"/>
          <w:szCs w:val="28"/>
        </w:rPr>
        <w:t xml:space="preserve">2. Marco Teórico</w:t>
      </w:r>
    </w:p>
    <w:p>
      <w:pPr>
        <w:pStyle w:val="Heading2"/>
        <w:spacing w:after="140" w:before="280"/>
      </w:pPr>
      <w:r>
        <w:rPr>
          <w:rFonts w:ascii="Arial" w:cs="Arial" w:eastAsia="Arial" w:hAnsi="Arial"/>
          <w:b/>
          <w:bCs/>
          <w:color w:val="0D1F3C"/>
          <w:sz w:val="24"/>
          <w:szCs w:val="24"/>
        </w:rPr>
        <w:t xml:space="preserve">2.1. La captura del Estado y sus mecanismos</w:t>
      </w:r>
    </w:p>
    <w:p>
      <w:pPr>
        <w:spacing w:after="180" w:before="0" w:line="360" w:lineRule="auto"/>
        <w:jc w:val="both"/>
      </w:pPr>
      <w:r>
        <w:rPr>
          <w:rFonts w:ascii="Times New Roman" w:cs="Times New Roman" w:eastAsia="Times New Roman" w:hAnsi="Times New Roman"/>
          <w:sz w:val="22"/>
          <w:szCs w:val="22"/>
        </w:rPr>
        <w:t xml:space="preserve">El concepto de captura del Estado, introducido por Hellman, Jones y Kaufmann (2000) en el contexto de las economías en transición post-soviéticas, describe el proceso por el cual actores privados o políticos moldean las reglas del juego institucional en su propio beneficio. A diferencia de la corrupción administrativa convencional — que opera dentro de las reglas existentes — la captura del Estado implica la modificación de las reglas mismas.</w:t>
      </w:r>
    </w:p>
    <w:p>
      <w:pPr>
        <w:spacing w:after="180" w:before="0" w:line="360" w:lineRule="auto"/>
        <w:jc w:val="both"/>
      </w:pPr>
      <w:r>
        <w:rPr>
          <w:rFonts w:ascii="Times New Roman" w:cs="Times New Roman" w:eastAsia="Times New Roman" w:hAnsi="Times New Roman"/>
          <w:sz w:val="22"/>
          <w:szCs w:val="22"/>
        </w:rPr>
        <w:t xml:space="preserve">En el contexto latinoamericano, la captura de los organismos de control opera predominantemente a través de tres mecanismos. El primero es la captura por designación: el gobierno de turno nombra a los directivos de los organismos de control, garantizando su lealtad antes de que asuman el cargo (Ginsburg y Simpser, 2013). El segundo es la captura por presupuesto: el ejecutivo reduce el presupuesto de los organismos que investigan casos políticamente sensibles, debilitando su capacidad operativa sin necesidad de suprimirlos formalmente (Huther y Shah, 2000). El tercero es la captura por normativa: el ejecutivo o la mayoría legislativa modifica las normas que regulan el organismo para limitar sus facultades investigativas o para ampliar las excepciones a sus competencias (Levitsky y Murillo, 2009).</w:t>
      </w:r>
    </w:p>
    <w:p>
      <w:pPr>
        <w:spacing w:after="180" w:before="0" w:line="360" w:lineRule="auto"/>
        <w:jc w:val="both"/>
      </w:pPr>
      <w:r>
        <w:rPr>
          <w:rFonts w:ascii="Times New Roman" w:cs="Times New Roman" w:eastAsia="Times New Roman" w:hAnsi="Times New Roman"/>
          <w:sz w:val="22"/>
          <w:szCs w:val="22"/>
        </w:rPr>
        <w:t xml:space="preserve">La experiencia comparada sugiere que los organismos de control que han logrado resistir estos mecanismos son aquellos que incorporaron en su diseño inicial protecciones específicas contra cada una de las tres formas de captura, antes de que fueran necesarias. Los organismos que intentaron construir esas protecciones después de haber sido ya parcialmente capturados enfrentaron resistencias que hicieron imposible la reforma (Rothstein, 2011).</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2.2. Autonomía formal versus autonomía real</w:t>
      </w:r>
    </w:p>
    <w:p>
      <w:pPr>
        <w:spacing w:after="180" w:before="0" w:line="360" w:lineRule="auto"/>
        <w:jc w:val="both"/>
      </w:pPr>
      <w:r>
        <w:rPr>
          <w:rFonts w:ascii="Times New Roman" w:cs="Times New Roman" w:eastAsia="Times New Roman" w:hAnsi="Times New Roman"/>
          <w:sz w:val="22"/>
          <w:szCs w:val="22"/>
        </w:rPr>
        <w:t xml:space="preserve">La distinción entre autonomía formal y autonomía real es central para el argumento de este artículo. La autonomía formal es la independencia que la ley declara para un organismo. La autonomía real es la independencia que ese organismo puede ejercer efectivamente en la práctica, medida por su capacidad de iniciar y sostener investigaciones contra actores políticamente poderosos sin ser sancionado institucionalmente por ello.</w:t>
      </w:r>
    </w:p>
    <w:p>
      <w:pPr>
        <w:spacing w:after="180" w:before="0" w:line="360" w:lineRule="auto"/>
        <w:jc w:val="both"/>
      </w:pPr>
      <w:r>
        <w:rPr>
          <w:rFonts w:ascii="Times New Roman" w:cs="Times New Roman" w:eastAsia="Times New Roman" w:hAnsi="Times New Roman"/>
          <w:sz w:val="22"/>
          <w:szCs w:val="22"/>
        </w:rPr>
        <w:t xml:space="preserve">Varios estudios empíricos han documentado la brecha entre la autonomía formal y la real en los organismos anticorrupción latinoamericanos. Dávid-Barrett y Fazekas (2020) analizaron 85 organismos anticorrupción en 46 países y encontraron que la existencia de mandatos legales de independencia tiene correlación débil con los resultados efectivos de lucha contra la corrupción, mientras que la autonomía presupuestaria y la protección contra la remoción arbitraria de directivos tienen correlaciones significativamente más fuertes.</w:t>
      </w:r>
    </w:p>
    <w:p>
      <w:pPr>
        <w:spacing w:after="180" w:before="0" w:line="360" w:lineRule="auto"/>
        <w:jc w:val="both"/>
      </w:pPr>
      <w:r>
        <w:rPr>
          <w:rFonts w:ascii="Times New Roman" w:cs="Times New Roman" w:eastAsia="Times New Roman" w:hAnsi="Times New Roman"/>
          <w:sz w:val="22"/>
          <w:szCs w:val="22"/>
        </w:rPr>
        <w:t xml:space="preserve">Landell-Mills (2013) identifica tres condiciones mínimas para que la autonomía formal se convierta en autonomía real: que el organismo tenga acceso a recursos suficientes para operar independientemente del ejecutivo, que sus directivos tengan mandatos suficientemente largos como para construir capacidad institucional antes de que terminen los ciclos políticos y que exista una demanda ciudadana activa de su funcionamiento que genere costos políticos ante intentos de interferencia.</w:t>
      </w:r>
    </w:p>
    <w:p>
      <w:pPr>
        <w:spacing w:after="160" w:before="0"/>
      </w:pPr>
      <w:r>
        <w:rPr>
          <w:sz w:val="22"/>
          <w:szCs w:val="22"/>
        </w:rPr>
        <w:t xml:space="preserve"/>
      </w:r>
    </w:p>
    <w:p>
      <w:pPr>
        <w:pStyle w:val="Heading1"/>
        <w:spacing w:after="200" w:before="400"/>
      </w:pPr>
      <w:r>
        <w:rPr>
          <w:rFonts w:ascii="Arial" w:cs="Arial" w:eastAsia="Arial" w:hAnsi="Arial"/>
          <w:b/>
          <w:bCs/>
          <w:caps/>
          <w:color w:val="0D1F3C"/>
          <w:sz w:val="28"/>
          <w:szCs w:val="28"/>
        </w:rPr>
        <w:t xml:space="preserve">3. Metodología</w:t>
      </w:r>
    </w:p>
    <w:p>
      <w:pPr>
        <w:spacing w:after="180" w:before="0" w:line="360" w:lineRule="auto"/>
        <w:jc w:val="both"/>
      </w:pPr>
      <w:r>
        <w:rPr>
          <w:rFonts w:ascii="Times New Roman" w:cs="Times New Roman" w:eastAsia="Times New Roman" w:hAnsi="Times New Roman"/>
          <w:sz w:val="22"/>
          <w:szCs w:val="22"/>
        </w:rPr>
        <w:t xml:space="preserve">El marco institucional ecuatoriano vigente incluye la Estrategia para el Fomento del Desarrollo y Uso Ético y Responsable de la Inteligencia Artificial (EFIA-EC), publicada en el Registro Oficial el 19 de enero de 2026. Esta estrategia establece los principios de supervisión humana, transparencia algorítmica y respeto a derechos fundamentales para el uso de IA en el sector público. El directorio autónomo del SNIP que este artículo propone opera bajo esos principios, siendo compatible con el marco regulatorio nacional vigente y con los compromisos internacionales de Ecuador ante la UNESCO en materia de ética de la inteligencia artificial.</w:t>
      </w:r>
    </w:p>
    <w:p>
      <w:pPr>
        <w:spacing w:after="180" w:before="0" w:line="360" w:lineRule="auto"/>
        <w:jc w:val="both"/>
      </w:pPr>
      <w:r>
        <w:rPr>
          <w:rFonts w:ascii="Times New Roman" w:cs="Times New Roman" w:eastAsia="Times New Roman" w:hAnsi="Times New Roman"/>
          <w:sz w:val="22"/>
          <w:szCs w:val="22"/>
        </w:rPr>
        <w:t xml:space="preserve">El estudio adopta un diseño de investigación de casos comparativos con proceso tracing. Este enfoque es apropiado para identificar los mecanismos causales que producen los resultados observados y para evaluar si esos mecanismos son plausiblemente aplicables al caso ecuatoriano, que opera como caso objetivo del análisis (Beach y Pedersen, 2013).</w:t>
      </w:r>
    </w:p>
    <w:p>
      <w:pPr>
        <w:spacing w:after="180" w:before="0" w:line="360" w:lineRule="auto"/>
        <w:jc w:val="both"/>
      </w:pPr>
      <w:r>
        <w:rPr>
          <w:rFonts w:ascii="Times New Roman" w:cs="Times New Roman" w:eastAsia="Times New Roman" w:hAnsi="Times New Roman"/>
          <w:sz w:val="22"/>
          <w:szCs w:val="22"/>
        </w:rPr>
        <w:t xml:space="preserve">Los cuatro casos comparados — CPIB de Singapur, ICAC de Hong Kong, SFO de Nueva Zelanda y Ombudsman de Dinamarca — fueron seleccionados por su reconocimiento internacional como modelos de alta integridad y por la disponibilidad de documentación detallada sobre su diseño institucional y evolución histórica. La selección incluye casos de distintos contextos geopolíticos y culturales para maximizar la generalizabilidad de los hallazgos.</w:t>
      </w:r>
    </w:p>
    <w:p>
      <w:pPr>
        <w:spacing w:after="180" w:before="0" w:line="360" w:lineRule="auto"/>
        <w:jc w:val="both"/>
      </w:pPr>
      <w:r>
        <w:rPr>
          <w:rFonts w:ascii="Times New Roman" w:cs="Times New Roman" w:eastAsia="Times New Roman" w:hAnsi="Times New Roman"/>
          <w:sz w:val="22"/>
          <w:szCs w:val="22"/>
        </w:rPr>
        <w:t xml:space="preserve">El análisis se estructura en torno a las cinco dimensiones teóricas identificadas en el marco conceptual. Para cada dimensión se documentan el diseño del caso comparado, los resultados observados en términos de autonomía real y las implicaciones para el diseño del organismo rector del SNIP en Ecuador.</w:t>
      </w:r>
    </w:p>
    <w:p>
      <w:r>
        <w:br w:type="page"/>
      </w:r>
    </w:p>
    <w:p>
      <w:pPr>
        <w:pStyle w:val="Heading1"/>
        <w:spacing w:after="200" w:before="400"/>
      </w:pPr>
      <w:r>
        <w:rPr>
          <w:rFonts w:ascii="Arial" w:cs="Arial" w:eastAsia="Arial" w:hAnsi="Arial"/>
          <w:b/>
          <w:bCs/>
          <w:caps/>
          <w:color w:val="0D1F3C"/>
          <w:sz w:val="28"/>
          <w:szCs w:val="28"/>
        </w:rPr>
        <w:t xml:space="preserve">4. Análisis Comparado</w:t>
      </w:r>
    </w:p>
    <w:p>
      <w:pPr>
        <w:pStyle w:val="Heading2"/>
        <w:spacing w:after="140" w:before="280"/>
      </w:pPr>
      <w:r>
        <w:rPr>
          <w:rFonts w:ascii="Arial" w:cs="Arial" w:eastAsia="Arial" w:hAnsi="Arial"/>
          <w:b/>
          <w:bCs/>
          <w:color w:val="0D1F3C"/>
          <w:sz w:val="24"/>
          <w:szCs w:val="24"/>
        </w:rPr>
        <w:t xml:space="preserve">4.1. Dimensión 1 — Mecanismo de selección de directivos</w:t>
      </w:r>
    </w:p>
    <w:p>
      <w:pPr>
        <w:spacing w:after="180" w:before="0" w:line="360" w:lineRule="auto"/>
        <w:jc w:val="both"/>
      </w:pPr>
      <w:r>
        <w:rPr>
          <w:rFonts w:ascii="Times New Roman" w:cs="Times New Roman" w:eastAsia="Times New Roman" w:hAnsi="Times New Roman"/>
          <w:sz w:val="22"/>
          <w:szCs w:val="22"/>
        </w:rPr>
        <w:t xml:space="preserve">La selección de los directivos de los organismos de control es la dimensión del diseño con mayor impacto en la autonomía real, porque determina a quién deben su cargo y por tanto a quién están estructuralmente incentivados a favorecer en sus decisiones.</w:t>
      </w:r>
    </w:p>
    <w:p>
      <w:pPr>
        <w:spacing w:after="180" w:before="0" w:line="360" w:lineRule="auto"/>
        <w:jc w:val="both"/>
      </w:pPr>
      <w:r>
        <w:rPr>
          <w:rFonts w:ascii="Times New Roman" w:cs="Times New Roman" w:eastAsia="Times New Roman" w:hAnsi="Times New Roman"/>
          <w:sz w:val="22"/>
          <w:szCs w:val="22"/>
        </w:rPr>
        <w:t xml:space="preserve">El CPIB de Singapur resuelve este problema a través de la dualidad de control. El director del CPIB opera bajo la Oficina del Primer Ministro en condiciones normales, pero en casos que involucran al propio Primer Ministro el director puede escalar directamente al Presidente de la República — cargo electo de forma independiente — para obtener autorización de continuar la investigación. Esta arquitectura hace técnicamente imposible que el Primer Ministro bloquee una investigación sobre su propia conducta sin involucrar a una segunda institución independiente (CPIB, 2023).</w:t>
      </w:r>
    </w:p>
    <w:p>
      <w:pPr>
        <w:spacing w:after="180" w:before="0" w:line="360" w:lineRule="auto"/>
        <w:jc w:val="both"/>
      </w:pPr>
      <w:r>
        <w:rPr>
          <w:rFonts w:ascii="Times New Roman" w:cs="Times New Roman" w:eastAsia="Times New Roman" w:hAnsi="Times New Roman"/>
          <w:sz w:val="22"/>
          <w:szCs w:val="22"/>
        </w:rPr>
        <w:t xml:space="preserve">El ICAC de Hong Kong resuelve el problema de la selección a través de un sistema de comités consultivos ciudadanos que supervisan cada uno de los tres departamentos del organismo. Los miembros de esos comités son ciudadanos de reconocida trayectoria independiente, no funcionarios designados. Ningún gobierno puede designar mayorías en todos los comités simultáneamente porque tienen períodos escalonados de renovación (ICAC, 2023).</w:t>
      </w:r>
    </w:p>
    <w:p>
      <w:pPr>
        <w:spacing w:after="180" w:before="0" w:line="360" w:lineRule="auto"/>
        <w:jc w:val="both"/>
      </w:pPr>
      <w:r>
        <w:rPr>
          <w:rFonts w:ascii="Times New Roman" w:cs="Times New Roman" w:eastAsia="Times New Roman" w:hAnsi="Times New Roman"/>
          <w:sz w:val="22"/>
          <w:szCs w:val="22"/>
        </w:rPr>
        <w:t xml:space="preserve">En contraste, la mayoría de los organismos anticorrupción latinoamericanos — incluyendo la Contraloría, la Fiscalía y el CPCCS en Ecuador — tienen directivos designados directa o indirectamente por el Ejecutivo o por mayorías parlamentarias controladas por el gobierno de turno. Esta estructura de incentivos hace estructuralmente probable la captura, independientemente de la calidad personal de los funcionarios designados.</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4.2. Dimensión 2 — Protección presupuestaria</w:t>
      </w:r>
    </w:p>
    <w:p>
      <w:pPr>
        <w:spacing w:after="180" w:before="0" w:line="360" w:lineRule="auto"/>
        <w:jc w:val="both"/>
      </w:pPr>
      <w:r>
        <w:rPr>
          <w:rFonts w:ascii="Times New Roman" w:cs="Times New Roman" w:eastAsia="Times New Roman" w:hAnsi="Times New Roman"/>
          <w:sz w:val="22"/>
          <w:szCs w:val="22"/>
        </w:rPr>
        <w:t xml:space="preserve">La capacidad de un organismo de control para operar con independencia es directamente proporcional a su capacidad de financiarse sin depender de la discrecionalidad del gobierno que investiga. Los estudios comparados muestran consistentemente que la reducción presupuestaria es el mecanismo de captura más frecuentemente utilizado porque es técnicamente legal, políticamente defendible como medida de austeridad y funcionalmente devastadora para la capacidad operativa del organismo (Dávid-Barrett y Fazekas, 2020).</w:t>
      </w:r>
    </w:p>
    <w:p>
      <w:pPr>
        <w:spacing w:after="180" w:before="0" w:line="360" w:lineRule="auto"/>
        <w:jc w:val="both"/>
      </w:pPr>
      <w:r>
        <w:rPr>
          <w:rFonts w:ascii="Times New Roman" w:cs="Times New Roman" w:eastAsia="Times New Roman" w:hAnsi="Times New Roman"/>
          <w:sz w:val="22"/>
          <w:szCs w:val="22"/>
        </w:rPr>
        <w:t xml:space="preserve">Singapur resuelve este problema constitucionalizado el presupuesto del CPIB como porcentaje fijo del presupuesto del Estado. La reducción de ese porcentaje requiere una mayoría calificada parlamentaria que el gobierno de turno raramente puede garantizar. Nueva Zelanda protege el presupuesto del SFO y el Ombudsman a través de una fórmula de asignación automática que no pasa por la aprobación anual del presupuesto del gobierno sino por una comisión parlamentaria independiente de composición multipartidaria (SFO New Zealand, 2023).</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4.3. Dimensión 3 — Circuitos de control cruzado</w:t>
      </w:r>
    </w:p>
    <w:p>
      <w:pPr>
        <w:spacing w:after="180" w:before="0" w:line="360" w:lineRule="auto"/>
        <w:jc w:val="both"/>
      </w:pPr>
      <w:r>
        <w:rPr>
          <w:rFonts w:ascii="Times New Roman" w:cs="Times New Roman" w:eastAsia="Times New Roman" w:hAnsi="Times New Roman"/>
          <w:sz w:val="22"/>
          <w:szCs w:val="22"/>
        </w:rPr>
        <w:t xml:space="preserve">Los circuitos de control cruzado son mecanismos de diseño que hacen necesario el acuerdo entre múltiples actores independientes para tomar decisiones que afectan al organismo de control. Su función es distribuir el poder de interferencia de tal modo que ningún actor individual pueda capturar el organismo sin la complicidad activa de otros actores con intereses potencialmente divergentes.</w:t>
      </w:r>
    </w:p>
    <w:p>
      <w:pPr>
        <w:spacing w:after="180" w:before="0" w:line="360" w:lineRule="auto"/>
        <w:jc w:val="both"/>
      </w:pPr>
      <w:r>
        <w:rPr>
          <w:rFonts w:ascii="Times New Roman" w:cs="Times New Roman" w:eastAsia="Times New Roman" w:hAnsi="Times New Roman"/>
          <w:sz w:val="22"/>
          <w:szCs w:val="22"/>
        </w:rPr>
        <w:t xml:space="preserve">El modelo más sofisticado de control cruzado es el del CPIB, donde la investigación del Primer Ministro requiere autorización presidencial. Pero existen versiones más accesibles del mismo principio. En Nueva Zelanda, la remoción del Director del SFO requiere una petición formal del Fiscal General, revisada por la Corte Suprema y aprobada por mayoría parlamentaria — tres actores independientes que deben coincidir para que la remoción proceda (SFO New Zealand, 2023). En Dinamarca, la independencia del Ombudsman está garantizada por su elección parlamentaria con mayoría de dos tercios, su mandato de cuatro años renovable solo por el parlamento y su capacidad de iniciar investigaciones de oficio sin solicitud del ejecutivo (Ombudsman Denmark, 2023).</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4.4. Dimensión 4 — Rendición de cuentas ciudadana</w:t>
      </w:r>
    </w:p>
    <w:p>
      <w:pPr>
        <w:spacing w:after="180" w:before="0" w:line="360" w:lineRule="auto"/>
        <w:jc w:val="both"/>
      </w:pPr>
      <w:r>
        <w:rPr>
          <w:rFonts w:ascii="Times New Roman" w:cs="Times New Roman" w:eastAsia="Times New Roman" w:hAnsi="Times New Roman"/>
          <w:sz w:val="22"/>
          <w:szCs w:val="22"/>
        </w:rPr>
        <w:t xml:space="preserve">Una forma subestimada de proteger la autonomía institucional es hacer que el organismo de control sea directamente responsable ante los ciudadanos, no solo ante otras instituciones del Estado. Cuando los ciudadanos tienen información regular y comprensible sobre el funcionamiento del organismo, se convierten en actores con incentivo para defender su funcionamiento ante intentos de captura.</w:t>
      </w:r>
    </w:p>
    <w:p>
      <w:pPr>
        <w:spacing w:after="180" w:before="0" w:line="360" w:lineRule="auto"/>
        <w:jc w:val="both"/>
      </w:pPr>
      <w:r>
        <w:rPr>
          <w:rFonts w:ascii="Times New Roman" w:cs="Times New Roman" w:eastAsia="Times New Roman" w:hAnsi="Times New Roman"/>
          <w:sz w:val="22"/>
          <w:szCs w:val="22"/>
        </w:rPr>
        <w:t xml:space="preserve">El ICAC de Hong Kong publica un informe anual detallado con métricas específicas: número de casos abiertos, resueltos y desestimados; tiempo promedio de resolución; perfil de los casos por sector institucional; y resultados de encuestas anuales de percepción ciudadana sobre la corrupción. Este informe es ampliamente cubierto por los medios y genera un ciclo de rendición de cuentas que hace políticamente costoso el deterioro del desempeño del organismo (ICAC, 2023).</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4.5. Dimensión 5 — Vínculos internacionales</w:t>
      </w:r>
    </w:p>
    <w:p>
      <w:pPr>
        <w:spacing w:after="180" w:before="0" w:line="360" w:lineRule="auto"/>
        <w:jc w:val="both"/>
      </w:pPr>
      <w:r>
        <w:rPr>
          <w:rFonts w:ascii="Times New Roman" w:cs="Times New Roman" w:eastAsia="Times New Roman" w:hAnsi="Times New Roman"/>
          <w:sz w:val="22"/>
          <w:szCs w:val="22"/>
        </w:rPr>
        <w:t xml:space="preserve">Los vínculos con organismos y redes internacionales anticorrupción generan una forma de protección que los organismos domésticos no pueden proveer: el costo reputacional internacional ante intentos de captura. Cuando un gobierno intenta desmantelar o debilitar un organismo de control que tiene vínculos formales con la UNODC, el GRECO o la OEA-MESICIC, enfrenta no solo resistencia doméstica sino también presión diplomática y potencialmente condicionalidades en el acceso a crédito externo.</w:t>
      </w:r>
    </w:p>
    <w:p>
      <w:pPr>
        <w:spacing w:after="180" w:before="0" w:line="360" w:lineRule="auto"/>
        <w:jc w:val="both"/>
      </w:pPr>
      <w:r>
        <w:rPr>
          <w:rFonts w:ascii="Times New Roman" w:cs="Times New Roman" w:eastAsia="Times New Roman" w:hAnsi="Times New Roman"/>
          <w:sz w:val="22"/>
          <w:szCs w:val="22"/>
        </w:rPr>
        <w:t xml:space="preserve">Singapur mantiene membresía activa en el International Association of Anti-Corruption Authorities (IAACA) y participa regularmente en los mecanismos de revisión de la Convención de la ONU contra la Corrupción (UNCAC). Hong Kong tiene acuerdos de cooperación bilateral con más de 30 organismos anticorrupción de otros países. Nueva Zelanda está sujeta a revisiones periódicas del Grupo de Estados contra la Corrupción (GRECO) del Consejo de Europa, cuyos informes son públicos y de amplia circulación mediática (GRECO, 2023).</w:t>
      </w:r>
    </w:p>
    <w:p>
      <w:r>
        <w:br w:type="page"/>
      </w:r>
    </w:p>
    <w:p>
      <w:pPr>
        <w:pStyle w:val="Heading1"/>
        <w:spacing w:after="200" w:before="400"/>
      </w:pPr>
      <w:r>
        <w:rPr>
          <w:rFonts w:ascii="Arial" w:cs="Arial" w:eastAsia="Arial" w:hAnsi="Arial"/>
          <w:b/>
          <w:bCs/>
          <w:caps/>
          <w:color w:val="0D1F3C"/>
          <w:sz w:val="28"/>
          <w:szCs w:val="28"/>
        </w:rPr>
        <w:t xml:space="preserve">5. Síntesis: Principios de Diseño para el Directorio del SNIP</w:t>
      </w:r>
    </w:p>
    <w:p>
      <w:pPr>
        <w:spacing w:after="60" w:before="120"/>
      </w:pPr>
      <w:r>
        <w:rPr>
          <w:rFonts w:ascii="Times New Roman" w:cs="Times New Roman" w:eastAsia="Times New Roman" w:hAnsi="Times New Roman"/>
          <w:i/>
          <w:iCs/>
          <w:color w:val="444444"/>
          <w:sz w:val="19"/>
          <w:szCs w:val="19"/>
        </w:rPr>
        <w:t xml:space="preserve">Tabla 2. Síntesis comparada y principios de diseño para el directorio del SNIP. Fuente: elaboración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300"/>
        <w:gridCol w:w="3360"/>
      </w:tblGrid>
      <w:tr>
        <w:tc>
          <w:tcPr>
            <w:tcW w:type="dxa" w:w="160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Dimensión</w:t>
            </w:r>
          </w:p>
        </w:tc>
        <w:tc>
          <w:tcPr>
            <w:tcW w:type="dxa" w:w="210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Problema en AL</w:t>
            </w:r>
          </w:p>
        </w:tc>
        <w:tc>
          <w:tcPr>
            <w:tcW w:type="dxa" w:w="230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Solución comparada</w:t>
            </w:r>
          </w:p>
        </w:tc>
        <w:tc>
          <w:tcPr>
            <w:tcW w:type="dxa" w:w="336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Propuesta para el SNIP</w:t>
            </w:r>
          </w:p>
        </w:tc>
      </w:tr>
      <w:tr>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Selección de directivos</w:t>
            </w:r>
          </w:p>
        </w:tc>
        <w:tc>
          <w:tcPr>
            <w:tcW w:type="dxa" w:w="21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Designación por el Ejecutivo garantiza lealtad política</w:t>
            </w:r>
          </w:p>
        </w:tc>
        <w:tc>
          <w:tcPr>
            <w:tcW w:type="dxa" w:w="23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CPIB: dualidad de control — ICAC: comités ciudadanos escalonados</w:t>
            </w:r>
          </w:p>
        </w:tc>
        <w:tc>
          <w:tcPr>
            <w:tcW w:type="dxa" w:w="33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7 directivos por sorteo ciudadano verificado entre candidatos con requisitos técnicos mínimos. Ningún funcionario activo ni militante partidario. Mandatos de 6 años escalonados no renovables.</w:t>
            </w:r>
          </w:p>
        </w:tc>
      </w:tr>
      <w:tr>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Presupuesto</w:t>
            </w:r>
          </w:p>
        </w:tc>
        <w:tc>
          <w:tcPr>
            <w:tcW w:type="dxa" w:w="21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Reducción discrecional como mecanismo de captura</w:t>
            </w:r>
          </w:p>
        </w:tc>
        <w:tc>
          <w:tcPr>
            <w:tcW w:type="dxa" w:w="23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Singapur: porcentaje fijo constitucional — NZ: comisión parlamentaria independiente</w:t>
            </w:r>
          </w:p>
        </w:tc>
        <w:tc>
          <w:tcPr>
            <w:tcW w:type="dxa" w:w="33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Porcentaje fijo del PGE en la Constitución. No reducible por mayoría simple. Reducción excepcional requiere mayoría calificada + informe técnico de la Corte Constitucional.</w:t>
            </w:r>
          </w:p>
        </w:tc>
      </w:tr>
      <w:tr>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Control cruzado</w:t>
            </w:r>
          </w:p>
        </w:tc>
        <w:tc>
          <w:tcPr>
            <w:tcW w:type="dxa" w:w="21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Un solo actor puede detener investigaciones</w:t>
            </w:r>
          </w:p>
        </w:tc>
        <w:tc>
          <w:tcPr>
            <w:tcW w:type="dxa" w:w="23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CPIB: Presidente como segunda llave — NZ: tres actores para remover al director</w:t>
            </w:r>
          </w:p>
        </w:tc>
        <w:tc>
          <w:tcPr>
            <w:tcW w:type="dxa" w:w="33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Modificaciones al SNIP requieren: Asamblea (2/3) + referéndum ciudadano + Corte Constitucional. Ninguno suficiente solo.</w:t>
            </w:r>
          </w:p>
        </w:tc>
      </w:tr>
      <w:tr>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Rendición de cuentas</w:t>
            </w:r>
          </w:p>
        </w:tc>
        <w:tc>
          <w:tcPr>
            <w:tcW w:type="dxa" w:w="21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Informes internos sin acceso ciudadano real</w:t>
            </w:r>
          </w:p>
        </w:tc>
        <w:tc>
          <w:tcPr>
            <w:tcW w:type="dxa" w:w="23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ICAC: informe anual público con métricas específicas + encuesta de percepción</w:t>
            </w:r>
          </w:p>
        </w:tc>
        <w:tc>
          <w:tcPr>
            <w:tcW w:type="dxa" w:w="33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Informe anual público con: casos generados, alertas emitidas, resoluciones obtenidas, bienes recuperados y encuesta ciudadana de percepción. Disponible en portal abierto.</w:t>
            </w:r>
          </w:p>
        </w:tc>
      </w:tr>
      <w:tr>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Vínculos internacionales</w:t>
            </w:r>
          </w:p>
        </w:tc>
        <w:tc>
          <w:tcPr>
            <w:tcW w:type="dxa" w:w="21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Organismos domésticos sin anclaje externo</w:t>
            </w:r>
          </w:p>
        </w:tc>
        <w:tc>
          <w:tcPr>
            <w:tcW w:type="dxa" w:w="23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Membresías IAACA, UNCAC, GRECO, acuerdos bilaterales</w:t>
            </w:r>
          </w:p>
        </w:tc>
        <w:tc>
          <w:tcPr>
            <w:tcW w:type="dxa" w:w="33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Ecuador ratifica UNCAC, MESICIC-OEA. SNIP establece protocolo de notificación automática a UNODC y OEA ante intentos de captura.</w:t>
            </w:r>
          </w:p>
        </w:tc>
      </w:tr>
    </w:tbl>
    <w:p>
      <w:pPr>
        <w:spacing w:after="160" w:before="0"/>
      </w:pPr>
      <w:r>
        <w:rPr>
          <w:sz w:val="22"/>
          <w:szCs w:val="22"/>
        </w:rPr>
        <w:t xml:space="preserve"/>
      </w:r>
    </w:p>
    <w:p>
      <w:pPr>
        <w:spacing w:after="180" w:before="0" w:line="360" w:lineRule="auto"/>
        <w:jc w:val="both"/>
      </w:pPr>
      <w:r>
        <w:rPr>
          <w:rFonts w:ascii="Times New Roman" w:cs="Times New Roman" w:eastAsia="Times New Roman" w:hAnsi="Times New Roman"/>
          <w:sz w:val="22"/>
          <w:szCs w:val="22"/>
        </w:rPr>
        <w:t xml:space="preserve">La tabla anterior sintetiza la propuesta central del artículo: que cada dimensión del diseño del directorio del SNIP debe incorporar una solución específica al mecanismo de captura más frecuente en esa dimensión, basada en evidencia comparada de lo que ha funcionado en contextos con mayores restricciones institucionales que las del Ecuador actual. Adicionalmente, el módulo financiero del SNIP se construye sobre arquitectura compatible con el estándar ISO 20022 — vigente globalmente desde noviembre de 2025 — garantizando que el sistema pueda leer y analizar la totalidad de las transacciones del Estado ecuatoriano en el formato financiero que ya opera el mundo, sin necesidad de rediseños posteriores.</w:t>
      </w:r>
    </w:p>
    <w:p>
      <w:pPr>
        <w:spacing w:after="180" w:before="0" w:line="360" w:lineRule="auto"/>
        <w:jc w:val="both"/>
      </w:pPr>
      <w:r>
        <w:rPr>
          <w:rFonts w:ascii="Times New Roman" w:cs="Times New Roman" w:eastAsia="Times New Roman" w:hAnsi="Times New Roman"/>
          <w:sz w:val="22"/>
          <w:szCs w:val="22"/>
        </w:rPr>
        <w:t xml:space="preserve">Un elemento adicional que el análisis comparado sugiere y que no figura en las cinco dimensiones es el principio de victorias tempranas visibles. En todos los casos exitosos, la credibilidad inicial del organismo de control se construyó procesando casos de alta visibilidad pública en los primeros años de operación, incluyendo actores políticamente poderosos. Sin esa señal temprana, la credibilidad ciudadana no se establece y el organismo opera en el vacío de la confianza pública. El diseño del SNIP debe contemplar explícitamente la estrategia de comunicación de los primeros casos, no como elemento secundario sino como componente central de la arquitectura institucional.</w:t>
      </w:r>
    </w:p>
    <w:p>
      <w:pPr>
        <w:spacing w:after="160" w:before="0"/>
      </w:pPr>
      <w:r>
        <w:rPr>
          <w:sz w:val="22"/>
          <w:szCs w:val="22"/>
        </w:rPr>
        <w:t xml:space="preserve"/>
      </w:r>
    </w:p>
    <w:p>
      <w:pPr>
        <w:pStyle w:val="Heading1"/>
        <w:spacing w:after="200" w:before="400"/>
      </w:pPr>
      <w:r>
        <w:rPr>
          <w:rFonts w:ascii="Arial" w:cs="Arial" w:eastAsia="Arial" w:hAnsi="Arial"/>
          <w:b/>
          <w:bCs/>
          <w:caps/>
          <w:color w:val="0D1F3C"/>
          <w:sz w:val="28"/>
          <w:szCs w:val="28"/>
        </w:rPr>
        <w:t xml:space="preserve">6. Implicaciones para América Latina</w:t>
      </w:r>
    </w:p>
    <w:p>
      <w:pPr>
        <w:spacing w:after="180" w:before="0" w:line="360" w:lineRule="auto"/>
        <w:jc w:val="both"/>
      </w:pPr>
      <w:r>
        <w:rPr>
          <w:rFonts w:ascii="Times New Roman" w:cs="Times New Roman" w:eastAsia="Times New Roman" w:hAnsi="Times New Roman"/>
          <w:sz w:val="22"/>
          <w:szCs w:val="22"/>
        </w:rPr>
        <w:t xml:space="preserve">Las conclusiones de este artículo tienen implicaciones que van más allá del caso ecuatoriano. En toda la región latinoamericana existe un patrón similar: organismos de control que nacen con mandatos ambiciosos pero que gradualmente son capturados por los actores que deben controlar, no por ausencia de voluntad reformista sino por ausencia de diseño institucional que haga la captura técnicamente difícil.</w:t>
      </w:r>
    </w:p>
    <w:p>
      <w:pPr>
        <w:spacing w:after="180" w:before="0" w:line="360" w:lineRule="auto"/>
        <w:jc w:val="both"/>
      </w:pPr>
      <w:r>
        <w:rPr>
          <w:rFonts w:ascii="Times New Roman" w:cs="Times New Roman" w:eastAsia="Times New Roman" w:hAnsi="Times New Roman"/>
          <w:sz w:val="22"/>
          <w:szCs w:val="22"/>
        </w:rPr>
        <w:t xml:space="preserve">La literatura sobre reformas institucionales en la región ha identificado un ciclo recurrente: escándalo de corrupción — presión ciudadana — creación de organismo de control — captura gradual del organismo — nuevo escándalo (Peruzzotti y Smulovitz, 2006). Para romper ese ciclo no es suficiente con crear organismos cada vez más poderosos en el papel. Es necesario diseñarlos desde el inicio con arquitecturas que distribuyan el control, protejan el presupuesto y anclen el organismo en redes internacionales que generan costos reputacionales ante la captura.</w:t>
      </w:r>
    </w:p>
    <w:p>
      <w:pPr>
        <w:spacing w:after="180" w:before="0" w:line="360" w:lineRule="auto"/>
        <w:jc w:val="both"/>
      </w:pPr>
      <w:r>
        <w:rPr>
          <w:rFonts w:ascii="Times New Roman" w:cs="Times New Roman" w:eastAsia="Times New Roman" w:hAnsi="Times New Roman"/>
          <w:sz w:val="22"/>
          <w:szCs w:val="22"/>
        </w:rPr>
        <w:t xml:space="preserve">La contribución principal de este artículo a ese debate es identificar operativamente los componentes de diseño que producen autonomía real — no solo formal — y articularlos en una propuesta concreta aplicable al caso ecuatoriano. La propuesta del directorio del SNIP no es solo un diseño para Ecuador. Es un modelo replicable para cualquier país de la región que enfrente el mismo desafío de construir instituciones anticorrupción creíbles en contextos de captura estatal.</w:t>
      </w:r>
    </w:p>
    <w:p>
      <w:pPr>
        <w:spacing w:after="160" w:before="0"/>
      </w:pPr>
      <w:r>
        <w:rPr>
          <w:sz w:val="22"/>
          <w:szCs w:val="22"/>
        </w:rPr>
        <w:t xml:space="preserve"/>
      </w:r>
    </w:p>
    <w:p>
      <w:pPr>
        <w:pStyle w:val="Heading1"/>
        <w:spacing w:after="200" w:before="400"/>
      </w:pPr>
      <w:r>
        <w:rPr>
          <w:rFonts w:ascii="Arial" w:cs="Arial" w:eastAsia="Arial" w:hAnsi="Arial"/>
          <w:b/>
          <w:bCs/>
          <w:caps/>
          <w:color w:val="0D1F3C"/>
          <w:sz w:val="28"/>
          <w:szCs w:val="28"/>
        </w:rPr>
        <w:t xml:space="preserve">7. Conclusiones</w:t>
      </w:r>
    </w:p>
    <w:p>
      <w:pPr>
        <w:spacing w:after="180" w:before="0" w:line="360" w:lineRule="auto"/>
        <w:jc w:val="both"/>
      </w:pPr>
      <w:r>
        <w:rPr>
          <w:rFonts w:ascii="Times New Roman" w:cs="Times New Roman" w:eastAsia="Times New Roman" w:hAnsi="Times New Roman"/>
          <w:sz w:val="22"/>
          <w:szCs w:val="22"/>
        </w:rPr>
        <w:t xml:space="preserve">El análisis comparado del CPIB de Singapur, el ICAC de Hong Kong, el SFO de Nueva Zelanda y el Ombudsman de Dinamarca permite identificar con claridad los componentes del diseño institucional que distinguen a los organismos con autonomía real de aquellos con independencia meramente formal. La selección no partidaria de directivos, la protección constitucional del presupuesto, los circuitos de control cruzado, la rendición de cuentas ciudadana directa y los vínculos internacionales vinculantes son las cinco dimensiones que, en su combinación, producen organismos capaces de investigar actores políticamente poderosos sin ser sancionados institucionalmente por ello.</w:t>
      </w:r>
    </w:p>
    <w:p>
      <w:pPr>
        <w:spacing w:after="180" w:before="0" w:line="360" w:lineRule="auto"/>
        <w:jc w:val="both"/>
      </w:pPr>
      <w:r>
        <w:rPr>
          <w:rFonts w:ascii="Times New Roman" w:cs="Times New Roman" w:eastAsia="Times New Roman" w:hAnsi="Times New Roman"/>
          <w:sz w:val="22"/>
          <w:szCs w:val="22"/>
        </w:rPr>
        <w:t xml:space="preserve">La implicación directa para el diseño del SNIP en Ecuador es que la autonomía del directorio no puede dejarse a la discreción del legislador ordinario ni al respeto voluntario del ejecutivo de turno. Debe ser una arquitectura que haga técnicamente costoso el intento de captura, combinando múltiples capas de protección que ningún actor puede superar individualmente. Este es el principio central que diferencia los modelos exitosos de los fracasados en la experiencia comparada internacional.</w:t>
      </w:r>
    </w:p>
    <w:p>
      <w:pPr>
        <w:spacing w:after="180" w:before="0" w:line="360" w:lineRule="auto"/>
        <w:jc w:val="both"/>
      </w:pPr>
      <w:r>
        <w:rPr>
          <w:rFonts w:ascii="Times New Roman" w:cs="Times New Roman" w:eastAsia="Times New Roman" w:hAnsi="Times New Roman"/>
          <w:sz w:val="22"/>
          <w:szCs w:val="22"/>
        </w:rPr>
        <w:t xml:space="preserve">Futuras investigaciones deberían examinar los procesos políticos específicos a través de los cuales estas reformas de diseño pueden avanzar en el contexto ecuatoriano, incorporando el análisis de las resistencias de los actores con interés en mantener el statu quo y las estrategias de coalición disponibles para los reformadores. La viabilidad política del buen diseño institucional es una pregunta distinta a su deseo, y ambas son igualmente relevantes para la transformación efectiva de las instituciones públicas en América Latina.</w:t>
      </w:r>
    </w:p>
    <w:p>
      <w:pPr>
        <w:spacing w:after="160" w:before="0"/>
      </w:pPr>
      <w:r>
        <w:rPr>
          <w:sz w:val="22"/>
          <w:szCs w:val="22"/>
        </w:rPr>
        <w:t xml:space="preserve"/>
      </w:r>
    </w:p>
    <w:p>
      <w:pPr>
        <w:pStyle w:val="Heading1"/>
        <w:spacing w:after="200" w:before="400"/>
      </w:pPr>
      <w:r>
        <w:rPr>
          <w:rFonts w:ascii="Arial" w:cs="Arial" w:eastAsia="Arial" w:hAnsi="Arial"/>
          <w:b/>
          <w:bCs/>
          <w:caps/>
          <w:color w:val="0D1F3C"/>
          <w:sz w:val="28"/>
          <w:szCs w:val="28"/>
        </w:rPr>
        <w:t xml:space="preserve">Referencias</w:t>
      </w:r>
    </w:p>
    <w:p>
      <w:pPr>
        <w:spacing w:after="160" w:before="0"/>
      </w:pPr>
      <w:r>
        <w:rPr>
          <w:sz w:val="22"/>
          <w:szCs w:val="22"/>
        </w:rPr>
        <w:t xml:space="preserve"/>
      </w:r>
    </w:p>
    <w:p>
      <w:pPr>
        <w:spacing w:after="40" w:before="40"/>
      </w:pPr>
      <w:r>
        <w:rPr>
          <w:rFonts w:ascii="Times New Roman" w:cs="Times New Roman" w:eastAsia="Times New Roman" w:hAnsi="Times New Roman"/>
          <w:b/>
          <w:bCs/>
          <w:color w:val="444444"/>
          <w:sz w:val="18"/>
          <w:szCs w:val="18"/>
        </w:rPr>
        <w:t xml:space="preserve">1. </w:t>
      </w:r>
      <w:r>
        <w:rPr>
          <w:rFonts w:ascii="Times New Roman" w:cs="Times New Roman" w:eastAsia="Times New Roman" w:hAnsi="Times New Roman"/>
          <w:color w:val="444444"/>
          <w:sz w:val="18"/>
          <w:szCs w:val="18"/>
        </w:rPr>
        <w:t xml:space="preserve">Beach, D. y Pedersen, R. B. (2013). Process-tracing methods: Foundations and guidelines. University of Michigan Press.</w:t>
      </w:r>
    </w:p>
    <w:p>
      <w:pPr>
        <w:spacing w:after="40" w:before="40"/>
      </w:pPr>
      <w:r>
        <w:rPr>
          <w:rFonts w:ascii="Times New Roman" w:cs="Times New Roman" w:eastAsia="Times New Roman" w:hAnsi="Times New Roman"/>
          <w:b/>
          <w:bCs/>
          <w:color w:val="444444"/>
          <w:sz w:val="18"/>
          <w:szCs w:val="18"/>
        </w:rPr>
        <w:t xml:space="preserve">2. </w:t>
      </w:r>
      <w:r>
        <w:rPr>
          <w:rFonts w:ascii="Times New Roman" w:cs="Times New Roman" w:eastAsia="Times New Roman" w:hAnsi="Times New Roman"/>
          <w:color w:val="444444"/>
          <w:sz w:val="18"/>
          <w:szCs w:val="18"/>
        </w:rPr>
        <w:t xml:space="preserve">CPIB. (2023). Annual report 2022/2023. Corrupt Practices Investigation Bureau. https://www.cpib.gov.sg</w:t>
      </w:r>
    </w:p>
    <w:p>
      <w:pPr>
        <w:spacing w:after="40" w:before="40"/>
      </w:pPr>
      <w:r>
        <w:rPr>
          <w:rFonts w:ascii="Times New Roman" w:cs="Times New Roman" w:eastAsia="Times New Roman" w:hAnsi="Times New Roman"/>
          <w:b/>
          <w:bCs/>
          <w:color w:val="444444"/>
          <w:sz w:val="18"/>
          <w:szCs w:val="18"/>
        </w:rPr>
        <w:t xml:space="preserve">3. </w:t>
      </w:r>
      <w:r>
        <w:rPr>
          <w:rFonts w:ascii="Times New Roman" w:cs="Times New Roman" w:eastAsia="Times New Roman" w:hAnsi="Times New Roman"/>
          <w:color w:val="444444"/>
          <w:sz w:val="18"/>
          <w:szCs w:val="18"/>
        </w:rPr>
        <w:t xml:space="preserve">Dávid-Barrett, E. y Fazekas, M. (2020). Anti-corruption in aid-funded procurement: Is corruption reduced or merely displaced? World Development, 132, 104960.</w:t>
      </w:r>
    </w:p>
    <w:p>
      <w:pPr>
        <w:spacing w:after="40" w:before="40"/>
      </w:pPr>
      <w:r>
        <w:rPr>
          <w:rFonts w:ascii="Times New Roman" w:cs="Times New Roman" w:eastAsia="Times New Roman" w:hAnsi="Times New Roman"/>
          <w:b/>
          <w:bCs/>
          <w:color w:val="444444"/>
          <w:sz w:val="18"/>
          <w:szCs w:val="18"/>
        </w:rPr>
        <w:t xml:space="preserve">4. </w:t>
      </w:r>
      <w:r>
        <w:rPr>
          <w:rFonts w:ascii="Times New Roman" w:cs="Times New Roman" w:eastAsia="Times New Roman" w:hAnsi="Times New Roman"/>
          <w:color w:val="444444"/>
          <w:sz w:val="18"/>
          <w:szCs w:val="18"/>
        </w:rPr>
        <w:t xml:space="preserve">Ginsburg, T. y Simpser, A. (2013). Constitutions in authoritarian regimes. Cambridge University Press.</w:t>
      </w:r>
    </w:p>
    <w:p>
      <w:pPr>
        <w:spacing w:after="40" w:before="40"/>
      </w:pPr>
      <w:r>
        <w:rPr>
          <w:rFonts w:ascii="Times New Roman" w:cs="Times New Roman" w:eastAsia="Times New Roman" w:hAnsi="Times New Roman"/>
          <w:b/>
          <w:bCs/>
          <w:color w:val="444444"/>
          <w:sz w:val="18"/>
          <w:szCs w:val="18"/>
        </w:rPr>
        <w:t xml:space="preserve">5. </w:t>
      </w:r>
      <w:r>
        <w:rPr>
          <w:rFonts w:ascii="Times New Roman" w:cs="Times New Roman" w:eastAsia="Times New Roman" w:hAnsi="Times New Roman"/>
          <w:color w:val="444444"/>
          <w:sz w:val="18"/>
          <w:szCs w:val="18"/>
        </w:rPr>
        <w:t xml:space="preserve">GRECO. (2023). Council of Europe Group of States against Corruption: Annual activity report 2022. https://www.coe.int/en/web/greco</w:t>
      </w:r>
    </w:p>
    <w:p>
      <w:pPr>
        <w:spacing w:after="40" w:before="40"/>
      </w:pPr>
      <w:r>
        <w:rPr>
          <w:rFonts w:ascii="Times New Roman" w:cs="Times New Roman" w:eastAsia="Times New Roman" w:hAnsi="Times New Roman"/>
          <w:b/>
          <w:bCs/>
          <w:color w:val="444444"/>
          <w:sz w:val="18"/>
          <w:szCs w:val="18"/>
        </w:rPr>
        <w:t xml:space="preserve">6. </w:t>
      </w:r>
      <w:r>
        <w:rPr>
          <w:rFonts w:ascii="Times New Roman" w:cs="Times New Roman" w:eastAsia="Times New Roman" w:hAnsi="Times New Roman"/>
          <w:color w:val="444444"/>
          <w:sz w:val="18"/>
          <w:szCs w:val="18"/>
        </w:rPr>
        <w:t xml:space="preserve">Hellman, J. S., Jones, G. y Kaufmann, D. (2000). Seize the state, seize the day: State capture and influence in transition economies. World Bank Policy Research Working Paper No. 2444.</w:t>
      </w:r>
    </w:p>
    <w:p>
      <w:pPr>
        <w:spacing w:after="40" w:before="40"/>
      </w:pPr>
      <w:r>
        <w:rPr>
          <w:rFonts w:ascii="Times New Roman" w:cs="Times New Roman" w:eastAsia="Times New Roman" w:hAnsi="Times New Roman"/>
          <w:b/>
          <w:bCs/>
          <w:color w:val="444444"/>
          <w:sz w:val="18"/>
          <w:szCs w:val="18"/>
        </w:rPr>
        <w:t xml:space="preserve">7. </w:t>
      </w:r>
      <w:r>
        <w:rPr>
          <w:rFonts w:ascii="Times New Roman" w:cs="Times New Roman" w:eastAsia="Times New Roman" w:hAnsi="Times New Roman"/>
          <w:color w:val="444444"/>
          <w:sz w:val="18"/>
          <w:szCs w:val="18"/>
        </w:rPr>
        <w:t xml:space="preserve">Huther, J. y Shah, A. (2000). Anti-corruption policies and programs: A framework for evaluation. World Bank Policy Research Working Paper No. 2501.</w:t>
      </w:r>
    </w:p>
    <w:p>
      <w:pPr>
        <w:spacing w:after="40" w:before="40"/>
      </w:pPr>
      <w:r>
        <w:rPr>
          <w:rFonts w:ascii="Times New Roman" w:cs="Times New Roman" w:eastAsia="Times New Roman" w:hAnsi="Times New Roman"/>
          <w:b/>
          <w:bCs/>
          <w:color w:val="444444"/>
          <w:sz w:val="18"/>
          <w:szCs w:val="18"/>
        </w:rPr>
        <w:t xml:space="preserve">8. </w:t>
      </w:r>
      <w:r>
        <w:rPr>
          <w:rFonts w:ascii="Times New Roman" w:cs="Times New Roman" w:eastAsia="Times New Roman" w:hAnsi="Times New Roman"/>
          <w:color w:val="444444"/>
          <w:sz w:val="18"/>
          <w:szCs w:val="18"/>
        </w:rPr>
        <w:t xml:space="preserve">ICAC. (2023). Annual report 2022. Independent Commission Against Corruption, Hong Kong. https://www.icac.org.hk</w:t>
      </w:r>
    </w:p>
    <w:p>
      <w:pPr>
        <w:spacing w:after="40" w:before="40"/>
      </w:pPr>
      <w:r>
        <w:rPr>
          <w:rFonts w:ascii="Times New Roman" w:cs="Times New Roman" w:eastAsia="Times New Roman" w:hAnsi="Times New Roman"/>
          <w:b/>
          <w:bCs/>
          <w:color w:val="444444"/>
          <w:sz w:val="18"/>
          <w:szCs w:val="18"/>
        </w:rPr>
        <w:t xml:space="preserve">9. </w:t>
      </w:r>
      <w:r>
        <w:rPr>
          <w:rFonts w:ascii="Times New Roman" w:cs="Times New Roman" w:eastAsia="Times New Roman" w:hAnsi="Times New Roman"/>
          <w:color w:val="444444"/>
          <w:sz w:val="18"/>
          <w:szCs w:val="18"/>
        </w:rPr>
        <w:t xml:space="preserve">Landell-Mills, P. (2013). Citizens against corruption: Report from the front line. Troubador Publishing.</w:t>
      </w:r>
    </w:p>
    <w:p>
      <w:pPr>
        <w:spacing w:after="40" w:before="40"/>
      </w:pPr>
      <w:r>
        <w:rPr>
          <w:rFonts w:ascii="Times New Roman" w:cs="Times New Roman" w:eastAsia="Times New Roman" w:hAnsi="Times New Roman"/>
          <w:b/>
          <w:bCs/>
          <w:color w:val="444444"/>
          <w:sz w:val="18"/>
          <w:szCs w:val="18"/>
        </w:rPr>
        <w:t xml:space="preserve">10. </w:t>
      </w:r>
      <w:r>
        <w:rPr>
          <w:rFonts w:ascii="Times New Roman" w:cs="Times New Roman" w:eastAsia="Times New Roman" w:hAnsi="Times New Roman"/>
          <w:color w:val="444444"/>
          <w:sz w:val="18"/>
          <w:szCs w:val="18"/>
        </w:rPr>
        <w:t xml:space="preserve">Levitsky, S. y Murillo, M. V. (2009). Variation in institutional strength. Annual Review of Political Science, 12, 115-133.</w:t>
      </w:r>
    </w:p>
    <w:p>
      <w:pPr>
        <w:spacing w:after="40" w:before="40"/>
      </w:pPr>
      <w:r>
        <w:rPr>
          <w:rFonts w:ascii="Times New Roman" w:cs="Times New Roman" w:eastAsia="Times New Roman" w:hAnsi="Times New Roman"/>
          <w:b/>
          <w:bCs/>
          <w:color w:val="444444"/>
          <w:sz w:val="18"/>
          <w:szCs w:val="18"/>
        </w:rPr>
        <w:t xml:space="preserve">11. </w:t>
      </w:r>
      <w:r>
        <w:rPr>
          <w:rFonts w:ascii="Times New Roman" w:cs="Times New Roman" w:eastAsia="Times New Roman" w:hAnsi="Times New Roman"/>
          <w:color w:val="444444"/>
          <w:sz w:val="18"/>
          <w:szCs w:val="18"/>
        </w:rPr>
        <w:t xml:space="preserve">Levitsky, S. y Ziblatt, D. (2018). Cómo mueren las democracias. Ariel.</w:t>
      </w:r>
    </w:p>
    <w:p>
      <w:pPr>
        <w:spacing w:after="40" w:before="40"/>
      </w:pPr>
      <w:r>
        <w:rPr>
          <w:rFonts w:ascii="Times New Roman" w:cs="Times New Roman" w:eastAsia="Times New Roman" w:hAnsi="Times New Roman"/>
          <w:b/>
          <w:bCs/>
          <w:color w:val="444444"/>
          <w:sz w:val="18"/>
          <w:szCs w:val="18"/>
        </w:rPr>
        <w:t xml:space="preserve">12. </w:t>
      </w:r>
      <w:r>
        <w:rPr>
          <w:rFonts w:ascii="Times New Roman" w:cs="Times New Roman" w:eastAsia="Times New Roman" w:hAnsi="Times New Roman"/>
          <w:color w:val="444444"/>
          <w:sz w:val="18"/>
          <w:szCs w:val="18"/>
        </w:rPr>
        <w:t xml:space="preserve">O'Donnell, G. (1994). Delegative democracy. Journal of Democracy, 5(1), 55-69.</w:t>
      </w:r>
    </w:p>
    <w:p>
      <w:pPr>
        <w:spacing w:after="40" w:before="40"/>
      </w:pPr>
      <w:r>
        <w:rPr>
          <w:rFonts w:ascii="Times New Roman" w:cs="Times New Roman" w:eastAsia="Times New Roman" w:hAnsi="Times New Roman"/>
          <w:b/>
          <w:bCs/>
          <w:color w:val="444444"/>
          <w:sz w:val="18"/>
          <w:szCs w:val="18"/>
        </w:rPr>
        <w:t xml:space="preserve">13. </w:t>
      </w:r>
      <w:r>
        <w:rPr>
          <w:rFonts w:ascii="Times New Roman" w:cs="Times New Roman" w:eastAsia="Times New Roman" w:hAnsi="Times New Roman"/>
          <w:color w:val="444444"/>
          <w:sz w:val="18"/>
          <w:szCs w:val="18"/>
        </w:rPr>
        <w:t xml:space="preserve">Ombudsman Denmark. (2023). The Danish Parliamentary Ombudsman: Annual report 2022. https://www.ombudsmanden.dk/en</w:t>
      </w:r>
    </w:p>
    <w:p>
      <w:pPr>
        <w:spacing w:after="40" w:before="40"/>
      </w:pPr>
      <w:r>
        <w:rPr>
          <w:rFonts w:ascii="Times New Roman" w:cs="Times New Roman" w:eastAsia="Times New Roman" w:hAnsi="Times New Roman"/>
          <w:b/>
          <w:bCs/>
          <w:color w:val="444444"/>
          <w:sz w:val="18"/>
          <w:szCs w:val="18"/>
        </w:rPr>
        <w:t xml:space="preserve">14. </w:t>
      </w:r>
      <w:r>
        <w:rPr>
          <w:rFonts w:ascii="Times New Roman" w:cs="Times New Roman" w:eastAsia="Times New Roman" w:hAnsi="Times New Roman"/>
          <w:color w:val="444444"/>
          <w:sz w:val="18"/>
          <w:szCs w:val="18"/>
        </w:rPr>
        <w:t xml:space="preserve">Peruzzotti, E. y Smulovitz, C. (2006). Enforcing the rule of law: Social accountability in the new Latin American democracies. University of Pittsburgh Press.</w:t>
      </w:r>
    </w:p>
    <w:p>
      <w:pPr>
        <w:spacing w:after="40" w:before="40"/>
      </w:pPr>
      <w:r>
        <w:rPr>
          <w:rFonts w:ascii="Times New Roman" w:cs="Times New Roman" w:eastAsia="Times New Roman" w:hAnsi="Times New Roman"/>
          <w:b/>
          <w:bCs/>
          <w:color w:val="444444"/>
          <w:sz w:val="18"/>
          <w:szCs w:val="18"/>
        </w:rPr>
        <w:t xml:space="preserve">15. </w:t>
      </w:r>
      <w:r>
        <w:rPr>
          <w:rFonts w:ascii="Times New Roman" w:cs="Times New Roman" w:eastAsia="Times New Roman" w:hAnsi="Times New Roman"/>
          <w:color w:val="444444"/>
          <w:sz w:val="18"/>
          <w:szCs w:val="18"/>
        </w:rPr>
        <w:t xml:space="preserve">Rothstein, B. (2011). The quality of government: Corruption, social trust, and inequality in international perspective. University of Chicago Press.</w:t>
      </w:r>
    </w:p>
    <w:p>
      <w:pPr>
        <w:spacing w:after="40" w:before="40"/>
      </w:pPr>
      <w:r>
        <w:rPr>
          <w:rFonts w:ascii="Times New Roman" w:cs="Times New Roman" w:eastAsia="Times New Roman" w:hAnsi="Times New Roman"/>
          <w:b/>
          <w:bCs/>
          <w:color w:val="444444"/>
          <w:sz w:val="18"/>
          <w:szCs w:val="18"/>
        </w:rPr>
        <w:t xml:space="preserve">16. </w:t>
      </w:r>
      <w:r>
        <w:rPr>
          <w:rFonts w:ascii="Times New Roman" w:cs="Times New Roman" w:eastAsia="Times New Roman" w:hAnsi="Times New Roman"/>
          <w:color w:val="444444"/>
          <w:sz w:val="18"/>
          <w:szCs w:val="18"/>
        </w:rPr>
        <w:t xml:space="preserve">SFO New Zealand. (2023). Annual report 2022/2023. Serious Fraud Office. https://www.sfo.govt.nz</w:t>
      </w:r>
    </w:p>
    <w:p>
      <w:pPr>
        <w:spacing w:after="40" w:before="40"/>
      </w:pPr>
      <w:r>
        <w:rPr>
          <w:rFonts w:ascii="Times New Roman" w:cs="Times New Roman" w:eastAsia="Times New Roman" w:hAnsi="Times New Roman"/>
          <w:b/>
          <w:bCs/>
          <w:color w:val="444444"/>
          <w:sz w:val="18"/>
          <w:szCs w:val="18"/>
        </w:rPr>
        <w:t xml:space="preserve">17. </w:t>
      </w:r>
      <w:r>
        <w:rPr>
          <w:rFonts w:ascii="Times New Roman" w:cs="Times New Roman" w:eastAsia="Times New Roman" w:hAnsi="Times New Roman"/>
          <w:color w:val="444444"/>
          <w:sz w:val="18"/>
          <w:szCs w:val="18"/>
        </w:rPr>
        <w:t xml:space="preserve">Transparency International. (2024). Corruption Perceptions Index 2024. https://www.transparency.org/en/cpi/2024</w:t>
      </w:r>
    </w:p>
    <w:p>
      <w:pPr>
        <w:spacing w:after="40" w:before="40"/>
      </w:pPr>
      <w:r>
        <w:rPr>
          <w:rFonts w:ascii="Times New Roman" w:cs="Times New Roman" w:eastAsia="Times New Roman" w:hAnsi="Times New Roman"/>
          <w:b/>
          <w:bCs/>
          <w:color w:val="444444"/>
          <w:sz w:val="18"/>
          <w:szCs w:val="18"/>
        </w:rPr>
        <w:t xml:space="preserve">18. </w:t>
      </w:r>
      <w:r>
        <w:rPr>
          <w:rFonts w:ascii="Times New Roman" w:cs="Times New Roman" w:eastAsia="Times New Roman" w:hAnsi="Times New Roman"/>
          <w:color w:val="444444"/>
          <w:sz w:val="18"/>
          <w:szCs w:val="18"/>
        </w:rPr>
        <w:t xml:space="preserve">Ministerio de Telecomunicaciones del Ecuador. (2026). Estrategia para el Fomento del Desarrollo y Uso Ético y Responsable de la Inteligencia Artificial en Ecuador (EFIA-EC). Registro Oficial, 19 de enero de 2026. https://www.telecomunicaciones.gob.ec</w:t>
      </w:r>
    </w:p>
    <w:p>
      <w:pPr>
        <w:spacing w:after="40" w:before="40"/>
      </w:pPr>
      <w:r>
        <w:rPr>
          <w:rFonts w:ascii="Times New Roman" w:cs="Times New Roman" w:eastAsia="Times New Roman" w:hAnsi="Times New Roman"/>
          <w:b/>
          <w:bCs/>
          <w:color w:val="444444"/>
          <w:sz w:val="18"/>
          <w:szCs w:val="18"/>
        </w:rPr>
        <w:t xml:space="preserve">19. </w:t>
      </w:r>
      <w:r>
        <w:rPr>
          <w:rFonts w:ascii="Times New Roman" w:cs="Times New Roman" w:eastAsia="Times New Roman" w:hAnsi="Times New Roman"/>
          <w:color w:val="444444"/>
          <w:sz w:val="18"/>
          <w:szCs w:val="18"/>
        </w:rPr>
        <w:t xml:space="preserve">UNODC. (2023). United Nations Convention Against Corruption: Implementation review mechanism. https://www.unodc.org/unodc/en/corruption/implementation-review-mechanism.html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before="120"/>
      <w:jc w:val="center"/>
    </w:pP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120" w:before="0"/>
      <w:jc w:val="right"/>
    </w:pPr>
    <w:r>
      <w:rPr>
        <w:rFonts w:ascii="Times New Roman" w:cs="Times New Roman" w:eastAsia="Times New Roman" w:hAnsi="Times New Roman"/>
        <w:i/>
        <w:iCs/>
        <w:color w:val="666666"/>
        <w:sz w:val="17"/>
        <w:szCs w:val="17"/>
      </w:rPr>
      <w:t xml:space="preserve">Loor Anchundia, A.M. — Organismos anticorrupción autónomos en AL: diseño y sostenibilidad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aps/>
      <w:color w:val="0D1F3C"/>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0D1F3C"/>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2026-03-15T03:48:23.348Z</dcterms:created>
  <dcterms:modified xsi:type="dcterms:W3CDTF">2026-03-15T03:48:23.348Z</dcterms:modified>
</cp:coreProperties>
</file>

<file path=docProps/custom.xml><?xml version="1.0" encoding="utf-8"?>
<Properties xmlns="http://schemas.openxmlformats.org/officeDocument/2006/custom-properties" xmlns:vt="http://schemas.openxmlformats.org/officeDocument/2006/docPropsVTypes"/>
</file>