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80"/>
              <w:left w:type="dxa" w:w="280"/>
              <w:bottom w:type="dxa" w:w="80"/>
              <w:right w:type="dxa" w:w="280"/>
            </w:tcMar>
          </w:tcPr>
          <w:p>
            <w:pPr>
              <w:spacing w:after="0" w:before="0"/>
            </w:pPr>
            <w:r>
              <w:rPr>
                <w:rFonts w:ascii="Arial" w:cs="Arial" w:eastAsia="Arial" w:hAnsi="Arial"/>
                <w:b/>
                <w:bCs/>
                <w:caps/>
                <w:color w:val="AAC4E8"/>
                <w:sz w:val="20"/>
                <w:szCs w:val="20"/>
              </w:rPr>
              <w:t xml:space="preserve">POLICY BRIEF</w:t>
            </w:r>
            <w:r>
              <w:rPr>
                <w:rFonts w:ascii="Arial" w:cs="Arial" w:eastAsia="Arial" w:hAnsi="Arial"/>
                <w:color w:val="7799BB"/>
                <w:sz w:val="18"/>
                <w:szCs w:val="18"/>
              </w:rPr>
              <w:t xml:space="preserve">  |  Anticorrupción y Gobierno Digital  |  Ecuador 2026</w:t>
            </w:r>
          </w:p>
        </w:tc>
      </w:tr>
    </w:tbl>
    <w:p>
      <w:pPr>
        <w:spacing w:after="140" w:before="0"/>
      </w:pPr>
      <w:r>
        <w:rPr>
          <w:sz w:val="20"/>
          <w:szCs w:val="20"/>
        </w:rPr>
        <w:t xml:space="preserve"/>
      </w:r>
    </w:p>
    <w:p>
      <w:pPr>
        <w:spacing w:after="60" w:before="0"/>
      </w:pPr>
      <w:r>
        <w:rPr>
          <w:rFonts w:ascii="Arial" w:cs="Arial" w:eastAsia="Arial" w:hAnsi="Arial"/>
          <w:b/>
          <w:bCs/>
          <w:color w:val="0D1F3C"/>
          <w:sz w:val="40"/>
          <w:szCs w:val="40"/>
        </w:rPr>
        <w:t xml:space="preserve">SISTEMA NACIONAL DE INTEGRIDAD PÚBLICA (SNIP)</w:t>
      </w:r>
    </w:p>
    <w:p>
      <w:pPr>
        <w:spacing w:after="200" w:before="0"/>
      </w:pPr>
      <w:r>
        <w:rPr>
          <w:rFonts w:ascii="Arial" w:cs="Arial" w:eastAsia="Arial" w:hAnsi="Arial"/>
          <w:i/>
          <w:iCs/>
          <w:color w:val="2E5FA3"/>
          <w:sz w:val="24"/>
          <w:szCs w:val="24"/>
        </w:rPr>
        <w:t xml:space="preserve">Una propuesta para la detección temprana de corrupción institucional en Ecuador</w:t>
      </w:r>
    </w:p>
    <w:p>
      <w:pPr>
        <w:spacing w:after="60" w:before="0"/>
      </w:pPr>
      <w:r>
        <w:rPr>
          <w:rFonts w:ascii="Arial" w:cs="Arial" w:eastAsia="Arial" w:hAnsi="Arial"/>
          <w:b/>
          <w:bCs/>
          <w:color w:val="444444"/>
          <w:sz w:val="20"/>
          <w:szCs w:val="20"/>
        </w:rPr>
        <w:t xml:space="preserve">Autor: </w:t>
      </w:r>
      <w:r>
        <w:rPr>
          <w:rFonts w:ascii="Arial" w:cs="Arial" w:eastAsia="Arial" w:hAnsi="Arial"/>
          <w:color w:val="444444"/>
          <w:sz w:val="20"/>
          <w:szCs w:val="20"/>
        </w:rPr>
        <w:t xml:space="preserve">Adonis Manuel Loor Anchundia</w:t>
      </w:r>
    </w:p>
    <w:p>
      <w:pPr>
        <w:spacing w:after="60" w:before="0"/>
      </w:pPr>
      <w:r>
        <w:rPr>
          <w:rFonts w:ascii="Arial" w:cs="Arial" w:eastAsia="Arial" w:hAnsi="Arial"/>
          <w:b/>
          <w:bCs/>
          <w:color w:val="444444"/>
          <w:sz w:val="20"/>
          <w:szCs w:val="20"/>
        </w:rPr>
        <w:t xml:space="preserve">Institución: </w:t>
      </w:r>
      <w:r>
        <w:rPr>
          <w:rFonts w:ascii="Arial" w:cs="Arial" w:eastAsia="Arial" w:hAnsi="Arial"/>
          <w:color w:val="444444"/>
          <w:sz w:val="20"/>
          <w:szCs w:val="20"/>
        </w:rPr>
        <w:t xml:space="preserve">Unidad Educativa Capitán Edmundo Chiriboga, Calceta, Manabí, Ecuador</w:t>
      </w:r>
    </w:p>
    <w:p>
      <w:pPr>
        <w:spacing w:after="240" w:before="0"/>
      </w:pPr>
      <w:r>
        <w:rPr>
          <w:rFonts w:ascii="Arial" w:cs="Arial" w:eastAsia="Arial" w:hAnsi="Arial"/>
          <w:b/>
          <w:bCs/>
          <w:color w:val="444444"/>
          <w:sz w:val="20"/>
          <w:szCs w:val="20"/>
        </w:rPr>
        <w:t xml:space="preserve">Dirigido a: </w:t>
      </w:r>
      <w:r>
        <w:rPr>
          <w:rFonts w:ascii="Arial" w:cs="Arial" w:eastAsia="Arial" w:hAnsi="Arial"/>
          <w:color w:val="444444"/>
          <w:sz w:val="20"/>
          <w:szCs w:val="20"/>
        </w:rPr>
        <w:t xml:space="preserve">BID — Banco Interamericano de Desarrollo  |  UNODC  |  OEA-MESICIC  |  Banco Mundial</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240"/>
        <w:gridCol w:w="2240"/>
        <w:gridCol w:w="240"/>
        <w:gridCol w:w="2240"/>
        <w:gridCol w:w="240"/>
        <w:gridCol w:w="2100"/>
      </w:tblGrid>
      <w:tr>
        <w:tc>
          <w:tcPr>
            <w:tcW w:type="dxa" w:w="2240"/>
            <w:tcBorders>
              <w:top w:val="none" w:color="FFFFFF" w:sz="0" w:space="0"/>
              <w:left w:val="none" w:color="FFFFFF" w:sz="0" w:space="0"/>
              <w:bottom w:val="none" w:color="FFFFFF" w:sz="0" w:space="0"/>
              <w:right w:val="none" w:color="FFFFFF" w:sz="0" w:space="0"/>
            </w:tcBorders>
            <w:shd w:fill="7B1111" w:val="clear"/>
            <w:tcMar>
              <w:top w:type="dxa" w:w="120"/>
              <w:left w:type="dxa" w:w="140"/>
              <w:bottom w:type="dxa" w:w="120"/>
              <w:right w:type="dxa" w:w="0"/>
            </w:tcMar>
          </w:tcPr>
          <w:p>
            <w:pPr>
              <w:spacing w:after="20" w:before="0"/>
              <w:jc w:val="center"/>
            </w:pPr>
            <w:r>
              <w:rPr>
                <w:rFonts w:ascii="Arial" w:cs="Arial" w:eastAsia="Arial" w:hAnsi="Arial"/>
                <w:b/>
                <w:bCs/>
                <w:color w:val="FFFFFF"/>
                <w:sz w:val="36"/>
                <w:szCs w:val="36"/>
              </w:rPr>
              <w:t xml:space="preserve">32/100</w:t>
            </w:r>
          </w:p>
          <w:p>
            <w:pPr>
              <w:spacing w:after="0" w:before="0"/>
              <w:jc w:val="center"/>
            </w:pPr>
            <w:r>
              <w:rPr>
                <w:rFonts w:ascii="Arial" w:cs="Arial" w:eastAsia="Arial" w:hAnsi="Arial"/>
                <w:color w:val="FFAAAA"/>
                <w:sz w:val="16"/>
                <w:szCs w:val="16"/>
              </w:rPr>
              <w:t xml:space="preserve">IPC Ecuador 2024</w:t>
            </w:r>
          </w:p>
        </w:tc>
        <w:tc>
          <w:tcPr>
            <w:tcW w:type="dxa" w:w="240"/>
            <w:tcBorders>
              <w:top w:val="none" w:color="FFFFFF" w:sz="0" w:space="0"/>
              <w:left w:val="none" w:color="FFFFFF" w:sz="0" w:space="0"/>
              <w:bottom w:val="none" w:color="FFFFFF" w:sz="0" w:space="0"/>
              <w:right w:val="none" w:color="FFFFFF" w:sz="0" w:space="0"/>
            </w:tcBorders>
          </w:tcPr>
          <w:p>
            <w:r>
              <w:rPr>
                <w:sz w:val="20"/>
                <w:szCs w:val="20"/>
              </w:rPr>
              <w:t xml:space="preserve"/>
            </w:r>
          </w:p>
        </w:tc>
        <w:tc>
          <w:tcPr>
            <w:tcW w:type="dxa" w:w="2240"/>
            <w:tcBorders>
              <w:top w:val="none" w:color="FFFFFF" w:sz="0" w:space="0"/>
              <w:left w:val="none" w:color="FFFFFF" w:sz="0" w:space="0"/>
              <w:bottom w:val="none" w:color="FFFFFF" w:sz="0" w:space="0"/>
              <w:right w:val="none" w:color="FFFFFF" w:sz="0" w:space="0"/>
            </w:tcBorders>
            <w:shd w:fill="0D1F3C" w:val="clear"/>
            <w:tcMar>
              <w:top w:type="dxa" w:w="120"/>
              <w:left w:type="dxa" w:w="140"/>
              <w:bottom w:type="dxa" w:w="120"/>
              <w:right w:type="dxa" w:w="0"/>
            </w:tcMar>
          </w:tcPr>
          <w:p>
            <w:pPr>
              <w:spacing w:after="20" w:before="0"/>
              <w:jc w:val="center"/>
            </w:pPr>
            <w:r>
              <w:rPr>
                <w:rFonts w:ascii="Arial" w:cs="Arial" w:eastAsia="Arial" w:hAnsi="Arial"/>
                <w:b/>
                <w:bCs/>
                <w:color w:val="FFFFFF"/>
                <w:sz w:val="36"/>
                <w:szCs w:val="36"/>
              </w:rPr>
              <w:t xml:space="preserve">$800M+</w:t>
            </w:r>
          </w:p>
          <w:p>
            <w:pPr>
              <w:spacing w:after="0" w:before="0"/>
              <w:jc w:val="center"/>
            </w:pPr>
            <w:r>
              <w:rPr>
                <w:rFonts w:ascii="Arial" w:cs="Arial" w:eastAsia="Arial" w:hAnsi="Arial"/>
                <w:color w:val="AABBD4"/>
                <w:sz w:val="16"/>
                <w:szCs w:val="16"/>
              </w:rPr>
              <w:t xml:space="preserve">Pérdida anual estimada por corrupción</w:t>
            </w:r>
          </w:p>
        </w:tc>
        <w:tc>
          <w:tcPr>
            <w:tcW w:type="dxa" w:w="240"/>
            <w:tcBorders>
              <w:top w:val="none" w:color="FFFFFF" w:sz="0" w:space="0"/>
              <w:left w:val="none" w:color="FFFFFF" w:sz="0" w:space="0"/>
              <w:bottom w:val="none" w:color="FFFFFF" w:sz="0" w:space="0"/>
              <w:right w:val="none" w:color="FFFFFF" w:sz="0" w:space="0"/>
            </w:tcBorders>
          </w:tcPr>
          <w:p>
            <w:r>
              <w:rPr>
                <w:sz w:val="20"/>
                <w:szCs w:val="20"/>
              </w:rPr>
              <w:t xml:space="preserve"/>
            </w:r>
          </w:p>
        </w:tc>
        <w:tc>
          <w:tcPr>
            <w:tcW w:type="dxa" w:w="2240"/>
            <w:tcBorders>
              <w:top w:val="none" w:color="FFFFFF" w:sz="0" w:space="0"/>
              <w:left w:val="none" w:color="FFFFFF" w:sz="0" w:space="0"/>
              <w:bottom w:val="none" w:color="FFFFFF" w:sz="0" w:space="0"/>
              <w:right w:val="none" w:color="FFFFFF" w:sz="0" w:space="0"/>
            </w:tcBorders>
            <w:shd w:fill="1A5C2E" w:val="clear"/>
            <w:tcMar>
              <w:top w:type="dxa" w:w="120"/>
              <w:left w:type="dxa" w:w="140"/>
              <w:bottom w:type="dxa" w:w="120"/>
              <w:right w:type="dxa" w:w="0"/>
            </w:tcMar>
          </w:tcPr>
          <w:p>
            <w:pPr>
              <w:spacing w:after="20" w:before="0"/>
              <w:jc w:val="center"/>
            </w:pPr>
            <w:r>
              <w:rPr>
                <w:rFonts w:ascii="Arial" w:cs="Arial" w:eastAsia="Arial" w:hAnsi="Arial"/>
                <w:b/>
                <w:bCs/>
                <w:color w:val="FFFFFF"/>
                <w:sz w:val="30"/>
                <w:szCs w:val="30"/>
              </w:rPr>
              <w:t xml:space="preserve">$19M–$37M</w:t>
            </w:r>
          </w:p>
          <w:p>
            <w:pPr>
              <w:spacing w:after="0" w:before="0"/>
              <w:jc w:val="center"/>
            </w:pPr>
            <w:r>
              <w:rPr>
                <w:rFonts w:ascii="Arial" w:cs="Arial" w:eastAsia="Arial" w:hAnsi="Arial"/>
                <w:color w:val="CCEECC"/>
                <w:sz w:val="16"/>
                <w:szCs w:val="16"/>
              </w:rPr>
              <w:t xml:space="preserve">Costo total del SNIP (fases 0–5)</w:t>
            </w:r>
          </w:p>
        </w:tc>
        <w:tc>
          <w:tcPr>
            <w:tcW w:type="dxa" w:w="240"/>
            <w:tcBorders>
              <w:top w:val="none" w:color="FFFFFF" w:sz="0" w:space="0"/>
              <w:left w:val="none" w:color="FFFFFF" w:sz="0" w:space="0"/>
              <w:bottom w:val="none" w:color="FFFFFF" w:sz="0" w:space="0"/>
              <w:right w:val="none" w:color="FFFFFF" w:sz="0" w:space="0"/>
            </w:tcBorders>
          </w:tcPr>
          <w:p>
            <w:r>
              <w:rPr>
                <w:sz w:val="20"/>
                <w:szCs w:val="20"/>
              </w:rPr>
              <w:t xml:space="preserve"/>
            </w:r>
          </w:p>
        </w:tc>
        <w:tc>
          <w:tcPr>
            <w:tcW w:type="dxa" w:w="2100"/>
            <w:tcBorders>
              <w:top w:val="none" w:color="FFFFFF" w:sz="0" w:space="0"/>
              <w:left w:val="none" w:color="FFFFFF" w:sz="0" w:space="0"/>
              <w:bottom w:val="none" w:color="FFFFFF" w:sz="0" w:space="0"/>
              <w:right w:val="none" w:color="FFFFFF" w:sz="0" w:space="0"/>
            </w:tcBorders>
            <w:shd w:fill="92620A" w:val="clear"/>
            <w:tcMar>
              <w:top w:type="dxa" w:w="120"/>
              <w:left w:type="dxa" w:w="140"/>
              <w:bottom w:type="dxa" w:w="120"/>
              <w:right w:type="dxa" w:w="140"/>
            </w:tcMar>
          </w:tcPr>
          <w:p>
            <w:pPr>
              <w:spacing w:after="20" w:before="0"/>
              <w:jc w:val="center"/>
            </w:pPr>
            <w:r>
              <w:rPr>
                <w:rFonts w:ascii="Arial" w:cs="Arial" w:eastAsia="Arial" w:hAnsi="Arial"/>
                <w:b/>
                <w:bCs/>
                <w:color w:val="FFFFFF"/>
                <w:sz w:val="36"/>
                <w:szCs w:val="36"/>
              </w:rPr>
              <w:t xml:space="preserve">&lt;2 años</w:t>
            </w:r>
          </w:p>
          <w:p>
            <w:pPr>
              <w:spacing w:after="0" w:before="0"/>
              <w:jc w:val="center"/>
            </w:pPr>
            <w:r>
              <w:rPr>
                <w:rFonts w:ascii="Arial" w:cs="Arial" w:eastAsia="Arial" w:hAnsi="Arial"/>
                <w:color w:val="FFEEAA"/>
                <w:sz w:val="16"/>
                <w:szCs w:val="16"/>
              </w:rPr>
              <w:t xml:space="preserve">Tiempo estimado de recuperación de inversión</w:t>
            </w:r>
          </w:p>
        </w:tc>
      </w:tr>
    </w:tbl>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El problema</w:t>
      </w:r>
    </w:p>
    <w:p>
      <w:pPr>
        <w:spacing w:after="160" w:before="0" w:line="340" w:lineRule="auto"/>
        <w:jc w:val="both"/>
      </w:pPr>
      <w:r>
        <w:rPr>
          <w:rFonts w:ascii="Arial" w:cs="Arial" w:eastAsia="Arial" w:hAnsi="Arial"/>
          <w:sz w:val="22"/>
          <w:szCs w:val="22"/>
        </w:rPr>
        <w:t xml:space="preserve">Ecuador ocupa el puesto 121 de 180 países en el Índice de Percepción de la Corrupción 2024 de Transparency International, con una tendencia decreciente que lo sitúa en su peor posición desde 2016. Esta trayectoria contrasta con la de países que, partiendo de condiciones similares, lograron mejoras sostenidas de entre 15 y 21 puntos en el mismo índice a través del diseño deliberado de sistemas institucionales anticorrupción (Estonia +19, Corea del Sur +21, Uruguay +15 en 10 años).</w:t>
      </w:r>
    </w:p>
    <w:p>
      <w:pPr>
        <w:spacing w:after="160" w:before="0" w:line="340" w:lineRule="auto"/>
        <w:jc w:val="both"/>
      </w:pPr>
      <w:r>
        <w:rPr>
          <w:rFonts w:ascii="Arial" w:cs="Arial" w:eastAsia="Arial" w:hAnsi="Arial"/>
          <w:sz w:val="22"/>
          <w:szCs w:val="22"/>
        </w:rPr>
        <w:t xml:space="preserve">El caso ecuatoriano ilustra el patrón más frecuente de fracaso institucional en la región: el Estado dispone de organismos formalmente encargados del control — Contraloría, Fiscalía, CPCCS — pero estos carecen de la autonomía real y las herramientas tecnológicas para operar con independencia del poder político que deben controlar. El resultado es la impunidad sistemática. El caso PROGEN — más de $120 millones en un contrato irregular sin ningún condenado — es el ejemplo más conocido de un patrón que se repite en múltiples sectores.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1"/>
                <w:szCs w:val="21"/>
              </w:rPr>
              <w:t xml:space="preserve">El problema no es la falta de leyes anticorrupción. Ecuador tiene leyes. El problema es la falta de un sistema que las aplique de forma autónoma, continua y con capacidad de análisis que ningún equipo humano puede replicar manualmente.</w:t>
            </w:r>
          </w:p>
        </w:tc>
      </w:tr>
    </w:tbl>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La propuesta: Sistema Nacional de Integridad Pública (SNIP)</w:t>
      </w:r>
    </w:p>
    <w:p>
      <w:pPr>
        <w:spacing w:after="160" w:before="0" w:line="340" w:lineRule="auto"/>
        <w:jc w:val="both"/>
      </w:pPr>
      <w:r>
        <w:rPr>
          <w:rFonts w:ascii="Arial" w:cs="Arial" w:eastAsia="Arial" w:hAnsi="Arial"/>
          <w:sz w:val="22"/>
          <w:szCs w:val="22"/>
        </w:rPr>
        <w:t xml:space="preserve">El SNIP es un sistema integrado de detección temprana de fallas institucionales y riesgos de corrupción en el Estado ecuatoriano, basado en inteligencia artificial y arquitectura de datos distribuidos. Opera sobre el principio de que la IA analiza, alerta y notifica. Los humanos deciden y ejecutan.</w:t>
      </w:r>
    </w:p>
    <w:p>
      <w:pPr>
        <w:spacing w:after="140" w:before="0"/>
      </w:pPr>
      <w:r>
        <w:rPr>
          <w:sz w:val="20"/>
          <w:szCs w:val="20"/>
        </w:rPr>
        <w:t xml:space="preserve"/>
      </w:r>
    </w:p>
    <w:p>
      <w:pPr>
        <w:spacing w:after="160" w:before="0" w:line="340" w:lineRule="auto"/>
        <w:jc w:val="both"/>
      </w:pPr>
      <w:r>
        <w:rPr>
          <w:rFonts w:ascii="Arial" w:cs="Arial" w:eastAsia="Arial" w:hAnsi="Arial"/>
          <w:sz w:val="22"/>
          <w:szCs w:val="22"/>
        </w:rPr>
        <w:t xml:space="preserve">El SNIP opera como quinta función constitucional horizontal, al mismo nivel que las funciones Ejecutiva, Legislativa, Judicial, Electoral y de Transparencia, sin estar subordinada a ninguna. A diferencia del CPCCS, no tiene poderes de designación ni destitución. Solo detecta, alerta, documenta e informa. Su mecanismo de sanción por inacción institucional opera en tres niveles: notificación pública inmediata, congelamiento reversible del 5% mensual del presupuesto discrecional del organismo incumplidor y activación de fiscal especial sorteado para casos de inacción dolosa.</w:t>
      </w:r>
    </w:p>
    <w:p>
      <w:pPr>
        <w:spacing w:after="160" w:before="0" w:line="340" w:lineRule="auto"/>
        <w:jc w:val="both"/>
      </w:pPr>
      <w:r>
        <w:rPr>
          <w:rFonts w:ascii="Arial" w:cs="Arial" w:eastAsia="Arial" w:hAnsi="Arial"/>
          <w:sz w:val="22"/>
          <w:szCs w:val="22"/>
        </w:rPr>
        <w:t xml:space="preserve">El SNIP se diseña sobre arquitectura compatible con ISO 20022, el estándar obligatorio del sistema financiero global desde noviembre de 2025, y con infraestructura de registro inmutable en Hedera Hashgraph. Esta no es una decisión tecnológica opcional: es la condición mínima para que el módulo financiero pueda operar sobre el ecosistema de pagos que ya existe en el mundo al momento de construirse el sistema.</w:t>
      </w:r>
    </w:p>
    <w:p>
      <w:pPr>
        <w:pStyle w:val="Heading2"/>
        <w:spacing w:after="120" w:before="240"/>
      </w:pPr>
      <w:r>
        <w:rPr>
          <w:rFonts w:ascii="Arial" w:cs="Arial" w:eastAsia="Arial" w:hAnsi="Arial"/>
          <w:b/>
          <w:bCs/>
          <w:color w:val="1A3A6B"/>
          <w:sz w:val="22"/>
          <w:szCs w:val="22"/>
        </w:rPr>
        <w:t xml:space="preserve">Marco regulatorio nacional vigente</w:t>
      </w:r>
    </w:p>
    <w:p>
      <w:pPr>
        <w:spacing w:after="160" w:before="0" w:line="340" w:lineRule="auto"/>
        <w:jc w:val="both"/>
      </w:pPr>
      <w:r>
        <w:rPr>
          <w:rFonts w:ascii="Arial" w:cs="Arial" w:eastAsia="Arial" w:hAnsi="Arial"/>
          <w:sz w:val="22"/>
          <w:szCs w:val="22"/>
        </w:rPr>
        <w:t xml:space="preserve">El SNIP opera dentro del marco establecido por la Estrategia para el Fomento del Desarrollo y Uso Ético y Responsable de la Inteligencia Artificial (EFIA-EC), publicada en el Registro Oficial el 19 de enero de 2026. Los tres principios de esa estrategia — supervisión humana, transparencia y respeto a derechos fundamentales — son exactamente los que el SNIP incorpora en su principio rector: la IA analiza y alerta, los humanos deciden y ejecutan. El SNIP no requiere una nueva regulación de IA. Opera bajo la que el propio gobierno ya aprobó.</w:t>
      </w:r>
    </w:p>
    <w:p>
      <w:pPr>
        <w:pStyle w:val="Heading2"/>
        <w:spacing w:after="120" w:before="240"/>
      </w:pPr>
      <w:r>
        <w:rPr>
          <w:rFonts w:ascii="Arial" w:cs="Arial" w:eastAsia="Arial" w:hAnsi="Arial"/>
          <w:b/>
          <w:bCs/>
          <w:color w:val="1A3A6B"/>
          <w:sz w:val="22"/>
          <w:szCs w:val="22"/>
        </w:rPr>
        <w:t xml:space="preserve">Cuatro módulos operativos</w:t>
      </w:r>
    </w:p>
    <w:p>
      <w:pPr>
        <w:pStyle w:val="ListParagraph"/>
        <w:numPr>
          <w:ilvl w:val="0"/>
          <w:numId w:val="2"/>
        </w:numPr>
        <w:spacing w:after="60" w:before="60"/>
      </w:pPr>
      <w:r>
        <w:rPr>
          <w:rFonts w:ascii="Arial" w:cs="Arial" w:eastAsia="Arial" w:hAnsi="Arial"/>
          <w:sz w:val="21"/>
          <w:szCs w:val="21"/>
        </w:rPr>
        <w:t xml:space="preserve">Motor de Análisis Jurídico (NLP): detecta contradicciones entre proyectos de ley y normativa vigente, identifica vulneraciones de derechos fundamentales en textos normativos y alerta sobre inconsistencias antes de la aprobación de normas.</w:t>
      </w:r>
    </w:p>
    <w:p>
      <w:pPr>
        <w:pStyle w:val="ListParagraph"/>
        <w:numPr>
          <w:ilvl w:val="0"/>
          <w:numId w:val="2"/>
        </w:numPr>
        <w:spacing w:after="60" w:before="60"/>
      </w:pPr>
      <w:r>
        <w:rPr>
          <w:rFonts w:ascii="Arial" w:cs="Arial" w:eastAsia="Arial" w:hAnsi="Arial"/>
          <w:sz w:val="21"/>
          <w:szCs w:val="21"/>
        </w:rPr>
        <w:t xml:space="preserve">Motor de Análisis Financiero: cruza automáticamente contratos del SERCOP con datos del SRI y el sistema bancario en formato ISO 20022 — estándar global vigente desde noviembre 2025 — detectando sobreprecios, pagos a entidades relacionadas y movimientos financieros anómalos tanto en banca tradicional como en plataformas de activos digitales.</w:t>
      </w:r>
    </w:p>
    <w:p>
      <w:pPr>
        <w:pStyle w:val="ListParagraph"/>
        <w:numPr>
          <w:ilvl w:val="0"/>
          <w:numId w:val="2"/>
        </w:numPr>
        <w:spacing w:after="60" w:before="60"/>
      </w:pPr>
      <w:r>
        <w:rPr>
          <w:rFonts w:ascii="Arial" w:cs="Arial" w:eastAsia="Arial" w:hAnsi="Arial"/>
          <w:sz w:val="21"/>
          <w:szCs w:val="21"/>
        </w:rPr>
        <w:t xml:space="preserve">Módulo de Seguimiento Institucional: rastrea desempeño, asistencia y cumplimiento de obligaciones de funcionarios electos y designados. Panel público actualizado semanalmente.</w:t>
      </w:r>
    </w:p>
    <w:p>
      <w:pPr>
        <w:pStyle w:val="ListParagraph"/>
        <w:numPr>
          <w:ilvl w:val="0"/>
          <w:numId w:val="2"/>
        </w:numPr>
        <w:spacing w:after="60" w:before="60"/>
      </w:pPr>
      <w:r>
        <w:rPr>
          <w:rFonts w:ascii="Arial" w:cs="Arial" w:eastAsia="Arial" w:hAnsi="Arial"/>
          <w:sz w:val="21"/>
          <w:szCs w:val="21"/>
        </w:rPr>
        <w:t xml:space="preserve">Módulo Ciudadano: centraliza denuncias verificadas, gestiona procesos de revocatoria del mandato y publica indicadores de desempeño institucional accesibles para cualquier ciudadano.</w:t>
      </w:r>
    </w:p>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Evidencia comparada: por qué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360"/>
      </w:tblGrid>
      <w:tr>
        <w:tc>
          <w:tcPr>
            <w:tcW w:type="dxa" w:w="16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País</w:t>
            </w:r>
          </w:p>
        </w:tc>
        <w:tc>
          <w:tcPr>
            <w:tcW w:type="dxa" w:w="36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Modelo implementado</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Años hasta resultados</w:t>
            </w:r>
          </w:p>
        </w:tc>
        <w:tc>
          <w:tcPr>
            <w:tcW w:type="dxa" w:w="23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Mejora en IPC</w:t>
            </w:r>
          </w:p>
        </w:tc>
      </w:tr>
      <w:tr>
        <w:tc>
          <w:tcPr>
            <w:tcW w:type="dxa" w:w="1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Estonia</w:t>
            </w:r>
          </w:p>
        </w:tc>
        <w:tc>
          <w:tcPr>
            <w:tcW w:type="dxa" w:w="3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X-Road — interoperabilidad total del Estado</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3–5 años</w:t>
            </w:r>
          </w:p>
        </w:tc>
        <w:tc>
          <w:tcPr>
            <w:tcW w:type="dxa" w:w="2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+19 puntos en 10 años</w:t>
            </w:r>
          </w:p>
        </w:tc>
      </w:tr>
      <w:tr>
        <w:tc>
          <w:tcPr>
            <w:tcW w:type="dxa" w:w="16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Corea del Sur</w:t>
            </w:r>
          </w:p>
        </w:tc>
        <w:tc>
          <w:tcPr>
            <w:tcW w:type="dxa" w:w="36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Sistema OPEN — visibilidad de trámites</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2–3 años</w:t>
            </w:r>
          </w:p>
        </w:tc>
        <w:tc>
          <w:tcPr>
            <w:tcW w:type="dxa" w:w="2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+21 puntos en 10 años</w:t>
            </w:r>
          </w:p>
        </w:tc>
      </w:tr>
      <w:tr>
        <w:tc>
          <w:tcPr>
            <w:tcW w:type="dxa" w:w="1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Chile</w:t>
            </w:r>
          </w:p>
        </w:tc>
        <w:tc>
          <w:tcPr>
            <w:tcW w:type="dxa" w:w="3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ChileCompra + Ley de Transparencia</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2–4 años</w:t>
            </w:r>
          </w:p>
        </w:tc>
        <w:tc>
          <w:tcPr>
            <w:tcW w:type="dxa" w:w="2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+15 puntos en 10 años</w:t>
            </w:r>
          </w:p>
        </w:tc>
      </w:tr>
      <w:tr>
        <w:tc>
          <w:tcPr>
            <w:tcW w:type="dxa" w:w="16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Singapur</w:t>
            </w:r>
          </w:p>
        </w:tc>
        <w:tc>
          <w:tcPr>
            <w:tcW w:type="dxa" w:w="36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CPIB autónomo + tolerancia cero</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5–10 años</w:t>
            </w:r>
          </w:p>
        </w:tc>
        <w:tc>
          <w:tcPr>
            <w:tcW w:type="dxa" w:w="2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+59 puntos en 30 años</w:t>
            </w:r>
          </w:p>
        </w:tc>
      </w:tr>
      <w:tr>
        <w:tc>
          <w:tcPr>
            <w:tcW w:type="dxa" w:w="1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Hong Kong</w:t>
            </w:r>
          </w:p>
        </w:tc>
        <w:tc>
          <w:tcPr>
            <w:tcW w:type="dxa" w:w="3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ICAC — tres pilares: detección, prevención, cultura</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5–8 años</w:t>
            </w:r>
          </w:p>
        </w:tc>
        <w:tc>
          <w:tcPr>
            <w:tcW w:type="dxa" w:w="2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+36 puntos en 20 años</w:t>
            </w:r>
          </w:p>
        </w:tc>
      </w:tr>
    </w:tbl>
    <w:p>
      <w:pPr>
        <w:spacing w:after="140" w:before="0"/>
      </w:pPr>
      <w:r>
        <w:rPr>
          <w:sz w:val="20"/>
          <w:szCs w:val="20"/>
        </w:rPr>
        <w:t xml:space="preserve"/>
      </w:r>
    </w:p>
    <w:p>
      <w:pPr>
        <w:spacing w:after="160" w:before="0" w:line="340" w:lineRule="auto"/>
        <w:jc w:val="both"/>
      </w:pPr>
      <w:r>
        <w:rPr>
          <w:rFonts w:ascii="Arial" w:cs="Arial" w:eastAsia="Arial" w:hAnsi="Arial"/>
          <w:sz w:val="22"/>
          <w:szCs w:val="22"/>
        </w:rPr>
        <w:t xml:space="preserve">Los países de referencia demuestran que la transformación es posible en contextos de baja integridad institucional inicial. El factor determinante no es el nivel de desarrollo económico sino la calidad del diseño institucional y la consistencia de su implementación en el tiempo.</w:t>
      </w:r>
    </w:p>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Arquitectura legal e institucional</w:t>
      </w:r>
    </w:p>
    <w:p>
      <w:pPr>
        <w:pStyle w:val="Heading2"/>
        <w:spacing w:after="120" w:before="240"/>
      </w:pPr>
      <w:r>
        <w:rPr>
          <w:rFonts w:ascii="Arial" w:cs="Arial" w:eastAsia="Arial" w:hAnsi="Arial"/>
          <w:b/>
          <w:bCs/>
          <w:color w:val="1A3A6B"/>
          <w:sz w:val="22"/>
          <w:szCs w:val="22"/>
        </w:rPr>
        <w:t xml:space="preserve">Reformas legislativas priorizadas</w:t>
      </w:r>
    </w:p>
    <w:p>
      <w:pPr>
        <w:pStyle w:val="ListParagraph"/>
        <w:numPr>
          <w:ilvl w:val="0"/>
          <w:numId w:val="2"/>
        </w:numPr>
        <w:spacing w:after="60" w:before="60"/>
      </w:pPr>
      <w:r>
        <w:rPr>
          <w:rFonts w:ascii="Arial" w:cs="Arial" w:eastAsia="Arial" w:hAnsi="Arial"/>
          <w:sz w:val="21"/>
          <w:szCs w:val="21"/>
        </w:rPr>
        <w:t xml:space="preserve">Ley Orgánica de Creación del SNIP: autonomía constitucional, directorio por sorteo ciudadano, presupuesto protegido como porcentaje fijo del PGE.</w:t>
      </w:r>
    </w:p>
    <w:p>
      <w:pPr>
        <w:pStyle w:val="ListParagraph"/>
        <w:numPr>
          <w:ilvl w:val="0"/>
          <w:numId w:val="2"/>
        </w:numPr>
        <w:spacing w:after="60" w:before="60"/>
      </w:pPr>
      <w:r>
        <w:rPr>
          <w:rFonts w:ascii="Arial" w:cs="Arial" w:eastAsia="Arial" w:hAnsi="Arial"/>
          <w:sz w:val="21"/>
          <w:szCs w:val="21"/>
        </w:rPr>
        <w:t xml:space="preserve">Reforma LOTAIP: mecanismo sancionador real por incumplimiento de transparencia activa, formatos de datos abiertos obligatorios.</w:t>
      </w:r>
    </w:p>
    <w:p>
      <w:pPr>
        <w:pStyle w:val="ListParagraph"/>
        <w:numPr>
          <w:ilvl w:val="0"/>
          <w:numId w:val="2"/>
        </w:numPr>
        <w:spacing w:after="60" w:before="60"/>
      </w:pPr>
      <w:r>
        <w:rPr>
          <w:rFonts w:ascii="Arial" w:cs="Arial" w:eastAsia="Arial" w:hAnsi="Arial"/>
          <w:sz w:val="21"/>
          <w:szCs w:val="21"/>
        </w:rPr>
        <w:t xml:space="preserve">Reforma COIP: inversión parcial de carga de la prueba en enriquecimiento ilícito, consistente con el modelo de Singapur.</w:t>
      </w:r>
    </w:p>
    <w:p>
      <w:pPr>
        <w:pStyle w:val="ListParagraph"/>
        <w:numPr>
          <w:ilvl w:val="0"/>
          <w:numId w:val="2"/>
        </w:numPr>
        <w:spacing w:after="60" w:before="60"/>
      </w:pPr>
      <w:r>
        <w:rPr>
          <w:rFonts w:ascii="Arial" w:cs="Arial" w:eastAsia="Arial" w:hAnsi="Arial"/>
          <w:sz w:val="21"/>
          <w:szCs w:val="21"/>
        </w:rPr>
        <w:t xml:space="preserve">Ley de Protección al Denunciante: anonimato técnico protegido, imposibilidad de represalia laboral, compensación proporcional a bienes recuperados.</w:t>
      </w:r>
    </w:p>
    <w:p>
      <w:pPr>
        <w:spacing w:after="140" w:before="0"/>
      </w:pPr>
      <w:r>
        <w:rPr>
          <w:sz w:val="20"/>
          <w:szCs w:val="20"/>
        </w:rPr>
        <w:t xml:space="preserve"/>
      </w:r>
    </w:p>
    <w:p>
      <w:pPr>
        <w:pStyle w:val="Heading2"/>
        <w:spacing w:after="120" w:before="240"/>
      </w:pPr>
      <w:r>
        <w:rPr>
          <w:rFonts w:ascii="Arial" w:cs="Arial" w:eastAsia="Arial" w:hAnsi="Arial"/>
          <w:b/>
          <w:bCs/>
          <w:color w:val="1A3A6B"/>
          <w:sz w:val="22"/>
          <w:szCs w:val="22"/>
        </w:rPr>
        <w:t xml:space="preserve">Protección de directores del sistema</w:t>
      </w:r>
    </w:p>
    <w:p>
      <w:pPr>
        <w:spacing w:after="160" w:before="0" w:line="340" w:lineRule="auto"/>
        <w:jc w:val="both"/>
      </w:pPr>
      <w:r>
        <w:rPr>
          <w:rFonts w:ascii="Arial" w:cs="Arial" w:eastAsia="Arial" w:hAnsi="Arial"/>
          <w:sz w:val="22"/>
          <w:szCs w:val="22"/>
        </w:rPr>
        <w:t xml:space="preserve">En contextos de alta infiltración criminal como el ecuatoriano, la protección física de los directores del SNIP es una condición de viabilidad, no un detalle operativo. La Ley Orgánica del SNIP debe equiparar el nivel de protección del Estado a sus directores con el que ya tienen los magistrados de la Corte Constitucional, y tipificar como delito autónomo con pena agravada cualquier acto de amenaza, coacción o ataque contra ellos en ejercicio de sus funciones. Modelo directo: CPIB de Singapur e ICAC de Hong Kong.</w:t>
      </w:r>
    </w:p>
    <w:p>
      <w:pPr>
        <w:pStyle w:val="Heading2"/>
        <w:spacing w:after="120" w:before="240"/>
      </w:pPr>
      <w:r>
        <w:rPr>
          <w:rFonts w:ascii="Arial" w:cs="Arial" w:eastAsia="Arial" w:hAnsi="Arial"/>
          <w:b/>
          <w:bCs/>
          <w:color w:val="1A3A6B"/>
          <w:sz w:val="22"/>
          <w:szCs w:val="22"/>
        </w:rPr>
        <w:t xml:space="preserve">Candados institucionales</w:t>
      </w:r>
    </w:p>
    <w:p>
      <w:pPr>
        <w:spacing w:after="160" w:before="0" w:line="340" w:lineRule="auto"/>
        <w:jc w:val="both"/>
      </w:pPr>
      <w:r>
        <w:rPr>
          <w:rFonts w:ascii="Arial" w:cs="Arial" w:eastAsia="Arial" w:hAnsi="Arial"/>
          <w:sz w:val="22"/>
          <w:szCs w:val="22"/>
        </w:rPr>
        <w:t xml:space="preserve">La modificación de la Ley Orgánica del SNIP requiere la concurrencia de tres condiciones simultáneas e independientes: mayoría calificada de la Asamblea Nacional (101 votos), referéndum ciudadano con mayoría del 50%+1 de votos válidos y dictamen vinculante favorable de la Corte Constitucional. Ninguna condición sola es suficiente. Las tres deben cumplirse al mismo tiempo. Complementariamente, cualquier intento de modificación sin seguir ese proceso activa notificación automática a UNODC, OEA-MESICIC y Banco Mundial — no como sustituto del candado sino como capa adicional de presión reputacional internacional.</w:t>
      </w:r>
    </w:p>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Inversión requerida y fuentes de financiamiento</w:t>
      </w:r>
    </w:p>
    <w:p>
      <w:pPr>
        <w:spacing w:after="160" w:before="0" w:line="340" w:lineRule="auto"/>
        <w:jc w:val="both"/>
      </w:pPr>
      <w:r>
        <w:rPr>
          <w:rFonts w:ascii="Arial" w:cs="Arial" w:eastAsia="Arial" w:hAnsi="Arial"/>
          <w:i/>
          <w:iCs/>
          <w:color w:val="444444"/>
          <w:sz w:val="22"/>
          <w:szCs w:val="22"/>
        </w:rPr>
        <w:t xml:space="preserve">Los costos presentados son estimaciones referenciales basadas en costos de mercado cloud 2026 y proyectos comparables financiados por el BID en la región. El desglose de infraestructura técnica es el siguiente:</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Componente técnico</w:t>
            </w:r>
          </w:p>
        </w:tc>
        <w:tc>
          <w:tcPr>
            <w:tcW w:type="dxa" w:w="4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Detalle</w:t>
            </w:r>
          </w:p>
        </w:tc>
        <w:tc>
          <w:tcPr>
            <w:tcW w:type="dxa" w:w="27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Costo mensual estimado</w:t>
            </w:r>
          </w:p>
        </w:tc>
      </w:tr>
      <w:tr>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Personal técnico</w:t>
            </w:r>
          </w:p>
        </w:tc>
        <w:tc>
          <w:tcPr>
            <w:tcW w:type="dxa" w:w="4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20–35 ingenieros software, IA, ciberseguridad, UX/UI, ISO 20022 y Hedera</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$110.000–$180.000</w:t>
            </w:r>
          </w:p>
        </w:tc>
      </w:tr>
      <w:tr>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Infraestructura cloud</w:t>
            </w:r>
          </w:p>
        </w:tc>
        <w:tc>
          <w:tcPr>
            <w:tcW w:type="dxa" w:w="4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Servidores AWS/Azure 3 entornos — región São Paulo o Miami</w:t>
            </w:r>
          </w:p>
        </w:tc>
        <w:tc>
          <w:tcPr>
            <w:tcW w:type="dxa" w:w="2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$8.000–$25.000</w:t>
            </w:r>
          </w:p>
        </w:tc>
      </w:tr>
      <w:tr>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Almacenamiento</w:t>
            </w:r>
          </w:p>
        </w:tc>
        <w:tc>
          <w:tcPr>
            <w:tcW w:type="dxa" w:w="4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Datos del Estado: contratos, declaraciones, transacciones</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$3.000–$8.000</w:t>
            </w:r>
          </w:p>
        </w:tc>
      </w:tr>
      <w:tr>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Hedera Hashgraph</w:t>
            </w:r>
          </w:p>
        </w:tc>
        <w:tc>
          <w:tcPr>
            <w:tcW w:type="dxa" w:w="4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Registro inmutable — costo variable por volumen de transacciones</w:t>
            </w:r>
          </w:p>
        </w:tc>
        <w:tc>
          <w:tcPr>
            <w:tcW w:type="dxa" w:w="2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$2.000–$6.000</w:t>
            </w:r>
          </w:p>
        </w:tc>
      </w:tr>
      <w:tr>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TOTAL mensual Fase 2</w:t>
            </w:r>
          </w:p>
        </w:tc>
        <w:tc>
          <w:tcPr>
            <w:tcW w:type="dxa" w:w="4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Personal + infraestructura + blockchain</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$123.000–$219.000</w:t>
            </w:r>
          </w:p>
        </w:tc>
      </w:tr>
    </w:tbl>
    <w:p>
      <w:pPr>
        <w:spacing w:after="140" w:before="0"/>
      </w:pPr>
      <w:r>
        <w:rPr>
          <w:sz w:val="20"/>
          <w:szCs w:val="20"/>
        </w:rPr>
        <w:t xml:space="preserve"/>
      </w:r>
    </w:p>
    <w:p>
      <w:pPr>
        <w:spacing w:after="160" w:before="0" w:line="340" w:lineRule="auto"/>
        <w:jc w:val="both"/>
      </w:pPr>
      <w:r>
        <w:rPr>
          <w:rFonts w:ascii="Arial" w:cs="Arial" w:eastAsia="Arial" w:hAnsi="Arial"/>
          <w:i/>
          <w:iCs/>
          <w:color w:val="555555"/>
          <w:sz w:val="22"/>
          <w:szCs w:val="22"/>
        </w:rPr>
        <w:t xml:space="preserve">Estos estimados son referenciales. La cotización formal se realiza en la fase de diseño técnico detallado, previo a la presentación de financiamiento al BID u otros organismos.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800"/>
        <w:gridCol w:w="1800"/>
        <w:gridCol w:w="2760"/>
      </w:tblGrid>
      <w:tr>
        <w:tc>
          <w:tcPr>
            <w:tcW w:type="dxa" w:w="1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Fase</w:t>
            </w:r>
          </w:p>
        </w:tc>
        <w:tc>
          <w:tcPr>
            <w:tcW w:type="dxa" w:w="1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Período</w:t>
            </w:r>
          </w:p>
        </w:tc>
        <w:tc>
          <w:tcPr>
            <w:tcW w:type="dxa" w:w="2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Componente principal</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Costo estimado</w:t>
            </w:r>
          </w:p>
        </w:tc>
        <w:tc>
          <w:tcPr>
            <w:tcW w:type="dxa" w:w="27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Fuente sugerida</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Fase 0</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Años 1–2</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Legitimidad pública — canal + alianzas</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$30k–$80k</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Autofinanciamiento + cooperación técnica</w:t>
            </w:r>
          </w:p>
        </w:tc>
      </w:tr>
      <w:tr>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Fase 1</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Años 1–2</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Marco legal e institucional</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$300k–$600k</w:t>
            </w:r>
          </w:p>
        </w:tc>
        <w:tc>
          <w:tcPr>
            <w:tcW w:type="dxa" w:w="2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UNODC + OEA + BID asistencia técnica</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Fase 2</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Años 2–4</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Construcción tecnológica</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$4M–$8M</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BID préstamo + Banco Mundial</w:t>
            </w:r>
          </w:p>
        </w:tc>
      </w:tr>
      <w:tr>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Fase 3</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Año 4</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Carga y validación jurídica</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$850k–$1.6M</w:t>
            </w:r>
          </w:p>
        </w:tc>
        <w:tc>
          <w:tcPr>
            <w:tcW w:type="dxa" w:w="2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BID + cooperación bilateral</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Fase 4</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Años 4–6</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Piloto 5 instituciones</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$2M–$4M</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UNODC + fondos anticorrupción multilaterales</w:t>
            </w:r>
          </w:p>
        </w:tc>
      </w:tr>
      <w:tr>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Fase 5</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Años 5–8</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Implementación nacional</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$8M–$14M</w:t>
            </w:r>
          </w:p>
        </w:tc>
        <w:tc>
          <w:tcPr>
            <w:tcW w:type="dxa" w:w="2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Presupuesto Estado + BM + BID</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TOTAL</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Fases 0–5</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Sistema completo incluyendo arquitectura ISO 20022 base</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$17M–$32M</w:t>
            </w:r>
          </w:p>
        </w:tc>
        <w:tc>
          <w:tcPr>
            <w:tcW w:type="dxa" w:w="2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60–70% financiable con cooperación no reembolsable</w:t>
            </w:r>
          </w:p>
        </w:tc>
      </w:tr>
    </w:tbl>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Impacto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Indicador</w:t>
            </w:r>
          </w:p>
        </w:tc>
        <w:tc>
          <w:tcPr>
            <w:tcW w:type="dxa" w:w="2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Línea base 2026</w:t>
            </w:r>
          </w:p>
        </w:tc>
        <w:tc>
          <w:tcPr>
            <w:tcW w:type="dxa" w:w="2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Meta año 3</w:t>
            </w:r>
          </w:p>
        </w:tc>
        <w:tc>
          <w:tcPr>
            <w:tcW w:type="dxa" w:w="21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Meta año 8</w:t>
            </w:r>
          </w:p>
        </w:tc>
      </w:tr>
      <w:tr>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IPC Ecuador</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32/100</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38–40/100</w:t>
            </w:r>
          </w:p>
        </w:tc>
        <w:tc>
          <w:tcPr>
            <w:tcW w:type="dxa" w:w="21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50+/100</w:t>
            </w:r>
          </w:p>
        </w:tc>
      </w:tr>
      <w:tr>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Contratos con sobreprecios detectados automáticamente</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0%</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35%+</w:t>
            </w:r>
          </w:p>
        </w:tc>
        <w:tc>
          <w:tcPr>
            <w:tcW w:type="dxa" w:w="21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80%+</w:t>
            </w:r>
          </w:p>
        </w:tc>
      </w:tr>
      <w:tr>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Tiempo de detección de irregularidades financieras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Meses o años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Días</w:t>
            </w:r>
          </w:p>
        </w:tc>
        <w:tc>
          <w:tcPr>
            <w:tcW w:type="dxa" w:w="21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Horas</w:t>
            </w:r>
          </w:p>
        </w:tc>
      </w:tr>
      <w:tr>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Ciudadanos con acceso a panel de desempeño institucional</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0</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500.000+</w:t>
            </w:r>
          </w:p>
        </w:tc>
        <w:tc>
          <w:tcPr>
            <w:tcW w:type="dxa" w:w="21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2.000.000+</w:t>
            </w:r>
          </w:p>
        </w:tc>
      </w:tr>
      <w:tr>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Costo de recuperación por cada dólar invertido en el SNIP</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N/A</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$2–$5</w:t>
            </w:r>
          </w:p>
        </w:tc>
        <w:tc>
          <w:tcPr>
            <w:tcW w:type="dxa" w:w="21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$10–$20</w:t>
            </w:r>
          </w:p>
        </w:tc>
      </w:tr>
    </w:tbl>
    <w:p>
      <w:pPr>
        <w:spacing w:after="140" w:before="0"/>
      </w:pPr>
      <w:r>
        <w:rPr>
          <w:sz w:val="20"/>
          <w:szCs w:val="20"/>
        </w:rPr>
        <w:t xml:space="preserve"/>
      </w:r>
    </w:p>
    <w:p>
      <w:pPr>
        <w:pStyle w:val="Heading1"/>
        <w:pBdr>
          <w:bottom w:val="single" w:color="2E5FA3" w:sz="6" w:space="4"/>
        </w:pBdr>
        <w:spacing w:after="160" w:before="400"/>
      </w:pPr>
      <w:r>
        <w:rPr>
          <w:rFonts w:ascii="Arial" w:cs="Arial" w:eastAsia="Arial" w:hAnsi="Arial"/>
          <w:b/>
          <w:bCs/>
          <w:color w:val="0D1F3C"/>
          <w:sz w:val="26"/>
          <w:szCs w:val="26"/>
        </w:rPr>
        <w:t xml:space="preserve">Recomendaciones para organismos internacionales</w:t>
      </w:r>
    </w:p>
    <w:p>
      <w:pPr>
        <w:pStyle w:val="Heading2"/>
        <w:spacing w:after="120" w:before="240"/>
      </w:pPr>
      <w:r>
        <w:rPr>
          <w:rFonts w:ascii="Arial" w:cs="Arial" w:eastAsia="Arial" w:hAnsi="Arial"/>
          <w:b/>
          <w:bCs/>
          <w:color w:val="1A3A6B"/>
          <w:sz w:val="22"/>
          <w:szCs w:val="22"/>
        </w:rPr>
        <w:t xml:space="preserve">Para el BID</w:t>
      </w:r>
    </w:p>
    <w:p>
      <w:pPr>
        <w:pStyle w:val="ListParagraph"/>
        <w:numPr>
          <w:ilvl w:val="0"/>
          <w:numId w:val="2"/>
        </w:numPr>
        <w:spacing w:after="60" w:before="60"/>
      </w:pPr>
      <w:r>
        <w:rPr>
          <w:rFonts w:ascii="Arial" w:cs="Arial" w:eastAsia="Arial" w:hAnsi="Arial"/>
          <w:sz w:val="21"/>
          <w:szCs w:val="21"/>
        </w:rPr>
        <w:t xml:space="preserve">Financiamiento de la Fase 2 (construcción tecnológica) como proyecto de modernización del Estado en Ecuador, bajo la línea de transparencia e integridad institucional.</w:t>
      </w:r>
    </w:p>
    <w:p>
      <w:pPr>
        <w:pStyle w:val="ListParagraph"/>
        <w:numPr>
          <w:ilvl w:val="0"/>
          <w:numId w:val="2"/>
        </w:numPr>
        <w:spacing w:after="60" w:before="60"/>
      </w:pPr>
      <w:r>
        <w:rPr>
          <w:rFonts w:ascii="Arial" w:cs="Arial" w:eastAsia="Arial" w:hAnsi="Arial"/>
          <w:sz w:val="21"/>
          <w:szCs w:val="21"/>
        </w:rPr>
        <w:t xml:space="preserve">Asistencia técnica no reembolsable para el proceso legislativo de las reformas priorizadas (Fase 1), incluyendo asesoría jurídica internacional y veeduría del proceso.</w:t>
      </w:r>
    </w:p>
    <w:p>
      <w:pPr>
        <w:pStyle w:val="ListParagraph"/>
        <w:numPr>
          <w:ilvl w:val="0"/>
          <w:numId w:val="2"/>
        </w:numPr>
        <w:spacing w:after="60" w:before="60"/>
      </w:pPr>
      <w:r>
        <w:rPr>
          <w:rFonts w:ascii="Arial" w:cs="Arial" w:eastAsia="Arial" w:hAnsi="Arial"/>
          <w:sz w:val="21"/>
          <w:szCs w:val="21"/>
        </w:rPr>
        <w:t xml:space="preserve">Vinculación del SNIP con la red de sistemas anticorrupción digitales apoyados por el BID en la región para maximizar el aprendizaje comparado.</w:t>
      </w:r>
    </w:p>
    <w:p>
      <w:pPr>
        <w:spacing w:after="140" w:before="0"/>
      </w:pPr>
      <w:r>
        <w:rPr>
          <w:sz w:val="20"/>
          <w:szCs w:val="20"/>
        </w:rPr>
        <w:t xml:space="preserve"/>
      </w:r>
    </w:p>
    <w:p>
      <w:pPr>
        <w:pStyle w:val="Heading2"/>
        <w:spacing w:after="120" w:before="240"/>
      </w:pPr>
      <w:r>
        <w:rPr>
          <w:rFonts w:ascii="Arial" w:cs="Arial" w:eastAsia="Arial" w:hAnsi="Arial"/>
          <w:b/>
          <w:bCs/>
          <w:color w:val="1A3A6B"/>
          <w:sz w:val="22"/>
          <w:szCs w:val="22"/>
        </w:rPr>
        <w:t xml:space="preserve">Para la UNODC</w:t>
      </w:r>
    </w:p>
    <w:p>
      <w:pPr>
        <w:pStyle w:val="ListParagraph"/>
        <w:numPr>
          <w:ilvl w:val="0"/>
          <w:numId w:val="2"/>
        </w:numPr>
        <w:spacing w:after="60" w:before="60"/>
      </w:pPr>
      <w:r>
        <w:rPr>
          <w:rFonts w:ascii="Arial" w:cs="Arial" w:eastAsia="Arial" w:hAnsi="Arial"/>
          <w:sz w:val="21"/>
          <w:szCs w:val="21"/>
        </w:rPr>
        <w:t xml:space="preserve">Respaldo formal a la propuesta del SNIP como iniciativa consistente con los compromisos ecuatorianos bajo la Convención de la ONU contra la Corrupción (UNCAC).</w:t>
      </w:r>
    </w:p>
    <w:p>
      <w:pPr>
        <w:pStyle w:val="ListParagraph"/>
        <w:numPr>
          <w:ilvl w:val="0"/>
          <w:numId w:val="2"/>
        </w:numPr>
        <w:spacing w:after="60" w:before="60"/>
      </w:pPr>
      <w:r>
        <w:rPr>
          <w:rFonts w:ascii="Arial" w:cs="Arial" w:eastAsia="Arial" w:hAnsi="Arial"/>
          <w:sz w:val="21"/>
          <w:szCs w:val="21"/>
        </w:rPr>
        <w:t xml:space="preserve">Financiamiento del piloto institucional (Fase 4) a través del Fondo para la Aplicación de la UNCAC.</w:t>
      </w:r>
    </w:p>
    <w:p>
      <w:pPr>
        <w:pStyle w:val="ListParagraph"/>
        <w:numPr>
          <w:ilvl w:val="0"/>
          <w:numId w:val="2"/>
        </w:numPr>
        <w:spacing w:after="60" w:before="60"/>
      </w:pPr>
      <w:r>
        <w:rPr>
          <w:rFonts w:ascii="Arial" w:cs="Arial" w:eastAsia="Arial" w:hAnsi="Arial"/>
          <w:sz w:val="21"/>
          <w:szCs w:val="21"/>
        </w:rPr>
        <w:t xml:space="preserve">Asistencia técnica para el diseño del módulo de protección al denunciante, consistente con estándares internacionales de buenas prácticas.</w:t>
      </w:r>
    </w:p>
    <w:p>
      <w:pPr>
        <w:spacing w:after="140" w:before="0"/>
      </w:pPr>
      <w:r>
        <w:rPr>
          <w:sz w:val="20"/>
          <w:szCs w:val="20"/>
        </w:rPr>
        <w:t xml:space="preserve"/>
      </w:r>
    </w:p>
    <w:p>
      <w:pPr>
        <w:pStyle w:val="Heading2"/>
        <w:spacing w:after="120" w:before="240"/>
      </w:pPr>
      <w:r>
        <w:rPr>
          <w:rFonts w:ascii="Arial" w:cs="Arial" w:eastAsia="Arial" w:hAnsi="Arial"/>
          <w:b/>
          <w:bCs/>
          <w:color w:val="1A3A6B"/>
          <w:sz w:val="22"/>
          <w:szCs w:val="22"/>
        </w:rPr>
        <w:t xml:space="preserve">Para la OEA-MESICIC</w:t>
      </w:r>
    </w:p>
    <w:p>
      <w:pPr>
        <w:pStyle w:val="ListParagraph"/>
        <w:numPr>
          <w:ilvl w:val="0"/>
          <w:numId w:val="2"/>
        </w:numPr>
        <w:spacing w:after="60" w:before="60"/>
      </w:pPr>
      <w:r>
        <w:rPr>
          <w:rFonts w:ascii="Arial" w:cs="Arial" w:eastAsia="Arial" w:hAnsi="Arial"/>
          <w:sz w:val="21"/>
          <w:szCs w:val="21"/>
        </w:rPr>
        <w:t xml:space="preserve">Incorporación del SNIP como propuesta de referencia en el mecanismo de seguimiento de la Convención Interamericana contra la Corrupción para Ecuador.</w:t>
      </w:r>
    </w:p>
    <w:p>
      <w:pPr>
        <w:pStyle w:val="ListParagraph"/>
        <w:numPr>
          <w:ilvl w:val="0"/>
          <w:numId w:val="2"/>
        </w:numPr>
        <w:spacing w:after="60" w:before="60"/>
      </w:pPr>
      <w:r>
        <w:rPr>
          <w:rFonts w:ascii="Arial" w:cs="Arial" w:eastAsia="Arial" w:hAnsi="Arial"/>
          <w:sz w:val="21"/>
          <w:szCs w:val="21"/>
        </w:rPr>
        <w:t xml:space="preserve">Apoyo al proceso de consulta pública de las reformas legislativas como parte del seguimiento del cumplimiento de los compromisos interamericanos de Ecuador.</w:t>
      </w:r>
    </w:p>
    <w:p>
      <w:pPr>
        <w:spacing w:after="140" w:before="0"/>
      </w:pPr>
      <w:r>
        <w:rPr>
          <w:sz w:val="20"/>
          <w:szCs w:val="20"/>
        </w:rPr>
        <w:t xml:space="preserve"/>
      </w:r>
    </w:p>
    <w:p>
      <w:pPr>
        <w:spacing w:after="0" w:before="200"/>
        <w:jc w:val="center"/>
      </w:pPr>
      <w:r>
        <w:rPr>
          <w:rFonts w:ascii="Arial" w:cs="Arial" w:eastAsia="Arial" w:hAnsi="Arial"/>
          <w:i/>
          <w:iCs/>
          <w:color w:val="888888"/>
          <w:sz w:val="19"/>
          <w:szCs w:val="19"/>
        </w:rPr>
        <w:t xml:space="preserve">— Fin del Policy Brief —</w:t>
      </w:r>
    </w:p>
    <w:p>
      <w:pPr>
        <w:spacing w:after="140" w:before="0"/>
      </w:pPr>
      <w:r>
        <w:rPr>
          <w:sz w:val="20"/>
          <w:szCs w:val="20"/>
        </w:rPr>
        <w:t xml:space="preserve"/>
      </w:r>
    </w:p>
    <w:p>
      <w:pPr>
        <w:spacing w:after="40" w:before="80"/>
      </w:pPr>
      <w:r>
        <w:rPr>
          <w:rFonts w:ascii="Arial" w:cs="Arial" w:eastAsia="Arial" w:hAnsi="Arial"/>
          <w:b/>
          <w:bCs/>
          <w:color w:val="0D1F3C"/>
          <w:sz w:val="20"/>
          <w:szCs w:val="20"/>
        </w:rPr>
        <w:t xml:space="preserve">Referencias seleccionadas</w:t>
      </w:r>
    </w:p>
    <w:p>
      <w:pPr>
        <w:spacing w:after="20" w:before="0"/>
      </w:pPr>
      <w:r>
        <w:rPr>
          <w:rFonts w:ascii="Arial" w:cs="Arial" w:eastAsia="Arial" w:hAnsi="Arial"/>
          <w:color w:val="444444"/>
          <w:sz w:val="17"/>
          <w:szCs w:val="17"/>
        </w:rPr>
        <w:t xml:space="preserve">Transparency International. (2024). Corruption Perceptions Index 2024. https://www.transparency.org/en/cpi/2024</w:t>
      </w:r>
    </w:p>
    <w:p>
      <w:pPr>
        <w:spacing w:after="20" w:before="0"/>
      </w:pPr>
      <w:r>
        <w:rPr>
          <w:rFonts w:ascii="Arial" w:cs="Arial" w:eastAsia="Arial" w:hAnsi="Arial"/>
          <w:color w:val="444444"/>
          <w:sz w:val="17"/>
          <w:szCs w:val="17"/>
        </w:rPr>
        <w:t xml:space="preserve">BID. (2023). Índice de gobierno digital en América Latina 2024. https://publications.iadb.org</w:t>
      </w:r>
    </w:p>
    <w:p>
      <w:pPr>
        <w:spacing w:after="20" w:before="0"/>
      </w:pPr>
      <w:r>
        <w:rPr>
          <w:rFonts w:ascii="Arial" w:cs="Arial" w:eastAsia="Arial" w:hAnsi="Arial"/>
          <w:color w:val="444444"/>
          <w:sz w:val="17"/>
          <w:szCs w:val="17"/>
        </w:rPr>
        <w:t xml:space="preserve">UNODC. (2023). Convención de las Naciones Unidas contra la Corrupción — Informe de implementación. https://www.unodc.org</w:t>
      </w:r>
    </w:p>
    <w:p>
      <w:pPr>
        <w:spacing w:after="20" w:before="0"/>
      </w:pPr>
      <w:r>
        <w:rPr>
          <w:rFonts w:ascii="Arial" w:cs="Arial" w:eastAsia="Arial" w:hAnsi="Arial"/>
          <w:color w:val="444444"/>
          <w:sz w:val="17"/>
          <w:szCs w:val="17"/>
        </w:rPr>
        <w:t xml:space="preserve">SERCOP. (2024). Informe anual de contratación pública Ecuador. https://www.sercop.gob.ec</w:t>
      </w:r>
    </w:p>
    <w:p>
      <w:pPr>
        <w:spacing w:after="20" w:before="0"/>
      </w:pPr>
      <w:r>
        <w:rPr>
          <w:rFonts w:ascii="Arial" w:cs="Arial" w:eastAsia="Arial" w:hAnsi="Arial"/>
          <w:color w:val="444444"/>
          <w:sz w:val="17"/>
          <w:szCs w:val="17"/>
        </w:rPr>
        <w:t xml:space="preserve">Contraloría General del Estado Ecuador. (2024). Informe de actividades. https://www.contraloria.gob.ec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60" w:before="0"/>
    </w:pPr>
    <w:r>
      <w:rPr>
        <w:rFonts w:ascii="Arial" w:cs="Arial" w:eastAsia="Arial" w:hAnsi="Arial"/>
        <w:b/>
        <w:bCs/>
        <w:color w:val="888888"/>
        <w:sz w:val="18"/>
        <w:szCs w:val="18"/>
      </w:rPr>
      <w:t xml:space="preserve">POLICY BRIEF  |  </w:t>
    </w:r>
    <w:r>
      <w:rPr>
        <w:rFonts w:ascii="Arial" w:cs="Arial" w:eastAsia="Arial" w:hAnsi="Arial"/>
        <w:color w:val="888888"/>
        <w:sz w:val="18"/>
        <w:szCs w:val="18"/>
      </w:rPr>
      <w:t xml:space="preserve">Sistema Nacional de Integridad Pública — Ecuador  |  Loor Anchundia, A.M.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F3C"/>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2026-03-15T16:45:31.838Z</dcterms:created>
  <dcterms:modified xsi:type="dcterms:W3CDTF">2026-03-15T16:45:31.839Z</dcterms:modified>
</cp:coreProperties>
</file>

<file path=docProps/custom.xml><?xml version="1.0" encoding="utf-8"?>
<Properties xmlns="http://schemas.openxmlformats.org/officeDocument/2006/custom-properties" xmlns:vt="http://schemas.openxmlformats.org/officeDocument/2006/docPropsVTypes"/>
</file>