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900"/>
        <w:jc w:val="center"/>
      </w:pPr>
      <w:r>
        <w:rPr>
          <w:rFonts w:ascii="Arial" w:cs="Arial" w:eastAsia="Arial" w:hAnsi="Arial"/>
          <w:b/>
          <w:bCs/>
          <w:color w:val="0D1F3C"/>
          <w:sz w:val="48"/>
          <w:szCs w:val="48"/>
        </w:rPr>
        <w:t xml:space="preserve">ECUADOR: DE PAÍS DEPENDIENTE</w:t>
      </w:r>
    </w:p>
    <w:p>
      <w:pPr>
        <w:spacing w:after="80" w:before="0"/>
        <w:jc w:val="center"/>
      </w:pPr>
      <w:r>
        <w:rPr>
          <w:rFonts w:ascii="Arial" w:cs="Arial" w:eastAsia="Arial" w:hAnsi="Arial"/>
          <w:b/>
          <w:bCs/>
          <w:color w:val="0E5C52"/>
          <w:sz w:val="48"/>
          <w:szCs w:val="48"/>
        </w:rPr>
        <w:t xml:space="preserve">A NODO FINANCIERO SOBERANO</w:t>
      </w:r>
    </w:p>
    <w:p>
      <w:pPr>
        <w:spacing w:after="240" w:before="0"/>
        <w:jc w:val="center"/>
      </w:pPr>
      <w:r>
        <w:rPr>
          <w:rFonts w:ascii="Georgia" w:cs="Georgia" w:eastAsia="Georgia" w:hAnsi="Georgia"/>
          <w:i/>
          <w:iCs/>
          <w:color w:val="444444"/>
          <w:sz w:val="24"/>
          <w:szCs w:val="24"/>
        </w:rPr>
        <w:t xml:space="preserve">Opciones estratégicas ante la migración global a ISO 20022 y activos tokenizados</w:t>
      </w:r>
    </w:p>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space="0"/>
              <w:left w:val="none" w:color="FFFFFF" w:sz="0" w:space="0"/>
              <w:bottom w:val="none" w:color="FFFFFF" w:sz="0" w:space="0"/>
              <w:right w:val="none" w:color="FFFFFF" w:sz="0" w:space="0"/>
            </w:tcBorders>
            <w:shd w:fill="0D1F3C" w:val="clear"/>
            <w:tcMar>
              <w:top w:type="dxa" w:w="200"/>
              <w:left w:type="dxa" w:w="400"/>
              <w:bottom w:type="dxa" w:w="200"/>
              <w:right w:type="dxa" w:w="400"/>
            </w:tcMar>
          </w:tcPr>
          <w:p>
            <w:pPr>
              <w:spacing w:after="80" w:before="0"/>
              <w:jc w:val="center"/>
            </w:pPr>
            <w:r>
              <w:rPr>
                <w:rFonts w:ascii="Arial" w:cs="Arial" w:eastAsia="Arial" w:hAnsi="Arial"/>
                <w:b/>
                <w:bCs/>
                <w:color w:val="FFD700"/>
                <w:sz w:val="26"/>
                <w:szCs w:val="26"/>
              </w:rPr>
              <w:t xml:space="preserve">DEADLINE CRÍTICO: 1 DE NOVIEMBRE DE 2026</w:t>
            </w:r>
          </w:p>
          <w:p>
            <w:pPr>
              <w:spacing w:after="0" w:before="0"/>
              <w:jc w:val="center"/>
            </w:pPr>
            <w:r>
              <w:rPr>
                <w:rFonts w:ascii="Georgia" w:cs="Georgia" w:eastAsia="Georgia" w:hAnsi="Georgia"/>
                <w:i/>
                <w:iCs/>
                <w:color w:val="AABBD4"/>
                <w:sz w:val="20"/>
                <w:szCs w:val="20"/>
              </w:rPr>
              <w:t xml:space="preserve">La ventana para influir en cómo Ecuador se integra al nuevo sistema financiero global se cierra en 8 meses</w:t>
            </w:r>
          </w:p>
        </w:tc>
      </w:tr>
    </w:tbl>
    <w:p>
      <w:pPr>
        <w:spacing w:after="140" w:before="0"/>
      </w:pPr>
      <w:r>
        <w:rPr>
          <w:sz w:val="20"/>
          <w:szCs w:val="20"/>
        </w:rPr>
        <w:t xml:space="preserve"/>
      </w:r>
    </w:p>
    <w:p>
      <w:pPr>
        <w:spacing w:after="0" w:before="0"/>
        <w:jc w:val="center"/>
      </w:pPr>
      <w:r>
        <w:rPr>
          <w:rFonts w:ascii="Arial" w:cs="Arial" w:eastAsia="Arial" w:hAnsi="Arial"/>
          <w:color w:val="888888"/>
          <w:sz w:val="18"/>
          <w:szCs w:val="18"/>
        </w:rPr>
        <w:t xml:space="preserve">Documento Estratégico II — Sistema SNIP  |  República del Ecuador  |  Marzo 2026</w:t>
      </w:r>
    </w:p>
    <w:p>
      <w:r>
        <w:br w:type="page"/>
      </w:r>
    </w:p>
    <w:p>
      <w:pPr>
        <w:pStyle w:val="Heading1"/>
        <w:spacing w:after="200" w:before="500"/>
      </w:pPr>
      <w:r>
        <w:rPr>
          <w:rFonts w:ascii="Arial" w:cs="Arial" w:eastAsia="Arial" w:hAnsi="Arial"/>
          <w:b/>
          <w:bCs/>
          <w:color w:val="0D1F3C"/>
          <w:sz w:val="40"/>
          <w:szCs w:val="40"/>
        </w:rPr>
        <w:t xml:space="preserve">EL SISTEMA QUE YA CAMBIÓ — Y QUE ECUADOR AÚN NO NOTA</w:t>
      </w:r>
    </w:p>
    <w:p>
      <w:pPr>
        <w:spacing w:after="100" w:before="80"/>
      </w:pPr>
      <w:r>
        <w:rPr>
          <w:rFonts w:ascii="Georgia" w:cs="Georgia" w:eastAsia="Georgia" w:hAnsi="Georgia"/>
          <w:sz w:val="22"/>
          <w:szCs w:val="22"/>
        </w:rPr>
        <w:t xml:space="preserve">El 22 de noviembre de 2025 ocurrió el cambio más importante en el sistema financiero global desde la creación de SWIFT en 1973. Ese día terminó el período de coexistencia y el estándar ISO 20022 se convirtió en el único formato válido para todos los mensajes de pago entre instituciones financieras del mundo — sin excepciones. No es un cambio que viene. Es un cambio que ya ocurrió. Ecuador ya opera bajo ese estándar aunque no exista ninguna política pública que lo reconozca.</w:t>
      </w:r>
    </w:p>
    <w:p>
      <w:pPr>
        <w:spacing w:after="100" w:before="80"/>
      </w:pPr>
      <w:r>
        <w:rPr>
          <w:rFonts w:ascii="Georgia" w:cs="Georgia" w:eastAsia="Georgia" w:hAnsi="Georgia"/>
          <w:sz w:val="22"/>
          <w:szCs w:val="22"/>
        </w:rPr>
        <w:t xml:space="preserve">Ecuador no lo discutió en la Asamblea Nacional. No salió en los noticieros. No hay ningún debate político sobre sus implicaciones. Y sin embargo ese cambio va a determinar si Ecuador tiene algo parecido a soberanía financiera digital en los próximos años o si queda completamente a merced de decisiones que otros toman sin consultarle.</w:t>
      </w:r>
    </w:p>
    <w:p>
      <w:pPr>
        <w:spacing w:after="140" w:before="0"/>
      </w:pPr>
      <w:r>
        <w:rPr>
          <w:sz w:val="20"/>
          <w:szCs w:val="20"/>
        </w:rPr>
        <w:t xml:space="preserve"/>
      </w:r>
    </w:p>
    <w:p>
      <w:pPr>
        <w:pStyle w:val="Heading2"/>
        <w:pBdr>
          <w:bottom w:val="single" w:color="2E5FA3" w:sz="6" w:space="4"/>
        </w:pBdr>
        <w:spacing w:after="160" w:before="320"/>
      </w:pPr>
      <w:r>
        <w:rPr>
          <w:rFonts w:ascii="Arial" w:cs="Arial" w:eastAsia="Arial" w:hAnsi="Arial"/>
          <w:b/>
          <w:bCs/>
          <w:color w:val="2E5FA3"/>
          <w:sz w:val="28"/>
          <w:szCs w:val="28"/>
        </w:rPr>
        <w:t xml:space="preserve">Qué es ISO 20022 en términos concretos</w:t>
      </w:r>
    </w:p>
    <w:p>
      <w:pPr>
        <w:spacing w:after="100" w:before="80"/>
      </w:pPr>
      <w:r>
        <w:rPr>
          <w:rFonts w:ascii="Georgia" w:cs="Georgia" w:eastAsia="Georgia" w:hAnsi="Georgia"/>
          <w:sz w:val="22"/>
          <w:szCs w:val="22"/>
        </w:rPr>
        <w:t xml:space="preserve">ISO 20022 es el nuevo idioma universal del sistema financiero global. Donde antes los bancos enviaban mensajes cortos con información mínima sobre cada transferencia, ahora envían mensajes ricos con hasta diez veces más datos: quién paga, quién recibe, por qué concepto, desde dónde, hacia dónde, con qué referencia legal, bajo qué jurisdicción.</w:t>
      </w:r>
    </w:p>
    <w:p>
      <w:pPr>
        <w:spacing w:after="100" w:before="80"/>
      </w:pPr>
      <w:r>
        <w:rPr>
          <w:rFonts w:ascii="Georgia" w:cs="Georgia" w:eastAsia="Georgia" w:hAnsi="Georgia"/>
          <w:sz w:val="22"/>
          <w:szCs w:val="22"/>
        </w:rPr>
        <w:t xml:space="preserve">Esa riqueza de datos tiene tres consecuencias directas que Ecuador necesita entender.</w:t>
      </w:r>
    </w:p>
    <w:p>
      <w:pPr>
        <w:pStyle w:val="ListParagraph"/>
        <w:numPr>
          <w:ilvl w:val="0"/>
          <w:numId w:val="2"/>
        </w:numPr>
        <w:spacing w:after="60" w:before="60"/>
      </w:pPr>
      <w:r>
        <w:rPr>
          <w:rFonts w:ascii="Georgia" w:cs="Georgia" w:eastAsia="Georgia" w:hAnsi="Georgia"/>
          <w:sz w:val="21"/>
          <w:szCs w:val="21"/>
        </w:rPr>
        <w:t xml:space="preserve">La primera: detección automática de lavado de dinero y corrupción porque hay suficiente información en cada transacción para que sistemas de inteligencia artificial analicen patrones en tiempo real sin intervención humana.</w:t>
      </w:r>
    </w:p>
    <w:p>
      <w:pPr>
        <w:pStyle w:val="ListParagraph"/>
        <w:numPr>
          <w:ilvl w:val="0"/>
          <w:numId w:val="2"/>
        </w:numPr>
        <w:spacing w:after="60" w:before="60"/>
      </w:pPr>
      <w:r>
        <w:rPr>
          <w:rFonts w:ascii="Georgia" w:cs="Georgia" w:eastAsia="Georgia" w:hAnsi="Georgia"/>
          <w:sz w:val="21"/>
          <w:szCs w:val="21"/>
        </w:rPr>
        <w:t xml:space="preserve">La segunda: liquidación instantánea de transferencias internacionales porque todos los sistemas hablan el mismo idioma y no hay traducción manual entre formatos.</w:t>
      </w:r>
    </w:p>
    <w:p>
      <w:pPr>
        <w:pStyle w:val="ListParagraph"/>
        <w:numPr>
          <w:ilvl w:val="0"/>
          <w:numId w:val="2"/>
        </w:numPr>
        <w:spacing w:after="60" w:before="60"/>
      </w:pPr>
      <w:r>
        <w:rPr>
          <w:rFonts w:ascii="Georgia" w:cs="Georgia" w:eastAsia="Georgia" w:hAnsi="Georgia"/>
          <w:sz w:val="21"/>
          <w:szCs w:val="21"/>
        </w:rPr>
        <w:t xml:space="preserve">La tercera: integración nativa con activos tokenizados — criptomonedas, stablecoins, monedas digitales de bancos centrales — porque el formato es suficientemente rico para incluir información de activos digitales junto con el dinero tradicional en el mismo mensaje.</w:t>
      </w:r>
    </w:p>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space="0"/>
              <w:left w:val="none" w:color="FFFFFF" w:sz="0" w:space="0"/>
              <w:bottom w:val="none" w:color="FFFFFF" w:sz="0" w:space="0"/>
              <w:right w:val="none" w:color="FFFFFF" w:sz="0" w:space="0"/>
            </w:tcBorders>
            <w:shd w:fill="0D1F3C" w:val="clear"/>
            <w:tcMar>
              <w:top w:type="dxa" w:w="160"/>
              <w:left w:type="dxa" w:w="280"/>
              <w:bottom w:type="dxa" w:w="160"/>
              <w:right w:type="dxa" w:w="280"/>
            </w:tcMar>
          </w:tcPr>
          <w:p>
            <w:pPr>
              <w:spacing w:after="0" w:before="0"/>
            </w:pPr>
            <w:r>
              <w:rPr>
                <w:rFonts w:ascii="Georgia" w:cs="Georgia" w:eastAsia="Georgia" w:hAnsi="Georgia"/>
                <w:b/>
                <w:bCs/>
                <w:color w:val="FFFFFF"/>
                <w:sz w:val="21"/>
                <w:szCs w:val="21"/>
              </w:rPr>
              <w:t xml:space="preserve">El punto clave: ISO 20022 no es una criptomoneda. No es una amenaza al dólar. Es el nuevo lenguaje técnico del sistema financiero mundial. Los países que no hablen ese lenguaje no podrán comunicarse fluidamente con el sistema global. Ecuador todavía no tiene política pública sobre cómo adaptarse.</w:t>
            </w:r>
          </w:p>
        </w:tc>
      </w:tr>
    </w:tbl>
    <w:p>
      <w:pPr>
        <w:spacing w:after="140" w:before="0"/>
      </w:pPr>
      <w:r>
        <w:rPr>
          <w:sz w:val="20"/>
          <w:szCs w:val="20"/>
        </w:rPr>
        <w:t xml:space="preserve"/>
      </w:r>
    </w:p>
    <w:p>
      <w:r>
        <w:br w:type="page"/>
      </w:r>
    </w:p>
    <w:p>
      <w:pPr>
        <w:pStyle w:val="Heading1"/>
        <w:spacing w:after="200" w:before="500"/>
      </w:pPr>
      <w:r>
        <w:rPr>
          <w:rFonts w:ascii="Arial" w:cs="Arial" w:eastAsia="Arial" w:hAnsi="Arial"/>
          <w:b/>
          <w:bCs/>
          <w:color w:val="0D1F3C"/>
          <w:sz w:val="40"/>
          <w:szCs w:val="40"/>
        </w:rPr>
        <w:t xml:space="preserve">LAS COINS QUE MUEVEN EL NUEVO SISTEMA</w:t>
      </w:r>
    </w:p>
    <w:p>
      <w:pPr>
        <w:spacing w:after="100" w:before="80"/>
      </w:pPr>
      <w:r>
        <w:rPr>
          <w:rFonts w:ascii="Georgia" w:cs="Georgia" w:eastAsia="Georgia" w:hAnsi="Georgia"/>
          <w:sz w:val="22"/>
          <w:szCs w:val="22"/>
        </w:rPr>
        <w:t xml:space="preserve">La migración a ISO 20022 no ocurre en el vacío. Ocurre simultáneamente con el surgimiento de un ecosistema de activos digitales que están diseñados para operar sobre ese estándar. Estos no son especulaciones del mercado. Son infraestructuras financieras en proceso de adopción institucional.</w:t>
      </w:r>
    </w:p>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3760"/>
      </w:tblGrid>
      <w:tr>
        <w:tc>
          <w:tcPr>
            <w:tcW w:type="dxa" w:w="12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ACTIVO</w:t>
            </w:r>
          </w:p>
        </w:tc>
        <w:tc>
          <w:tcPr>
            <w:tcW w:type="dxa" w:w="24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FUNCIÓN EN EL SISTEMA</w:t>
            </w:r>
          </w:p>
        </w:tc>
        <w:tc>
          <w:tcPr>
            <w:tcW w:type="dxa" w:w="20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COMPATIBILIDAD ISO 20022</w:t>
            </w:r>
          </w:p>
        </w:tc>
        <w:tc>
          <w:tcPr>
            <w:tcW w:type="dxa" w:w="376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ADOPCIÓN INSTITUCIONAL ACTUAL</w:t>
            </w:r>
          </w:p>
        </w:tc>
      </w:tr>
      <w:tr>
        <w:tc>
          <w:tcPr>
            <w:tcW w:type="dxa" w:w="1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XRP (Ripple)</w:t>
            </w:r>
          </w:p>
        </w:tc>
        <w:tc>
          <w:tcPr>
            <w:tcW w:type="dxa" w:w="2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Liquidación interbancaria de alto volumen. Puente de valor entre bancos y entre monedas.</w:t>
            </w:r>
          </w:p>
        </w:tc>
        <w:tc>
          <w:tcPr>
            <w:tcW w:type="dxa" w:w="20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Miembro oficial del ISO 20022 Standards Body desde 2024</w:t>
            </w:r>
          </w:p>
        </w:tc>
        <w:tc>
          <w:tcPr>
            <w:tcW w:type="dxa" w:w="37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Más de 300 bancos incluyendo Santander, Standard Chartered, Bank of America</w:t>
            </w:r>
          </w:p>
        </w:tc>
      </w:tr>
      <w:tr>
        <w:tc>
          <w:tcPr>
            <w:tcW w:type="dxa" w:w="12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USDC (Circle)</w:t>
            </w:r>
          </w:p>
        </w:tc>
        <w:tc>
          <w:tcPr>
            <w:tcW w:type="dxa" w:w="24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Stablecoin dólar regulado. El dólar digital de facto con respaldo en reservas auditadas.</w:t>
            </w:r>
          </w:p>
        </w:tc>
        <w:tc>
          <w:tcPr>
            <w:tcW w:type="dxa" w:w="20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Compatible con mensajería ISO 20022</w:t>
            </w:r>
          </w:p>
        </w:tc>
        <w:tc>
          <w:tcPr>
            <w:tcW w:type="dxa" w:w="376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Regulado bajo GENIUS Act EE.UU. 2025. Respaldo verificable 1:1 con dólares</w:t>
            </w:r>
          </w:p>
        </w:tc>
      </w:tr>
      <w:tr>
        <w:tc>
          <w:tcPr>
            <w:tcW w:type="dxa" w:w="1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RLUSD (Ripple)</w:t>
            </w:r>
          </w:p>
        </w:tc>
        <w:tc>
          <w:tcPr>
            <w:tcW w:type="dxa" w:w="2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Nuevo stablecoin dólar sobre XRP Ledger. Complemento de XRP para liquidaciones.</w:t>
            </w:r>
          </w:p>
        </w:tc>
        <w:tc>
          <w:tcPr>
            <w:tcW w:type="dxa" w:w="20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Nativo en XRP Ledger — compatibilidad total</w:t>
            </w:r>
          </w:p>
        </w:tc>
        <w:tc>
          <w:tcPr>
            <w:tcW w:type="dxa" w:w="37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Lanzado 2024. Crecimiento acelerado en mercados de pagos institucionales</w:t>
            </w:r>
          </w:p>
        </w:tc>
      </w:tr>
      <w:tr>
        <w:tc>
          <w:tcPr>
            <w:tcW w:type="dxa" w:w="12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XLM (Stellar)</w:t>
            </w:r>
          </w:p>
        </w:tc>
        <w:tc>
          <w:tcPr>
            <w:tcW w:type="dxa" w:w="24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Micropagos, remesas, inclusión financiera. El más barato para transacciones pequeñas.</w:t>
            </w:r>
          </w:p>
        </w:tc>
        <w:tc>
          <w:tcPr>
            <w:tcW w:type="dxa" w:w="20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Miembro del Registration Management Group ISO 20022</w:t>
            </w:r>
          </w:p>
        </w:tc>
        <w:tc>
          <w:tcPr>
            <w:tcW w:type="dxa" w:w="376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IBM, MoneyGram. Diseñado específicamente para países en desarrollo</w:t>
            </w:r>
          </w:p>
        </w:tc>
      </w:tr>
      <w:tr>
        <w:tc>
          <w:tcPr>
            <w:tcW w:type="dxa" w:w="1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HBAR (Hedera)</w:t>
            </w:r>
          </w:p>
        </w:tc>
        <w:tc>
          <w:tcPr>
            <w:tcW w:type="dxa" w:w="2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Registros gubernamentales y corporativos. Alta velocidad con gobernanza por consejo empresarial.</w:t>
            </w:r>
          </w:p>
        </w:tc>
        <w:tc>
          <w:tcPr>
            <w:tcW w:type="dxa" w:w="20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Miembro del Registration Management Group ISO 20022</w:t>
            </w:r>
          </w:p>
        </w:tc>
        <w:tc>
          <w:tcPr>
            <w:tcW w:type="dxa" w:w="37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Google, IBM, Boeing, LG participan en el consejo de gobernanza</w:t>
            </w:r>
          </w:p>
        </w:tc>
      </w:tr>
      <w:tr>
        <w:tc>
          <w:tcPr>
            <w:tcW w:type="dxa" w:w="12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USDT (Tether)</w:t>
            </w:r>
          </w:p>
        </w:tc>
        <w:tc>
          <w:tcPr>
            <w:tcW w:type="dxa" w:w="24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El stablecoin dólar más usado del mundo. Mayor volumen de transacciones diarias que Bitcoin.</w:t>
            </w:r>
          </w:p>
        </w:tc>
        <w:tc>
          <w:tcPr>
            <w:tcW w:type="dxa" w:w="20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Compatible con múltiples blockchains ISO 20022 compatibles</w:t>
            </w:r>
          </w:p>
        </w:tc>
        <w:tc>
          <w:tcPr>
            <w:tcW w:type="dxa" w:w="376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$200.000M+ en volumen diario. Sin regulación clara fuera de EE.UU.</w:t>
            </w:r>
          </w:p>
        </w:tc>
      </w:tr>
    </w:tbl>
    <w:p>
      <w:pPr>
        <w:spacing w:after="140" w:before="0"/>
      </w:pPr>
      <w:r>
        <w:rPr>
          <w:sz w:val="20"/>
          <w:szCs w:val="20"/>
        </w:rPr>
        <w:t xml:space="preserve"/>
      </w:r>
    </w:p>
    <w:p>
      <w:pPr>
        <w:pStyle w:val="Heading3"/>
        <w:spacing w:after="100" w:before="200"/>
      </w:pPr>
      <w:r>
        <w:rPr>
          <w:rFonts w:ascii="Arial" w:cs="Arial" w:eastAsia="Arial" w:hAnsi="Arial"/>
          <w:b/>
          <w:bCs/>
          <w:color w:val="0D1F3C"/>
          <w:sz w:val="24"/>
          <w:szCs w:val="24"/>
        </w:rPr>
        <w:t xml:space="preserve">El modelo de capas: cómo funciona todo junto</w:t>
      </w:r>
    </w:p>
    <w:p>
      <w:pPr>
        <w:spacing w:after="100" w:before="80"/>
      </w:pPr>
      <w:r>
        <w:rPr>
          <w:rFonts w:ascii="Georgia" w:cs="Georgia" w:eastAsia="Georgia" w:hAnsi="Georgia"/>
          <w:sz w:val="22"/>
          <w:szCs w:val="22"/>
        </w:rPr>
        <w:t xml:space="preserve">SWIFT no muere con este cambio. Se transforma. El nuevo modelo opera en capas independientes que trabajan juntas. SWIFT es la capa de mensajería — el idioma. XRP y Stellar son la capa de liquidación — el transporte del valor. Los stablecoins son la capa de denominación — en qué moneda se expresa ese valor. ISO 20022 es el estándar que hace que todas las capas se entiendan entre sí.</w:t>
      </w:r>
    </w:p>
    <w:p>
      <w:pPr>
        <w:spacing w:after="100" w:before="80"/>
      </w:pPr>
      <w:r>
        <w:rPr>
          <w:rFonts w:ascii="Georgia" w:cs="Georgia" w:eastAsia="Georgia" w:hAnsi="Georgia"/>
          <w:sz w:val="22"/>
          <w:szCs w:val="22"/>
        </w:rPr>
        <w:t xml:space="preserve">Para Ecuador esto significa que un banco ecuatoriano podría en teoría recibir un pago de China, liquidado en XRP, denominado en USDC, con el mensaje de confirmación en ISO 20022, sin que ningún banco intermediario en Nueva York tenga que procesar la transacción. Esa posibilidad existe hoy técnicamente. No existe políticamente porque Ecuador no tiene marco regulatorio para ello.</w:t>
      </w:r>
    </w:p>
    <w:p>
      <w:pPr>
        <w:spacing w:after="140" w:before="0"/>
      </w:pPr>
      <w:r>
        <w:rPr>
          <w:sz w:val="20"/>
          <w:szCs w:val="20"/>
        </w:rPr>
        <w:t xml:space="preserve"/>
      </w:r>
    </w:p>
    <w:p>
      <w:r>
        <w:br w:type="page"/>
      </w:r>
    </w:p>
    <w:p>
      <w:pPr>
        <w:pStyle w:val="Heading1"/>
        <w:spacing w:after="200" w:before="500"/>
      </w:pPr>
      <w:r>
        <w:rPr>
          <w:rFonts w:ascii="Arial" w:cs="Arial" w:eastAsia="Arial" w:hAnsi="Arial"/>
          <w:b/>
          <w:bCs/>
          <w:color w:val="0D1F3C"/>
          <w:sz w:val="40"/>
          <w:szCs w:val="40"/>
        </w:rPr>
        <w:t xml:space="preserve">EL PROBLEMA ESPECÍFICO DE ECUADOR</w:t>
      </w:r>
    </w:p>
    <w:p>
      <w:pPr>
        <w:pStyle w:val="Heading2"/>
        <w:pBdr>
          <w:bottom w:val="single" w:color="7B1111" w:sz="6" w:space="4"/>
        </w:pBdr>
        <w:spacing w:after="160" w:before="320"/>
      </w:pPr>
      <w:r>
        <w:rPr>
          <w:rFonts w:ascii="Arial" w:cs="Arial" w:eastAsia="Arial" w:hAnsi="Arial"/>
          <w:b/>
          <w:bCs/>
          <w:color w:val="7B1111"/>
          <w:sz w:val="28"/>
          <w:szCs w:val="28"/>
        </w:rPr>
        <w:t xml:space="preserve">La trampa de la dolarización en el sistema tokenizado</w:t>
      </w:r>
    </w:p>
    <w:p>
      <w:pPr>
        <w:spacing w:after="100" w:before="80"/>
      </w:pPr>
      <w:r>
        <w:rPr>
          <w:rFonts w:ascii="Georgia" w:cs="Georgia" w:eastAsia="Georgia" w:hAnsi="Georgia"/>
          <w:sz w:val="22"/>
          <w:szCs w:val="22"/>
        </w:rPr>
        <w:t xml:space="preserve">En el año 2000 Ecuador adoptó el dólar para resolver una crisis de hiperinflación. Esa decisión salvó la economía en el corto plazo pero creó una dependencia estructural: Ecuador no puede emitir moneda, no puede hacer política monetaria independiente y no puede crear su propia moneda digital de banco central porque no tiene banco central emisor.</w:t>
      </w:r>
    </w:p>
    <w:p>
      <w:pPr>
        <w:spacing w:after="100" w:before="80"/>
      </w:pPr>
      <w:r>
        <w:rPr>
          <w:rFonts w:ascii="Georgia" w:cs="Georgia" w:eastAsia="Georgia" w:hAnsi="Georgia"/>
          <w:sz w:val="22"/>
          <w:szCs w:val="22"/>
        </w:rPr>
        <w:t xml:space="preserve">En el sistema anterior eso era solo una limitación de política monetaria. En el sistema que viene tiene una consecuencia adicional más grave: cuando el mundo migre definitivamente a pagos tokenizados, Ecuador no tendrá un instrumento digital soberano propio. Los ecuatorianos usarán el dólar digital de otros — y ese dólar digital no lo emite Washington. Lo emiten empresas privadas como Tether y Circle que no tienen ninguna obligación legal con Ecuador.</w:t>
      </w:r>
    </w:p>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space="0"/>
              <w:left w:val="none" w:color="FFFFFF" w:sz="0" w:space="0"/>
              <w:bottom w:val="none" w:color="FFFFFF" w:sz="0" w:space="0"/>
              <w:right w:val="none" w:color="FFFFFF" w:sz="0" w:space="0"/>
            </w:tcBorders>
            <w:shd w:fill="7B1111" w:val="clear"/>
            <w:tcMar>
              <w:top w:type="dxa" w:w="160"/>
              <w:left w:type="dxa" w:w="280"/>
              <w:bottom w:type="dxa" w:w="160"/>
              <w:right w:type="dxa" w:w="280"/>
            </w:tcMar>
          </w:tcPr>
          <w:p>
            <w:pPr>
              <w:spacing w:after="0" w:before="0"/>
            </w:pPr>
            <w:r>
              <w:rPr>
                <w:rFonts w:ascii="Georgia" w:cs="Georgia" w:eastAsia="Georgia" w:hAnsi="Georgia"/>
                <w:b/>
                <w:bCs/>
                <w:color w:val="FFFFFF"/>
                <w:sz w:val="21"/>
                <w:szCs w:val="21"/>
              </w:rPr>
              <w:t xml:space="preserve">La paradoja de Ecuador: adoptó el dólar para ganar estabilidad y perdió soberanía monetaria. Ahora el mundo digitaliza el dinero y Ecuador quedará usando el dólar digital de empresas privadas que pueden cambiar sus condiciones unilateralmente, sin que ninguna ley ecuatoriana pueda hacer nada al respecto.</w:t>
            </w:r>
          </w:p>
        </w:tc>
      </w:tr>
    </w:tbl>
    <w:p>
      <w:pPr>
        <w:spacing w:after="140" w:before="0"/>
      </w:pPr>
      <w:r>
        <w:rPr>
          <w:sz w:val="20"/>
          <w:szCs w:val="20"/>
        </w:rPr>
        <w:t xml:space="preserve"/>
      </w:r>
    </w:p>
    <w:p>
      <w:pPr>
        <w:pStyle w:val="Heading2"/>
        <w:pBdr>
          <w:bottom w:val="single" w:color="7B1111" w:sz="6" w:space="4"/>
        </w:pBdr>
        <w:spacing w:after="160" w:before="320"/>
      </w:pPr>
      <w:r>
        <w:rPr>
          <w:rFonts w:ascii="Arial" w:cs="Arial" w:eastAsia="Arial" w:hAnsi="Arial"/>
          <w:b/>
          <w:bCs/>
          <w:color w:val="7B1111"/>
          <w:sz w:val="28"/>
          <w:szCs w:val="28"/>
        </w:rPr>
        <w:t xml:space="preserve">El fin de semana crítico de noviembre 2026</w:t>
      </w:r>
    </w:p>
    <w:p>
      <w:pPr>
        <w:spacing w:after="100" w:before="80"/>
      </w:pPr>
      <w:r>
        <w:rPr>
          <w:rFonts w:ascii="Georgia" w:cs="Georgia" w:eastAsia="Georgia" w:hAnsi="Georgia"/>
          <w:sz w:val="22"/>
          <w:szCs w:val="22"/>
        </w:rPr>
        <w:t xml:space="preserve">Las migraciones de sistemas financieros históricamen ocurren en fines de semana cuando los mercados están cerrados. El 1 de noviembre de 2026 es sábado. Si ese fin de semana ocurre una migración técnica mayor en los sistemas bancarios que operan con Ecuador — cosa que varios analistas consideran probable dada la acumulación de cambios en el sistema — el escenario concreto para un ciudadano ecuatoriano podría ser el siguiente.</w:t>
      </w:r>
    </w:p>
    <w:p>
      <w:pPr>
        <w:pStyle w:val="ListParagraph"/>
        <w:numPr>
          <w:ilvl w:val="0"/>
          <w:numId w:val="2"/>
        </w:numPr>
        <w:spacing w:after="60" w:before="60"/>
      </w:pPr>
      <w:r>
        <w:rPr>
          <w:rFonts w:ascii="Georgia" w:cs="Georgia" w:eastAsia="Georgia" w:hAnsi="Georgia"/>
          <w:sz w:val="21"/>
          <w:szCs w:val="21"/>
        </w:rPr>
        <w:t xml:space="preserve">Los cajeros automáticos no responden porque los sistemas de autorización están en mantenimiento de migración.</w:t>
      </w:r>
    </w:p>
    <w:p>
      <w:pPr>
        <w:pStyle w:val="ListParagraph"/>
        <w:numPr>
          <w:ilvl w:val="0"/>
          <w:numId w:val="2"/>
        </w:numPr>
        <w:spacing w:after="60" w:before="60"/>
      </w:pPr>
      <w:r>
        <w:rPr>
          <w:rFonts w:ascii="Georgia" w:cs="Georgia" w:eastAsia="Georgia" w:hAnsi="Georgia"/>
          <w:sz w:val="21"/>
          <w:szCs w:val="21"/>
        </w:rPr>
        <w:t xml:space="preserve">Las transferencias interbancarias están suspendidas temporalmente mientras los sistemas se sincronizan.</w:t>
      </w:r>
    </w:p>
    <w:p>
      <w:pPr>
        <w:pStyle w:val="ListParagraph"/>
        <w:numPr>
          <w:ilvl w:val="0"/>
          <w:numId w:val="2"/>
        </w:numPr>
        <w:spacing w:after="60" w:before="60"/>
      </w:pPr>
      <w:r>
        <w:rPr>
          <w:rFonts w:ascii="Georgia" w:cs="Georgia" w:eastAsia="Georgia" w:hAnsi="Georgia"/>
          <w:sz w:val="21"/>
          <w:szCs w:val="21"/>
        </w:rPr>
        <w:t xml:space="preserve">Los pagos con tarjeta funcionan de forma intermitente dependiendo del banco emisor.</w:t>
      </w:r>
    </w:p>
    <w:p>
      <w:pPr>
        <w:pStyle w:val="ListParagraph"/>
        <w:numPr>
          <w:ilvl w:val="0"/>
          <w:numId w:val="2"/>
        </w:numPr>
        <w:spacing w:after="60" w:before="60"/>
      </w:pPr>
      <w:r>
        <w:rPr>
          <w:rFonts w:ascii="Georgia" w:cs="Georgia" w:eastAsia="Georgia" w:hAnsi="Georgia"/>
          <w:sz w:val="21"/>
          <w:szCs w:val="21"/>
        </w:rPr>
        <w:t xml:space="preserve">Los que tienen USDC en una wallet no custodial pueden seguir haciendo transacciones porque ese sistema no depende de los bancos locales.</w:t>
      </w:r>
    </w:p>
    <w:p>
      <w:pPr>
        <w:pStyle w:val="ListParagraph"/>
        <w:numPr>
          <w:ilvl w:val="0"/>
          <w:numId w:val="2"/>
        </w:numPr>
        <w:spacing w:after="60" w:before="60"/>
      </w:pPr>
      <w:r>
        <w:rPr>
          <w:rFonts w:ascii="Georgia" w:cs="Georgia" w:eastAsia="Georgia" w:hAnsi="Georgia"/>
          <w:sz w:val="21"/>
          <w:szCs w:val="21"/>
        </w:rPr>
        <w:t xml:space="preserve">Los que tienen efectivo físico tienen autonomía total independientemente de cualquier sistema digital.</w:t>
      </w:r>
    </w:p>
    <w:p>
      <w:pPr>
        <w:spacing w:after="100" w:before="80"/>
      </w:pPr>
      <w:r>
        <w:rPr>
          <w:rFonts w:ascii="Georgia" w:cs="Georgia" w:eastAsia="Georgia" w:hAnsi="Georgia"/>
          <w:sz w:val="22"/>
          <w:szCs w:val="22"/>
        </w:rPr>
        <w:t xml:space="preserve">Esto no es un colapso bancario. Es un caos técnico de transición que puede durar entre 48 y 96 horas. Pero en un país sin sistema propio y sin política de contingencia, 96 horas de caos financiero tienen consecuencias sociales reales.</w:t>
      </w:r>
    </w:p>
    <w:p>
      <w:pPr>
        <w:spacing w:after="140" w:before="0"/>
      </w:pPr>
      <w:r>
        <w:rPr>
          <w:sz w:val="20"/>
          <w:szCs w:val="20"/>
        </w:rPr>
        <w:t xml:space="preserve"/>
      </w:r>
    </w:p>
    <w:p>
      <w:r>
        <w:br w:type="page"/>
      </w:r>
    </w:p>
    <w:p>
      <w:pPr>
        <w:pStyle w:val="Heading1"/>
        <w:spacing w:after="200" w:before="500"/>
      </w:pPr>
      <w:r>
        <w:rPr>
          <w:rFonts w:ascii="Arial" w:cs="Arial" w:eastAsia="Arial" w:hAnsi="Arial"/>
          <w:b/>
          <w:bCs/>
          <w:color w:val="0D1F3C"/>
          <w:sz w:val="40"/>
          <w:szCs w:val="40"/>
        </w:rPr>
        <w:t xml:space="preserve">LAS OPCIONES REALES DE ECUADOR — ORDENADAS POR VIABILIDAD</w:t>
      </w:r>
    </w:p>
    <w:p>
      <w:pPr>
        <w:spacing w:after="100" w:before="80"/>
      </w:pPr>
      <w:r>
        <w:rPr>
          <w:rFonts w:ascii="Georgia" w:cs="Georgia" w:eastAsia="Georgia" w:hAnsi="Georgia"/>
          <w:sz w:val="22"/>
          <w:szCs w:val="22"/>
        </w:rPr>
        <w:t xml:space="preserve">Ecuador no tiene muchas opciones. Pero las que tiene son reales y ninguna está siendo evaluada seriamente por el gobierno actual. Estas son las cuatro, ordenadas de más a menos viable en el corto plazo.</w:t>
      </w:r>
    </w:p>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sz="8" w:space="0"/>
              <w:left w:val="single" w:sz="8" w:space="0"/>
              <w:bottom w:val="none" w:color="FFFFFF" w:sz="0" w:space="0"/>
              <w:right w:val="none" w:color="FFFFFF" w:sz="0" w:space="0"/>
            </w:tcBorders>
            <w:shd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OPCIÓN 1: Negociar acceso directo como nodo en Stellar o XRP Ledger</w:t>
            </w:r>
            <w:r>
              <w:rPr>
                <w:rFonts w:ascii="Arial" w:cs="Arial" w:eastAsia="Arial" w:hAnsi="Arial"/>
                <w:b/>
                <w:bCs/>
                <w:color w:val="DDDDFF"/>
                <w:sz w:val="18"/>
                <w:szCs w:val="18"/>
              </w:rPr>
              <w:t xml:space="preserve">   |   Viabilidad: ALTA — 6 a 18 meses   |   Costo estimado: $500k–$2M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space="0"/>
              <w:left w:val="single" w:color="0E5C52" w:sz="8" w:space="0"/>
              <w:bottom w:val="single" w:color="0E5C52" w:sz="8" w:space="0"/>
              <w:right w:val="none" w:color="FFFFFF" w:sz="0" w:space="0"/>
            </w:tcBorders>
            <w:shd w:fill="F4F5F7" w:val="clear"/>
            <w:tcMar>
              <w:top w:type="dxa" w:w="120"/>
              <w:left w:type="dxa" w:w="160"/>
              <w:bottom w:type="dxa" w:w="120"/>
              <w:right w:type="dxa" w:w="160"/>
            </w:tcMar>
          </w:tcPr>
          <w:p>
            <w:pPr>
              <w:spacing w:after="0" w:before="0"/>
            </w:pPr>
            <w:r>
              <w:rPr>
                <w:rFonts w:ascii="Georgia" w:cs="Georgia" w:eastAsia="Georgia" w:hAnsi="Georgia"/>
                <w:color w:val="111111"/>
                <w:sz w:val="21"/>
                <w:szCs w:val="21"/>
              </w:rPr>
              <w:t xml:space="preserve">Ecuador como país dolarizado tiene una ventaja técnica específica: sus transacciones en dólar no necesitan conversión de divisas en el nuevo sistema. Un pago en USDC o RLUSD denominado en dólares no tiene el costo de cambio que tienen otros países latinoamericanos. Eso hace a Ecuador un candidato natural para ser un nodo eficiente en el XRP Ledger o en la red Stellar. Stellar tiene un programa específico para instituciones gubernamentales y bancos centrales de países en desarrollo. Ecuador podría negociar acceso técnico directo como nodo sin necesidad de emitir su propia moneda digital. Esto no requiere reforma constitucional. Requiere voluntad política del Ministerio de Economía y el Banco Central del Ecuador para iniciar negociaciones formales con Stellar Development Foundation o Ripple Labs. El costo estimado de implementación es entre $500.000 y $2 millones — comparable al costo de un contrato de consultoría mediano del Estado.</w:t>
            </w:r>
          </w:p>
        </w:tc>
      </w:tr>
    </w:tbl>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sz="8" w:space="0"/>
              <w:left w:val="single" w:sz="8" w:space="0"/>
              <w:bottom w:val="none" w:color="FFFFFF" w:sz="0" w:space="0"/>
              <w:right w:val="none" w:color="FFFFFF" w:sz="0" w:space="0"/>
            </w:tcBorders>
            <w:shd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OPCIÓN 2: Crear una capa de pagos digital soberana sobre el dólar</w:t>
            </w:r>
            <w:r>
              <w:rPr>
                <w:rFonts w:ascii="Arial" w:cs="Arial" w:eastAsia="Arial" w:hAnsi="Arial"/>
                <w:b/>
                <w:bCs/>
                <w:color w:val="DDDDFF"/>
                <w:sz w:val="18"/>
                <w:szCs w:val="18"/>
              </w:rPr>
              <w:t xml:space="preserve">   |   Viabilidad: MEDIA — 18 a 36 meses   |   Costo estimado: $5M–$15M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space="0"/>
              <w:left w:val="single" w:color="0E5C52" w:sz="8" w:space="0"/>
              <w:bottom w:val="single" w:color="0E5C52" w:sz="8" w:space="0"/>
              <w:right w:val="none" w:color="FFFFFF" w:sz="0" w:space="0"/>
            </w:tcBorders>
            <w:shd w:fill="F4F5F7" w:val="clear"/>
            <w:tcMar>
              <w:top w:type="dxa" w:w="120"/>
              <w:left w:type="dxa" w:w="160"/>
              <w:bottom w:type="dxa" w:w="120"/>
              <w:right w:type="dxa" w:w="160"/>
            </w:tcMar>
          </w:tcPr>
          <w:p>
            <w:pPr>
              <w:spacing w:after="0" w:before="0"/>
            </w:pPr>
            <w:r>
              <w:rPr>
                <w:rFonts w:ascii="Georgia" w:cs="Georgia" w:eastAsia="Georgia" w:hAnsi="Georgia"/>
                <w:color w:val="111111"/>
                <w:sz w:val="21"/>
                <w:szCs w:val="21"/>
              </w:rPr>
              <w:t xml:space="preserve">Ecuador no puede emitir un CBDC porque no tiene banco central emisor. Pero sí puede crear un sistema de pagos digital nacional que opere sobre el dólar sin reemplazarlo. El modelo sería similar al de El Salvador con Bitcoin — una capa digital adicional opcional — pero más sofisticado y sin abandonar el dólar. La arquitectura sería: el Banco Central del Ecuador emite un token respaldado 1:1 con reservas en USDC bajo regulación ecuatoriana. Ese token opera en una red compatible con ISO 20022. Los bancos ecuatorianos lo adoptan como opción de pago digital junto con el efectivo y las tarjetas tradicionales. Esto requiere reforma a la Ley de Régimen Monetario y Banco del Estado. Es más complejo que la primera opción pero da a Ecuador un instrumento digital con marco legal propio. El SNIP podría usar ese instrumento para registrar transacciones del Estado en formato verificable internacionalmente.</w:t>
            </w:r>
          </w:p>
        </w:tc>
      </w:tr>
    </w:tbl>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sz="8" w:space="0"/>
              <w:left w:val="single" w:sz="8" w:space="0"/>
              <w:bottom w:val="none" w:color="FFFFFF" w:sz="0" w:space="0"/>
              <w:right w:val="none" w:color="FFFFFF" w:sz="0" w:space="0"/>
            </w:tcBorders>
            <w:shd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OPCIÓN 3: Diversificación estratégica silenciosa con China</w:t>
            </w:r>
            <w:r>
              <w:rPr>
                <w:rFonts w:ascii="Arial" w:cs="Arial" w:eastAsia="Arial" w:hAnsi="Arial"/>
                <w:b/>
                <w:bCs/>
                <w:color w:val="DDDDFF"/>
                <w:sz w:val="18"/>
                <w:szCs w:val="18"/>
              </w:rPr>
              <w:t xml:space="preserve">   |   Viabilidad: MEDIA-BAJA — Políticamente delicada   |   Costo estimado: Sin costo directo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space="0"/>
              <w:left w:val="single" w:color="92620A" w:sz="8" w:space="0"/>
              <w:bottom w:val="single" w:color="92620A" w:sz="8" w:space="0"/>
              <w:right w:val="none" w:color="FFFFFF" w:sz="0" w:space="0"/>
            </w:tcBorders>
            <w:shd w:fill="F4F5F7" w:val="clear"/>
            <w:tcMar>
              <w:top w:type="dxa" w:w="120"/>
              <w:left w:type="dxa" w:w="160"/>
              <w:bottom w:type="dxa" w:w="120"/>
              <w:right w:type="dxa" w:w="160"/>
            </w:tcMar>
          </w:tcPr>
          <w:p>
            <w:pPr>
              <w:spacing w:after="0" w:before="0"/>
            </w:pPr>
            <w:r>
              <w:rPr>
                <w:rFonts w:ascii="Georgia" w:cs="Georgia" w:eastAsia="Georgia" w:hAnsi="Georgia"/>
                <w:color w:val="111111"/>
                <w:sz w:val="21"/>
                <w:szCs w:val="21"/>
              </w:rPr>
              <w:t xml:space="preserve">Ecuador exporta camarones, banano y petróleo a China. Si China empieza a exigir pagos en yuan digital para esas exportaciones, Ecuador tiene que decidir si acepta o pierde mercado. Brasil y Argentina ya tienen acuerdos bilaterales con China para comercio en yuan digital en sectores específicos. Ecuador podría hacer lo mismo sin declararlo públicamente como política de desdolarización. El riesgo es político: el gobierno actual tiene alineamiento fuerte con Estados Unidos y cualquier movimiento hacia el yuan digital sería interpretado como señal anti-estadounidense. Pero la presión comercial puede forzar esa decisión independientemente de la ideología del gobierno.</w:t>
            </w:r>
          </w:p>
        </w:tc>
      </w:tr>
    </w:tbl>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sz="8" w:space="0"/>
              <w:left w:val="single" w:sz="8" w:space="0"/>
              <w:bottom w:val="none" w:color="FFFFFF" w:sz="0" w:space="0"/>
              <w:right w:val="none" w:color="FFFFFF" w:sz="0" w:space="0"/>
            </w:tcBorders>
            <w:shd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OPCIÓN 4: No hacer nada y adaptarse a lo que venga</w:t>
            </w:r>
            <w:r>
              <w:rPr>
                <w:rFonts w:ascii="Arial" w:cs="Arial" w:eastAsia="Arial" w:hAnsi="Arial"/>
                <w:b/>
                <w:bCs/>
                <w:color w:val="DDDDFF"/>
                <w:sz w:val="18"/>
                <w:szCs w:val="18"/>
              </w:rPr>
              <w:t xml:space="preserve">   |   Viabilidad: ALTA probabilidad de ocurrir — BAJO beneficio para Ecuador   |   Costo estimado: Sin costo — sin beneficio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space="0"/>
              <w:left w:val="single" w:color="7B1111" w:sz="8" w:space="0"/>
              <w:bottom w:val="single" w:color="7B1111" w:sz="8" w:space="0"/>
              <w:right w:val="none" w:color="FFFFFF" w:sz="0" w:space="0"/>
            </w:tcBorders>
            <w:shd w:fill="F4F5F7" w:val="clear"/>
            <w:tcMar>
              <w:top w:type="dxa" w:w="120"/>
              <w:left w:type="dxa" w:w="160"/>
              <w:bottom w:type="dxa" w:w="120"/>
              <w:right w:type="dxa" w:w="160"/>
            </w:tcMar>
          </w:tcPr>
          <w:p>
            <w:pPr>
              <w:spacing w:after="0" w:before="0"/>
            </w:pPr>
            <w:r>
              <w:rPr>
                <w:rFonts w:ascii="Georgia" w:cs="Georgia" w:eastAsia="Georgia" w:hAnsi="Georgia"/>
                <w:color w:val="111111"/>
                <w:sz w:val="21"/>
                <w:szCs w:val="21"/>
              </w:rPr>
              <w:t xml:space="preserve">Esta es la opción más probable porque requiere cero decisión política activa. Ecuador sigue con el dólar físico, adopta por defecto los stablecoins privados en dólares cuando el sistema migre, y sus ciudadanos usan USDC, USDT y RLUSD sin ningún marco regulatorio ecuatoriano. El problema no es que el sistema colapse. Es que Ecuador cede completamente la gobernanza de sus transacciones digitales a empresas privadas extranjeras. Tether puede cambiar sus condiciones de uso, puede ser sancionada por EE.UU., puede quebrar. En cualquiera de esos escenarios Ecuador no tiene instrumento alternativo ni capacidad de respuesta.</w:t>
            </w:r>
          </w:p>
        </w:tc>
      </w:tr>
    </w:tbl>
    <w:p>
      <w:pPr>
        <w:spacing w:after="140" w:before="0"/>
      </w:pPr>
      <w:r>
        <w:rPr>
          <w:sz w:val="20"/>
          <w:szCs w:val="20"/>
        </w:rPr>
        <w:t xml:space="preserve"/>
      </w:r>
    </w:p>
    <w:p>
      <w:pPr>
        <w:spacing w:after="140" w:before="0"/>
      </w:pPr>
      <w:r>
        <w:rPr>
          <w:sz w:val="20"/>
          <w:szCs w:val="20"/>
        </w:rPr>
        <w:t xml:space="preserve"/>
      </w:r>
    </w:p>
    <w:p>
      <w:pPr>
        <w:pStyle w:val="Heading1"/>
        <w:spacing w:after="200" w:before="500"/>
      </w:pPr>
      <w:r>
        <w:rPr>
          <w:rFonts w:ascii="Arial" w:cs="Arial" w:eastAsia="Arial" w:hAnsi="Arial"/>
          <w:b/>
          <w:bCs/>
          <w:color w:val="0D1F3C"/>
          <w:sz w:val="40"/>
          <w:szCs w:val="40"/>
        </w:rPr>
        <w:t xml:space="preserve">LA LÍNEA DEL TIEMPO QUE ECUADOR NO PUEDE IGNORAR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560"/>
        <w:gridCol w:w="3200"/>
      </w:tblGrid>
      <w:tr>
        <w:tc>
          <w:tcPr>
            <w:tcW w:type="dxa" w:w="12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FECHA</w:t>
            </w:r>
          </w:p>
        </w:tc>
        <w:tc>
          <w:tcPr>
            <w:tcW w:type="dxa" w:w="24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EVENTO GLOBAL</w:t>
            </w:r>
          </w:p>
        </w:tc>
        <w:tc>
          <w:tcPr>
            <w:tcW w:type="dxa" w:w="256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IMPACTO EN ECUADOR</w:t>
            </w:r>
          </w:p>
        </w:tc>
        <w:tc>
          <w:tcPr>
            <w:tcW w:type="dxa" w:w="32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QUÉ DEBERÍA PASAR</w:t>
            </w:r>
          </w:p>
        </w:tc>
      </w:tr>
      <w:tr>
        <w:tc>
          <w:tcPr>
            <w:tcW w:type="dxa" w:w="1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Nov 2025
(Ya ocurrió)</w:t>
            </w:r>
          </w:p>
        </w:tc>
        <w:tc>
          <w:tcPr>
            <w:tcW w:type="dxa" w:w="2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Fin del período de coexistencia ISO 20022. Nuevo estándar obligatorio en SWIFT.</w:t>
            </w:r>
          </w:p>
        </w:tc>
        <w:tc>
          <w:tcPr>
            <w:tcW w:type="dxa" w:w="25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Bancos ecuatorianos que no completaron la migración ya enfrentan rechazos automáticos.</w:t>
            </w:r>
          </w:p>
        </w:tc>
        <w:tc>
          <w:tcPr>
            <w:tcW w:type="dxa" w:w="3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El Ministerio de Economía debería publicar diagnóstico de estado de bancos ecuatorianos. No lo hizo.</w:t>
            </w:r>
          </w:p>
        </w:tc>
      </w:tr>
      <w:tr>
        <w:tc>
          <w:tcPr>
            <w:tcW w:type="dxa" w:w="12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Mar–Oct 2026
(Ahora)</w:t>
            </w:r>
          </w:p>
        </w:tc>
        <w:tc>
          <w:tcPr>
            <w:tcW w:type="dxa" w:w="24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SWIFT en producción comercial con activos digitales. Piloto de 30+ bancos globales.</w:t>
            </w:r>
          </w:p>
        </w:tc>
        <w:tc>
          <w:tcPr>
            <w:tcW w:type="dxa" w:w="256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Los bancos ecuatorianos que tengan socios internacionales en el piloto empezarán a recibir presión para adoptar el nuevo sistema.</w:t>
            </w:r>
          </w:p>
        </w:tc>
        <w:tc>
          <w:tcPr>
            <w:tcW w:type="dxa" w:w="32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Ecuador debería iniciar negociaciones con Stellar o Ripple para acceso como nodo. Ventana óptima.</w:t>
            </w:r>
          </w:p>
        </w:tc>
      </w:tr>
      <w:tr>
        <w:tc>
          <w:tcPr>
            <w:tcW w:type="dxa" w:w="1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Nov 2026
(8 meses)</w:t>
            </w:r>
          </w:p>
        </w:tc>
        <w:tc>
          <w:tcPr>
            <w:tcW w:type="dxa" w:w="2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Eliminación de mensajes MT101 en SWIFT. Deadline final para pagos transfronterizos.</w:t>
            </w:r>
          </w:p>
        </w:tc>
        <w:tc>
          <w:tcPr>
            <w:tcW w:type="dxa" w:w="25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Posible caos técnico de fin de semana. Sistemas de autorización en migración. 48–96 horas de inestabilidad posible.</w:t>
            </w:r>
          </w:p>
        </w:tc>
        <w:tc>
          <w:tcPr>
            <w:tcW w:type="dxa" w:w="3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Plan de contingencia nacional publicado. Comunicación a ciudadanos sobre qué esperar. Ninguno de los dos existe.</w:t>
            </w:r>
          </w:p>
        </w:tc>
      </w:tr>
      <w:tr>
        <w:tc>
          <w:tcPr>
            <w:tcW w:type="dxa" w:w="12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2027</w:t>
            </w:r>
          </w:p>
        </w:tc>
        <w:tc>
          <w:tcPr>
            <w:tcW w:type="dxa" w:w="24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Migración completa de todos los mensajes SWIFT a ISO 20022.</w:t>
            </w:r>
          </w:p>
        </w:tc>
        <w:tc>
          <w:tcPr>
            <w:tcW w:type="dxa" w:w="256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El sistema de pagos internacionales de Ecuador opera 100% en nuevo formato. Sin opción de volver al anterior.</w:t>
            </w:r>
          </w:p>
        </w:tc>
        <w:tc>
          <w:tcPr>
            <w:tcW w:type="dxa" w:w="32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Si Ecuador no negoció acceso a nodo propio antes, depende completamente de bancos corresponsales extranjeros.</w:t>
            </w:r>
          </w:p>
        </w:tc>
      </w:tr>
      <w:tr>
        <w:tc>
          <w:tcPr>
            <w:tcW w:type="dxa" w:w="1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2028–2030</w:t>
            </w:r>
          </w:p>
        </w:tc>
        <w:tc>
          <w:tcPr>
            <w:tcW w:type="dxa" w:w="2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Adopción masiva de CBDCs por 72+ países. Stablecoins privados dominan mercado minorista.</w:t>
            </w:r>
          </w:p>
        </w:tc>
        <w:tc>
          <w:tcPr>
            <w:tcW w:type="dxa" w:w="25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Ecuador sin CBDC propio usa stablecoins privados por defecto. Sin marco regulatorio ecuatoriano que los regule.</w:t>
            </w:r>
          </w:p>
        </w:tc>
        <w:tc>
          <w:tcPr>
            <w:tcW w:type="dxa" w:w="3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La ausencia de política activa en 2026 hace que las decisiones de 2028 sean reactivas y costosas.</w:t>
            </w:r>
          </w:p>
        </w:tc>
      </w:tr>
    </w:tbl>
    <w:p>
      <w:pPr>
        <w:spacing w:after="140" w:before="0"/>
      </w:pPr>
      <w:r>
        <w:rPr>
          <w:sz w:val="20"/>
          <w:szCs w:val="20"/>
        </w:rPr>
        <w:t xml:space="preserve"/>
      </w:r>
    </w:p>
    <w:p>
      <w:r>
        <w:br w:type="page"/>
      </w:r>
    </w:p>
    <w:p>
      <w:pPr>
        <w:pStyle w:val="Heading1"/>
        <w:spacing w:after="200" w:before="500"/>
      </w:pPr>
      <w:r>
        <w:rPr>
          <w:rFonts w:ascii="Arial" w:cs="Arial" w:eastAsia="Arial" w:hAnsi="Arial"/>
          <w:b/>
          <w:bCs/>
          <w:color w:val="0D1F3C"/>
          <w:sz w:val="40"/>
          <w:szCs w:val="40"/>
        </w:rPr>
        <w:t xml:space="preserve">LA CONEXIÓN CON EL SNIP: POR QUÉ EL SISTEMA ANTICORRUPCIÓN NECESITA EL NUEVO LENGUAJE FINANCIERO</w:t>
      </w:r>
    </w:p>
    <w:p>
      <w:pPr>
        <w:spacing w:after="100" w:before="80"/>
      </w:pPr>
      <w:r>
        <w:rPr>
          <w:rFonts w:ascii="Georgia" w:cs="Georgia" w:eastAsia="Georgia" w:hAnsi="Georgia"/>
          <w:sz w:val="22"/>
          <w:szCs w:val="22"/>
        </w:rPr>
        <w:t xml:space="preserve">El módulo de análisis financiero del SNIP, que cruza datos de contratos del SERCOP con el sistema bancario para detectar sobreprecios y movimientos sospechosos, fue diseñado asumiendo que el sistema financiero ecuatoriano opera con las mismas herramientas de hoy. Pero el sistema financiero de 2027 será radicalmente diferente.</w:t>
      </w:r>
    </w:p>
    <w:p>
      <w:pPr>
        <w:spacing w:after="100" w:before="80"/>
      </w:pPr>
      <w:r>
        <w:rPr>
          <w:rFonts w:ascii="Georgia" w:cs="Georgia" w:eastAsia="Georgia" w:hAnsi="Georgia"/>
          <w:sz w:val="22"/>
          <w:szCs w:val="22"/>
        </w:rPr>
        <w:t xml:space="preserve">Si para cuando el SNIP entra en operación los contratos del Estado se pagan parcialmente en stablecoins o en tokens y el módulo financiero no puede leer esas transacciones, el sistema quedará ciego ante exactamente el tipo de corrupción financiera más sofisticada: la que usa los nuevos instrumentos precisamente porque los sistemas de control no los entienden.</w:t>
      </w:r>
    </w:p>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space="0"/>
              <w:left w:val="none" w:color="FFFFFF" w:sz="0" w:space="0"/>
              <w:bottom w:val="none" w:color="FFFFFF" w:sz="0" w:space="0"/>
              <w:right w:val="none" w:color="FFFFFF" w:sz="0" w:space="0"/>
            </w:tcBorders>
            <w:shd w:fill="0D1F3C" w:val="clear"/>
            <w:tcMar>
              <w:top w:type="dxa" w:w="160"/>
              <w:left w:type="dxa" w:w="280"/>
              <w:bottom w:type="dxa" w:w="160"/>
              <w:right w:type="dxa" w:w="280"/>
            </w:tcMar>
          </w:tcPr>
          <w:p>
            <w:pPr>
              <w:spacing w:after="0" w:before="0"/>
            </w:pPr>
            <w:r>
              <w:rPr>
                <w:rFonts w:ascii="Georgia" w:cs="Georgia" w:eastAsia="Georgia" w:hAnsi="Georgia"/>
                <w:b/>
                <w:bCs/>
                <w:color w:val="FFFFFF"/>
                <w:sz w:val="21"/>
                <w:szCs w:val="21"/>
              </w:rPr>
              <w:t xml:space="preserve">Un sistema anticorrupción que no puede ver las transacciones del futuro es un sistema diseñado para detectar la corrupción del pasado. El SNIP debe diseñarse desde ahora para leer transacciones en ISO 20022, en XRP Ledger, en Hedera y en cualquier formato que los contratos del Estado puedan usar en los próximos 10 años.</w:t>
            </w:r>
          </w:p>
        </w:tc>
      </w:tr>
    </w:tbl>
    <w:p>
      <w:pPr>
        <w:spacing w:after="140" w:before="0"/>
      </w:pPr>
      <w:r>
        <w:rPr>
          <w:sz w:val="20"/>
          <w:szCs w:val="20"/>
        </w:rPr>
        <w:t xml:space="preserve"/>
      </w:r>
    </w:p>
    <w:p>
      <w:pPr>
        <w:pStyle w:val="Heading2"/>
        <w:pBdr>
          <w:bottom w:val="single" w:color="2E5FA3" w:sz="6" w:space="4"/>
        </w:pBdr>
        <w:spacing w:after="160" w:before="320"/>
      </w:pPr>
      <w:r>
        <w:rPr>
          <w:rFonts w:ascii="Arial" w:cs="Arial" w:eastAsia="Arial" w:hAnsi="Arial"/>
          <w:b/>
          <w:bCs/>
          <w:color w:val="2E5FA3"/>
          <w:sz w:val="28"/>
          <w:szCs w:val="28"/>
        </w:rPr>
        <w:t xml:space="preserve">Qué debe incluir el módulo financiero del SNIP para el nuevo sistema</w:t>
      </w:r>
    </w:p>
    <w:p>
      <w:pPr>
        <w:pStyle w:val="ListParagraph"/>
        <w:numPr>
          <w:ilvl w:val="0"/>
          <w:numId w:val="2"/>
        </w:numPr>
        <w:spacing w:after="60" w:before="60"/>
      </w:pPr>
      <w:r>
        <w:rPr>
          <w:rFonts w:ascii="Georgia" w:cs="Georgia" w:eastAsia="Georgia" w:hAnsi="Georgia"/>
          <w:sz w:val="21"/>
          <w:szCs w:val="21"/>
        </w:rPr>
        <w:t xml:space="preserve">Integración con la API de SERCOP en formato ISO 20022 nativo — no como adaptador posterior sino como arquitectura de base.</w:t>
      </w:r>
    </w:p>
    <w:p>
      <w:pPr>
        <w:pStyle w:val="ListParagraph"/>
        <w:numPr>
          <w:ilvl w:val="0"/>
          <w:numId w:val="2"/>
        </w:numPr>
        <w:spacing w:after="60" w:before="60"/>
      </w:pPr>
      <w:r>
        <w:rPr>
          <w:rFonts w:ascii="Georgia" w:cs="Georgia" w:eastAsia="Georgia" w:hAnsi="Georgia"/>
          <w:sz w:val="21"/>
          <w:szCs w:val="21"/>
        </w:rPr>
        <w:t xml:space="preserve">Capacidad de leer registros de transacciones en Hedera Hashgraph, que ya es la plataforma más usada para registros gubernamentales tokenizados en el mundo.</w:t>
      </w:r>
    </w:p>
    <w:p>
      <w:pPr>
        <w:pStyle w:val="ListParagraph"/>
        <w:numPr>
          <w:ilvl w:val="0"/>
          <w:numId w:val="2"/>
        </w:numPr>
        <w:spacing w:after="60" w:before="60"/>
      </w:pPr>
      <w:r>
        <w:rPr>
          <w:rFonts w:ascii="Georgia" w:cs="Georgia" w:eastAsia="Georgia" w:hAnsi="Georgia"/>
          <w:sz w:val="21"/>
          <w:szCs w:val="21"/>
        </w:rPr>
        <w:t xml:space="preserve">Módulo de análisis de stablecoins: detección de pagos a proveedores del Estado realizados total o parcialmente en USDC, USDT o RLUSD con cruce automático contra declaraciones de impuestos al SRI.</w:t>
      </w:r>
    </w:p>
    <w:p>
      <w:pPr>
        <w:pStyle w:val="ListParagraph"/>
        <w:numPr>
          <w:ilvl w:val="0"/>
          <w:numId w:val="2"/>
        </w:numPr>
        <w:spacing w:after="60" w:before="60"/>
      </w:pPr>
      <w:r>
        <w:rPr>
          <w:rFonts w:ascii="Georgia" w:cs="Georgia" w:eastAsia="Georgia" w:hAnsi="Georgia"/>
          <w:sz w:val="21"/>
          <w:szCs w:val="21"/>
        </w:rPr>
        <w:t xml:space="preserve">Protocolo de alerta ante discrepancias entre el valor en dólares de un contrato público y el valor equivalente en tokens pagado al proveedor — diferencias de tipo de cambio son una nueva forma de sobreprecio en el sistema tokenizado.</w:t>
      </w:r>
    </w:p>
    <w:p>
      <w:pPr>
        <w:pStyle w:val="ListParagraph"/>
        <w:numPr>
          <w:ilvl w:val="0"/>
          <w:numId w:val="2"/>
        </w:numPr>
        <w:spacing w:after="60" w:before="60"/>
      </w:pPr>
      <w:r>
        <w:rPr>
          <w:rFonts w:ascii="Georgia" w:cs="Georgia" w:eastAsia="Georgia" w:hAnsi="Georgia"/>
          <w:sz w:val="21"/>
          <w:szCs w:val="21"/>
        </w:rPr>
        <w:t xml:space="preserve">Registro inmutable de todas las transacciones del Estado en Hedera — un blockchain público con gobernanza empresarial que hace técnicamente imposible modificar o eliminar registros pasados.</w:t>
      </w:r>
    </w:p>
    <w:p>
      <w:pPr>
        <w:spacing w:after="140" w:before="0"/>
      </w:pPr>
      <w:r>
        <w:rPr>
          <w:sz w:val="20"/>
          <w:szCs w:val="20"/>
        </w:rPr>
        <w:t xml:space="preserve"/>
      </w:r>
    </w:p>
    <w:p>
      <w:pPr>
        <w:pStyle w:val="Heading1"/>
        <w:spacing w:after="200" w:before="500"/>
      </w:pPr>
      <w:r>
        <w:rPr>
          <w:rFonts w:ascii="Arial" w:cs="Arial" w:eastAsia="Arial" w:hAnsi="Arial"/>
          <w:b/>
          <w:bCs/>
          <w:color w:val="0D1F3C"/>
          <w:sz w:val="40"/>
          <w:szCs w:val="40"/>
        </w:rPr>
        <w:t xml:space="preserve">RECOMENDACIONES CONCRETAS ORDENADAS POR URGENCIA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800"/>
        <w:gridCol w:w="1200"/>
        <w:gridCol w:w="2560"/>
      </w:tblGrid>
      <w:tr>
        <w:tc>
          <w:tcPr>
            <w:tcW w:type="dxa" w:w="10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PRIORIDAD</w:t>
            </w:r>
          </w:p>
        </w:tc>
        <w:tc>
          <w:tcPr>
            <w:tcW w:type="dxa" w:w="28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ACCIÓN</w:t>
            </w:r>
          </w:p>
        </w:tc>
        <w:tc>
          <w:tcPr>
            <w:tcW w:type="dxa" w:w="18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RESPONSABLE</w:t>
            </w:r>
          </w:p>
        </w:tc>
        <w:tc>
          <w:tcPr>
            <w:tcW w:type="dxa" w:w="12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PLAZO</w:t>
            </w:r>
          </w:p>
        </w:tc>
        <w:tc>
          <w:tcPr>
            <w:tcW w:type="dxa" w:w="256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COSTO ESTIMADO</w:t>
            </w:r>
          </w:p>
        </w:tc>
      </w:tr>
      <w:tr>
        <w:tc>
          <w:tcPr>
            <w:tcW w:type="dxa" w:w="10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CRÍTICA</w:t>
            </w:r>
          </w:p>
        </w:tc>
        <w:tc>
          <w:tcPr>
            <w:tcW w:type="dxa" w:w="28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Diagnóstico oficial del estado de migración ISO 20022 de los 24 bancos ecuatorianos regulados</w:t>
            </w:r>
          </w:p>
        </w:tc>
        <w:tc>
          <w:tcPr>
            <w:tcW w:type="dxa" w:w="18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Superintendencia de Bancos</w:t>
            </w:r>
          </w:p>
        </w:tc>
        <w:tc>
          <w:tcPr>
            <w:tcW w:type="dxa" w:w="1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Antes de junio 2026</w:t>
            </w:r>
          </w:p>
        </w:tc>
        <w:tc>
          <w:tcPr>
            <w:tcW w:type="dxa" w:w="25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$50k–$100k (consultoría técnica)</w:t>
            </w:r>
          </w:p>
        </w:tc>
      </w:tr>
      <w:tr>
        <w:tc>
          <w:tcPr>
            <w:tcW w:type="dxa" w:w="10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CRÍTICA</w:t>
            </w:r>
          </w:p>
        </w:tc>
        <w:tc>
          <w:tcPr>
            <w:tcW w:type="dxa" w:w="28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Inicio de negociaciones formales con Stellar Development Foundation para acceso como nodo</w:t>
            </w:r>
          </w:p>
        </w:tc>
        <w:tc>
          <w:tcPr>
            <w:tcW w:type="dxa" w:w="18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Ministerio de Economía + BCE</w:t>
            </w:r>
          </w:p>
        </w:tc>
        <w:tc>
          <w:tcPr>
            <w:tcW w:type="dxa" w:w="12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Antes de agosto 2026</w:t>
            </w:r>
          </w:p>
        </w:tc>
        <w:tc>
          <w:tcPr>
            <w:tcW w:type="dxa" w:w="256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Sin costo en esta fase</w:t>
            </w:r>
          </w:p>
        </w:tc>
      </w:tr>
      <w:tr>
        <w:tc>
          <w:tcPr>
            <w:tcW w:type="dxa" w:w="10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ALTA</w:t>
            </w:r>
          </w:p>
        </w:tc>
        <w:tc>
          <w:tcPr>
            <w:tcW w:type="dxa" w:w="28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Plan de contingencia ciudadana para fin de semana de noviembre 2026</w:t>
            </w:r>
          </w:p>
        </w:tc>
        <w:tc>
          <w:tcPr>
            <w:tcW w:type="dxa" w:w="18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BCE + Superintendencia + Ministerio</w:t>
            </w:r>
          </w:p>
        </w:tc>
        <w:tc>
          <w:tcPr>
            <w:tcW w:type="dxa" w:w="1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Antes de octubre 2026</w:t>
            </w:r>
          </w:p>
        </w:tc>
        <w:tc>
          <w:tcPr>
            <w:tcW w:type="dxa" w:w="25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$100k–$200k (comunicación + infraestructura)</w:t>
            </w:r>
          </w:p>
        </w:tc>
      </w:tr>
      <w:tr>
        <w:tc>
          <w:tcPr>
            <w:tcW w:type="dxa" w:w="10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ALTA</w:t>
            </w:r>
          </w:p>
        </w:tc>
        <w:tc>
          <w:tcPr>
            <w:tcW w:type="dxa" w:w="28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Marco regulatorio para stablecoins en Ecuador</w:t>
            </w:r>
          </w:p>
        </w:tc>
        <w:tc>
          <w:tcPr>
            <w:tcW w:type="dxa" w:w="18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Superintendencia de Bancos + Asamblea</w:t>
            </w:r>
          </w:p>
        </w:tc>
        <w:tc>
          <w:tcPr>
            <w:tcW w:type="dxa" w:w="12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2026–2027</w:t>
            </w:r>
          </w:p>
        </w:tc>
        <w:tc>
          <w:tcPr>
            <w:tcW w:type="dxa" w:w="256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$200k–$500k (proceso legislativo)</w:t>
            </w:r>
          </w:p>
        </w:tc>
      </w:tr>
      <w:tr>
        <w:tc>
          <w:tcPr>
            <w:tcW w:type="dxa" w:w="10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ALTA</w:t>
            </w:r>
          </w:p>
        </w:tc>
        <w:tc>
          <w:tcPr>
            <w:tcW w:type="dxa" w:w="28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Integración del módulo financiero del SNIP con arquitectura ISO 20022</w:t>
            </w:r>
          </w:p>
        </w:tc>
        <w:tc>
          <w:tcPr>
            <w:tcW w:type="dxa" w:w="18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Equipo técnico SNIP</w:t>
            </w:r>
          </w:p>
        </w:tc>
        <w:tc>
          <w:tcPr>
            <w:tcW w:type="dxa" w:w="1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En diseño inicial del sistema</w:t>
            </w:r>
          </w:p>
        </w:tc>
        <w:tc>
          <w:tcPr>
            <w:tcW w:type="dxa" w:w="25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Incluido en presupuesto SNIP Fase 2</w:t>
            </w:r>
          </w:p>
        </w:tc>
      </w:tr>
      <w:tr>
        <w:tc>
          <w:tcPr>
            <w:tcW w:type="dxa" w:w="10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MEDIA</w:t>
            </w:r>
          </w:p>
        </w:tc>
        <w:tc>
          <w:tcPr>
            <w:tcW w:type="dxa" w:w="28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Evaluación de acceso bilateral a yuan digital para exportaciones a China</w:t>
            </w:r>
          </w:p>
        </w:tc>
        <w:tc>
          <w:tcPr>
            <w:tcW w:type="dxa" w:w="18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Ministerio de Comercio Exterior</w:t>
            </w:r>
          </w:p>
        </w:tc>
        <w:tc>
          <w:tcPr>
            <w:tcW w:type="dxa" w:w="12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2027</w:t>
            </w:r>
          </w:p>
        </w:tc>
        <w:tc>
          <w:tcPr>
            <w:tcW w:type="dxa" w:w="256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$100k–$300k (negociación bilateral)</w:t>
            </w:r>
          </w:p>
        </w:tc>
      </w:tr>
      <w:tr>
        <w:tc>
          <w:tcPr>
            <w:tcW w:type="dxa" w:w="10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MEDIA</w:t>
            </w:r>
          </w:p>
        </w:tc>
        <w:tc>
          <w:tcPr>
            <w:tcW w:type="dxa" w:w="28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Ley de Soberanía Digital Financiera del Ecuador</w:t>
            </w:r>
          </w:p>
        </w:tc>
        <w:tc>
          <w:tcPr>
            <w:tcW w:type="dxa" w:w="18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Asamblea Nacional</w:t>
            </w:r>
          </w:p>
        </w:tc>
        <w:tc>
          <w:tcPr>
            <w:tcW w:type="dxa" w:w="1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2027–2028</w:t>
            </w:r>
          </w:p>
        </w:tc>
        <w:tc>
          <w:tcPr>
            <w:tcW w:type="dxa" w:w="25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$300k–$600k (proceso legislativo)</w:t>
            </w:r>
          </w:p>
        </w:tc>
      </w:tr>
    </w:tbl>
    <w:p>
      <w:pPr>
        <w:spacing w:after="140" w:before="0"/>
      </w:pPr>
      <w:r>
        <w:rPr>
          <w:sz w:val="20"/>
          <w:szCs w:val="20"/>
        </w:rPr>
        <w:t xml:space="preserve"/>
      </w:r>
    </w:p>
    <w:p>
      <w:pPr>
        <w:spacing w:after="140" w:before="0"/>
      </w:pPr>
      <w:r>
        <w:rPr>
          <w:sz w:val="20"/>
          <w:szCs w:val="20"/>
        </w:rPr>
        <w:t xml:space="preserve"/>
      </w:r>
    </w:p>
    <w:p>
      <w:pPr>
        <w:pStyle w:val="Heading1"/>
        <w:spacing w:after="200" w:before="500"/>
      </w:pPr>
      <w:r>
        <w:rPr>
          <w:rFonts w:ascii="Arial" w:cs="Arial" w:eastAsia="Arial" w:hAnsi="Arial"/>
          <w:b/>
          <w:bCs/>
          <w:color w:val="0D1F3C"/>
          <w:sz w:val="40"/>
          <w:szCs w:val="40"/>
        </w:rPr>
        <w:t xml:space="preserve">CONCLUSIÓN: LA SOBERANÍA DIGITAL NO SE DECLARA. SE CONSTRUYE.</w:t>
      </w:r>
    </w:p>
    <w:p>
      <w:pPr>
        <w:spacing w:after="100" w:before="80"/>
      </w:pPr>
      <w:r>
        <w:rPr>
          <w:rFonts w:ascii="Georgia" w:cs="Georgia" w:eastAsia="Georgia" w:hAnsi="Georgia"/>
          <w:sz w:val="22"/>
          <w:szCs w:val="22"/>
        </w:rPr>
        <w:t xml:space="preserve">Ecuador tiene 8 meses para iniciar las negociaciones y tomar las decisiones que determinarán si en 2030 tiene algún grado de autonomía en su sistema de pagos digitales o si es completamente dependiente de empresas privadas estadounidenses que no le deben ninguna explicación.</w:t>
      </w:r>
    </w:p>
    <w:p>
      <w:pPr>
        <w:spacing w:after="100" w:before="80"/>
      </w:pPr>
      <w:r>
        <w:rPr>
          <w:rFonts w:ascii="Georgia" w:cs="Georgia" w:eastAsia="Georgia" w:hAnsi="Georgia"/>
          <w:sz w:val="22"/>
          <w:szCs w:val="22"/>
        </w:rPr>
        <w:t xml:space="preserve">La dolarización fue una decisión impuesta por una crisis. La integración al sistema financiero tokenizado puede ser una decisión estratégica tomada con tiempo y análisis. La diferencia entre los dos escenarios es si alguien en una posición de influencia decide que esta conversación vale la pena tenerla antes de noviembre, no después.</w:t>
      </w:r>
    </w:p>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space="0"/>
              <w:left w:val="none" w:color="FFFFFF" w:sz="0" w:space="0"/>
              <w:bottom w:val="none" w:color="FFFFFF" w:sz="0" w:space="0"/>
              <w:right w:val="none" w:color="FFFFFF" w:sz="0" w:space="0"/>
            </w:tcBorders>
            <w:shd w:fill="0D1F3C" w:val="clear"/>
            <w:tcMar>
              <w:top w:type="dxa" w:w="160"/>
              <w:left w:type="dxa" w:w="280"/>
              <w:bottom w:type="dxa" w:w="160"/>
              <w:right w:type="dxa" w:w="280"/>
            </w:tcMar>
          </w:tcPr>
          <w:p>
            <w:pPr>
              <w:spacing w:after="0" w:before="0"/>
            </w:pPr>
            <w:r>
              <w:rPr>
                <w:rFonts w:ascii="Georgia" w:cs="Georgia" w:eastAsia="Georgia" w:hAnsi="Georgia"/>
                <w:b/>
                <w:bCs/>
                <w:color w:val="FFFFFF"/>
                <w:sz w:val="21"/>
                <w:szCs w:val="21"/>
              </w:rPr>
              <w:t xml:space="preserve">Los países pequeños que tienen voz en el sistema financiero global no la tienen porque son grandes. La tienen porque llegaron a tiempo con propuestas concretas cuando el sistema se estaba diseñando. Ecuador tiene 8 meses para llegar a tiempo.</w:t>
            </w:r>
          </w:p>
        </w:tc>
      </w:tr>
    </w:tbl>
    <w:p>
      <w:pPr>
        <w:spacing w:after="140" w:before="0"/>
      </w:pPr>
      <w:r>
        <w:rPr>
          <w:sz w:val="20"/>
          <w:szCs w:val="20"/>
        </w:rPr>
        <w:t xml:space="preserve"/>
      </w:r>
    </w:p>
    <w:p>
      <w:pPr>
        <w:spacing w:after="0" w:before="200"/>
        <w:jc w:val="center"/>
      </w:pPr>
      <w:r>
        <w:rPr>
          <w:rFonts w:ascii="Georgia" w:cs="Georgia" w:eastAsia="Georgia" w:hAnsi="Georgia"/>
          <w:i/>
          <w:iCs/>
          <w:color w:val="888888"/>
          <w:sz w:val="20"/>
          <w:szCs w:val="20"/>
        </w:rPr>
        <w:t xml:space="preserve">— Fin del documento —</w:t>
      </w:r>
    </w:p>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space="0"/>
              <w:left w:val="none" w:color="FFFFFF" w:sz="0" w:space="0"/>
              <w:bottom w:val="none" w:color="FFFFFF" w:sz="0" w:space="0"/>
              <w:right w:val="none" w:color="FFFFFF" w:sz="0" w:space="0"/>
            </w:tcBorders>
            <w:shd w:fill="F9F9F9" w:val="clear"/>
            <w:tcMar>
              <w:top w:type="dxa" w:w="80"/>
              <w:left w:type="dxa" w:w="120"/>
              <w:bottom w:type="dxa" w:w="80"/>
              <w:right w:type="dxa" w:w="120"/>
            </w:tcMar>
          </w:tcPr>
          <w:p>
            <w:pPr>
              <w:spacing w:after="20" w:before="0"/>
            </w:pPr>
            <w:r>
              <w:rPr>
                <w:rFonts w:ascii="Arial" w:cs="Arial" w:eastAsia="Arial" w:hAnsi="Arial"/>
                <w:b/>
                <w:bCs/>
                <w:color w:val="999999"/>
                <w:sz w:val="15"/>
                <w:szCs w:val="15"/>
              </w:rPr>
              <w:t xml:space="preserve">FUENTES DE REFERENCIA</w:t>
            </w:r>
          </w:p>
          <w:p>
            <w:pPr>
              <w:spacing w:after="10" w:before="10"/>
            </w:pPr>
            <w:r>
              <w:rPr>
                <w:rFonts w:ascii="Arial" w:cs="Arial" w:eastAsia="Arial" w:hAnsi="Arial"/>
                <w:b/>
                <w:bCs/>
                <w:color w:val="555555"/>
                <w:sz w:val="15"/>
                <w:szCs w:val="15"/>
              </w:rPr>
              <w:t xml:space="preserve">[1] SWIFT — ISO 20022 migration roadmap oficial: </w:t>
            </w:r>
            <w:r>
              <w:rPr>
                <w:rFonts w:ascii="Arial" w:cs="Arial" w:eastAsia="Arial" w:hAnsi="Arial"/>
                <w:color w:val="1155CC"/>
                <w:sz w:val="15"/>
                <w:szCs w:val="15"/>
              </w:rPr>
              <w:t xml:space="preserve">https://www.swift.com/your-needs/financial-crime-cyber-security/know-your-customer-kyc/iso-20022</w:t>
            </w:r>
          </w:p>
          <w:p>
            <w:pPr>
              <w:spacing w:after="10" w:before="10"/>
            </w:pPr>
            <w:r>
              <w:rPr>
                <w:rFonts w:ascii="Arial" w:cs="Arial" w:eastAsia="Arial" w:hAnsi="Arial"/>
                <w:b/>
                <w:bCs/>
                <w:color w:val="555555"/>
                <w:sz w:val="15"/>
                <w:szCs w:val="15"/>
              </w:rPr>
              <w:t xml:space="preserve">[2] Ripple — XRP Ledger documentación técnica: </w:t>
            </w:r>
            <w:r>
              <w:rPr>
                <w:rFonts w:ascii="Arial" w:cs="Arial" w:eastAsia="Arial" w:hAnsi="Arial"/>
                <w:color w:val="1155CC"/>
                <w:sz w:val="15"/>
                <w:szCs w:val="15"/>
              </w:rPr>
              <w:t xml:space="preserve">https://xrpl.org</w:t>
            </w:r>
          </w:p>
          <w:p>
            <w:pPr>
              <w:spacing w:after="10" w:before="10"/>
            </w:pPr>
            <w:r>
              <w:rPr>
                <w:rFonts w:ascii="Arial" w:cs="Arial" w:eastAsia="Arial" w:hAnsi="Arial"/>
                <w:b/>
                <w:bCs/>
                <w:color w:val="555555"/>
                <w:sz w:val="15"/>
                <w:szCs w:val="15"/>
              </w:rPr>
              <w:t xml:space="preserve">[3] Stellar Development Foundation — Programa para gobiernos: </w:t>
            </w:r>
            <w:r>
              <w:rPr>
                <w:rFonts w:ascii="Arial" w:cs="Arial" w:eastAsia="Arial" w:hAnsi="Arial"/>
                <w:color w:val="1155CC"/>
                <w:sz w:val="15"/>
                <w:szCs w:val="15"/>
              </w:rPr>
              <w:t xml:space="preserve">https://www.stellar.org/foundation</w:t>
            </w:r>
          </w:p>
          <w:p>
            <w:pPr>
              <w:spacing w:after="10" w:before="10"/>
            </w:pPr>
            <w:r>
              <w:rPr>
                <w:rFonts w:ascii="Arial" w:cs="Arial" w:eastAsia="Arial" w:hAnsi="Arial"/>
                <w:b/>
                <w:bCs/>
                <w:color w:val="555555"/>
                <w:sz w:val="15"/>
                <w:szCs w:val="15"/>
              </w:rPr>
              <w:t xml:space="preserve">[4] Hedera Hashgraph — Government use cases: </w:t>
            </w:r>
            <w:r>
              <w:rPr>
                <w:rFonts w:ascii="Arial" w:cs="Arial" w:eastAsia="Arial" w:hAnsi="Arial"/>
                <w:color w:val="1155CC"/>
                <w:sz w:val="15"/>
                <w:szCs w:val="15"/>
              </w:rPr>
              <w:t xml:space="preserve">https://hedera.com/use-cases/government</w:t>
            </w:r>
          </w:p>
          <w:p>
            <w:pPr>
              <w:spacing w:after="10" w:before="10"/>
            </w:pPr>
            <w:r>
              <w:rPr>
                <w:rFonts w:ascii="Arial" w:cs="Arial" w:eastAsia="Arial" w:hAnsi="Arial"/>
                <w:b/>
                <w:bCs/>
                <w:color w:val="555555"/>
                <w:sz w:val="15"/>
                <w:szCs w:val="15"/>
              </w:rPr>
              <w:t xml:space="preserve">[5] Circle USDC — Marco regulatorio y reservas: </w:t>
            </w:r>
            <w:r>
              <w:rPr>
                <w:rFonts w:ascii="Arial" w:cs="Arial" w:eastAsia="Arial" w:hAnsi="Arial"/>
                <w:color w:val="1155CC"/>
                <w:sz w:val="15"/>
                <w:szCs w:val="15"/>
              </w:rPr>
              <w:t xml:space="preserve">https://www.circle.com/en/usdc</w:t>
            </w:r>
          </w:p>
          <w:p>
            <w:pPr>
              <w:spacing w:after="10" w:before="10"/>
            </w:pPr>
            <w:r>
              <w:rPr>
                <w:rFonts w:ascii="Arial" w:cs="Arial" w:eastAsia="Arial" w:hAnsi="Arial"/>
                <w:b/>
                <w:bCs/>
                <w:color w:val="555555"/>
                <w:sz w:val="15"/>
                <w:szCs w:val="15"/>
              </w:rPr>
              <w:t xml:space="preserve">[6] BIS — Project Agorá: tokenización de depósitos bancarios: </w:t>
            </w:r>
            <w:r>
              <w:rPr>
                <w:rFonts w:ascii="Arial" w:cs="Arial" w:eastAsia="Arial" w:hAnsi="Arial"/>
                <w:color w:val="1155CC"/>
                <w:sz w:val="15"/>
                <w:szCs w:val="15"/>
              </w:rPr>
              <w:t xml:space="preserve">https://www.bis.org/about/bisih/topics/fmis/agora.htm</w:t>
            </w:r>
          </w:p>
          <w:p>
            <w:pPr>
              <w:spacing w:after="10" w:before="10"/>
            </w:pPr>
            <w:r>
              <w:rPr>
                <w:rFonts w:ascii="Arial" w:cs="Arial" w:eastAsia="Arial" w:hAnsi="Arial"/>
                <w:b/>
                <w:bCs/>
                <w:color w:val="555555"/>
                <w:sz w:val="15"/>
                <w:szCs w:val="15"/>
              </w:rPr>
              <w:t xml:space="preserve">[7] Banco Central del Ecuador: </w:t>
            </w:r>
            <w:r>
              <w:rPr>
                <w:rFonts w:ascii="Arial" w:cs="Arial" w:eastAsia="Arial" w:hAnsi="Arial"/>
                <w:color w:val="1155CC"/>
                <w:sz w:val="15"/>
                <w:szCs w:val="15"/>
              </w:rPr>
              <w:t xml:space="preserve">https://www.bce.fin.ec</w:t>
            </w:r>
          </w:p>
          <w:p>
            <w:pPr>
              <w:spacing w:after="10" w:before="10"/>
            </w:pPr>
            <w:r>
              <w:rPr>
                <w:rFonts w:ascii="Arial" w:cs="Arial" w:eastAsia="Arial" w:hAnsi="Arial"/>
                <w:b/>
                <w:bCs/>
                <w:color w:val="555555"/>
                <w:sz w:val="15"/>
                <w:szCs w:val="15"/>
              </w:rPr>
              <w:t xml:space="preserve">[8] Superintendencia de Bancos Ecuador: </w:t>
            </w:r>
            <w:r>
              <w:rPr>
                <w:rFonts w:ascii="Arial" w:cs="Arial" w:eastAsia="Arial" w:hAnsi="Arial"/>
                <w:color w:val="1155CC"/>
                <w:sz w:val="15"/>
                <w:szCs w:val="15"/>
              </w:rPr>
              <w:t xml:space="preserve">https://www.superbancos.gob.ec</w:t>
            </w:r>
          </w:p>
          <w:p>
            <w:pPr>
              <w:spacing w:after="10" w:before="10"/>
            </w:pPr>
            <w:r>
              <w:rPr>
                <w:rFonts w:ascii="Arial" w:cs="Arial" w:eastAsia="Arial" w:hAnsi="Arial"/>
                <w:b/>
                <w:bCs/>
                <w:color w:val="555555"/>
                <w:sz w:val="15"/>
                <w:szCs w:val="15"/>
              </w:rPr>
              <w:t xml:space="preserve">[9] GENIUS Act EE.UU. 2025 — Marco stablecoins: </w:t>
            </w:r>
            <w:r>
              <w:rPr>
                <w:rFonts w:ascii="Arial" w:cs="Arial" w:eastAsia="Arial" w:hAnsi="Arial"/>
                <w:color w:val="1155CC"/>
                <w:sz w:val="15"/>
                <w:szCs w:val="15"/>
              </w:rPr>
              <w:t xml:space="preserve">https://www.congress.gov</w:t>
            </w:r>
          </w:p>
          <w:p>
            <w:pPr>
              <w:spacing w:after="10" w:before="10"/>
            </w:pPr>
            <w:r>
              <w:rPr>
                <w:rFonts w:ascii="Arial" w:cs="Arial" w:eastAsia="Arial" w:hAnsi="Arial"/>
                <w:b/>
                <w:bCs/>
                <w:color w:val="555555"/>
                <w:sz w:val="15"/>
                <w:szCs w:val="15"/>
              </w:rPr>
              <w:t xml:space="preserve">[10] Transparency International — Ecuador CPI 2024: </w:t>
            </w:r>
            <w:r>
              <w:rPr>
                <w:rFonts w:ascii="Arial" w:cs="Arial" w:eastAsia="Arial" w:hAnsi="Arial"/>
                <w:color w:val="1155CC"/>
                <w:sz w:val="15"/>
                <w:szCs w:val="15"/>
              </w:rPr>
              <w:t xml:space="preserve">https://www.transparency.org/en/countries/ecuador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4"/>
      </w:pBdr>
      <w:spacing w:after="0" w:before="160"/>
      <w:jc w:val="right"/>
    </w:pPr>
    <w:r>
      <w:rPr>
        <w:rFonts w:ascii="Arial" w:cs="Arial" w:eastAsia="Arial" w:hAnsi="Arial"/>
        <w:color w:val="666666"/>
        <w:sz w:val="18"/>
        <w:szCs w:val="18"/>
      </w:rPr>
      <w:t xml:space="preserve">Página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spacing w:after="160" w:before="0"/>
    </w:pPr>
    <w:r>
      <w:rPr>
        <w:rFonts w:ascii="Arial" w:cs="Arial" w:eastAsia="Arial" w:hAnsi="Arial"/>
        <w:color w:val="666666"/>
        <w:sz w:val="18"/>
        <w:szCs w:val="18"/>
      </w:rPr>
      <w:t xml:space="preserve">Ecuador — Soberanía Financiera Digital  |  ISO 20022 y el Nuevo Sistema Global  |  Documento Estratégico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00"/>
      <w:outlineLvl w:val="0"/>
    </w:pPr>
    <w:rPr>
      <w:rFonts w:ascii="Arial" w:cs="Arial" w:eastAsia="Arial" w:hAnsi="Arial"/>
      <w:b/>
      <w:bCs/>
      <w:color w:val="0D1F3C"/>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2E5FA3"/>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0D1F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2026-03-15T03:48:22.141Z</dcterms:created>
  <dcterms:modified xsi:type="dcterms:W3CDTF">2026-03-15T03:48:22.142Z</dcterms:modified>
</cp:coreProperties>
</file>

<file path=docProps/custom.xml><?xml version="1.0" encoding="utf-8"?>
<Properties xmlns="http://schemas.openxmlformats.org/officeDocument/2006/custom-properties" xmlns:vt="http://schemas.openxmlformats.org/officeDocument/2006/docPropsVTypes"/>
</file>