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Arial" w:cs="Arial" w:eastAsia="Arial" w:hAnsi="Arial"/>
          <w:b/>
          <w:bCs/>
          <w:color w:val="0D1F3C"/>
          <w:sz w:val="48"/>
          <w:szCs w:val="48"/>
        </w:rPr>
        <w:t xml:space="preserve">SNIP + ISO 20022 + XRP LEDGER</w:t>
      </w:r>
    </w:p>
    <w:p>
      <w:pPr>
        <w:spacing w:after="80" w:before="0"/>
        <w:jc w:val="center"/>
      </w:pPr>
      <w:r>
        <w:rPr>
          <w:rFonts w:ascii="Georgia" w:cs="Georgia" w:eastAsia="Georgia" w:hAnsi="Georgia"/>
          <w:i/>
          <w:iCs/>
          <w:color w:val="444444"/>
          <w:sz w:val="24"/>
          <w:szCs w:val="24"/>
        </w:rPr>
        <w:t xml:space="preserve">Arquitectura Financiera Integrada para el Sistema Nacional de Integridad Pública</w:t>
      </w:r>
    </w:p>
    <w:p>
      <w:pPr>
        <w:spacing w:after="240" w:before="0"/>
        <w:jc w:val="center"/>
      </w:pPr>
      <w:r>
        <w:rPr>
          <w:rFonts w:ascii="Georgia" w:cs="Georgia" w:eastAsia="Georgia" w:hAnsi="Georgia"/>
          <w:i/>
          <w:iCs/>
          <w:color w:val="666666"/>
          <w:sz w:val="22"/>
          <w:szCs w:val="22"/>
        </w:rPr>
        <w:t xml:space="preserve">Cómo diseñar el módulo financiero del SNIP para que no quede ciego ante la corrupción del futuro</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200"/>
              <w:left w:type="dxa" w:w="400"/>
              <w:bottom w:type="dxa" w:w="200"/>
              <w:right w:type="dxa" w:w="400"/>
            </w:tcMar>
          </w:tcPr>
          <w:p>
            <w:pPr>
              <w:spacing w:after="80" w:before="0"/>
              <w:jc w:val="center"/>
            </w:pPr>
            <w:r>
              <w:rPr>
                <w:rFonts w:ascii="Arial" w:cs="Arial" w:eastAsia="Arial" w:hAnsi="Arial"/>
                <w:b/>
                <w:bCs/>
                <w:color w:val="FFFFFF"/>
                <w:sz w:val="22"/>
                <w:szCs w:val="22"/>
              </w:rPr>
              <w:t xml:space="preserve">SNIP   +   SERCOP   +   SRI   +   ISO 20022   +   HEDERA   +   XRP LEDGER</w:t>
            </w:r>
          </w:p>
          <w:p>
            <w:pPr>
              <w:spacing w:after="0" w:before="0"/>
              <w:jc w:val="center"/>
            </w:pPr>
            <w:r>
              <w:rPr>
                <w:rFonts w:ascii="Georgia" w:cs="Georgia" w:eastAsia="Georgia" w:hAnsi="Georgia"/>
                <w:i/>
                <w:iCs/>
                <w:color w:val="AABBD4"/>
                <w:sz w:val="20"/>
                <w:szCs w:val="20"/>
              </w:rPr>
              <w:t xml:space="preserve">Un sistema anticorrupción que habla el idioma del sistema financiero que viene</w:t>
            </w:r>
          </w:p>
        </w:tc>
      </w:tr>
    </w:tbl>
    <w:p>
      <w:pPr>
        <w:spacing w:after="140" w:before="0"/>
      </w:pPr>
      <w:r>
        <w:rPr>
          <w:sz w:val="20"/>
          <w:szCs w:val="20"/>
        </w:rPr>
        <w:t xml:space="preserve"/>
      </w:r>
    </w:p>
    <w:p>
      <w:pPr>
        <w:spacing w:after="0" w:before="0"/>
        <w:jc w:val="center"/>
      </w:pPr>
      <w:r>
        <w:rPr>
          <w:rFonts w:ascii="Arial" w:cs="Arial" w:eastAsia="Arial" w:hAnsi="Arial"/>
          <w:color w:val="888888"/>
          <w:sz w:val="18"/>
          <w:szCs w:val="18"/>
        </w:rPr>
        <w:t xml:space="preserve">Documento Técnico III — Sistema SNIP  |  República del Ecuador  |  Marzo 2026</w:t>
      </w:r>
    </w:p>
    <w:p>
      <w:r>
        <w:br w:type="page"/>
      </w:r>
    </w:p>
    <w:p>
      <w:pPr>
        <w:pStyle w:val="Heading1"/>
        <w:spacing w:after="200" w:before="500"/>
      </w:pPr>
      <w:r>
        <w:rPr>
          <w:rFonts w:ascii="Arial" w:cs="Arial" w:eastAsia="Arial" w:hAnsi="Arial"/>
          <w:b/>
          <w:bCs/>
          <w:color w:val="0D1F3C"/>
          <w:sz w:val="40"/>
          <w:szCs w:val="40"/>
        </w:rPr>
        <w:t xml:space="preserve">EL MÓDULO FINANCIERO DEL SNIP: DISEÑADO PARA EL SISTEMA QUE YA EXISTE</w:t>
      </w:r>
    </w:p>
    <w:p>
      <w:pPr>
        <w:spacing w:after="100" w:before="80"/>
      </w:pPr>
      <w:r>
        <w:rPr>
          <w:rFonts w:ascii="Georgia" w:cs="Georgia" w:eastAsia="Georgia" w:hAnsi="Georgia"/>
          <w:sz w:val="22"/>
          <w:szCs w:val="22"/>
        </w:rPr>
        <w:t xml:space="preserve">El módulo de análisis financiero del SNIP cruza datos del SERCOP con el sistema bancario ecuatoriano y con el ecosistema de pagos digitales para detectar sobreprecios, pagos irregulares y movimientos sospechosos en contratos públicos. Este diseño no es una aspiración futura. Es la respuesta al sistema financiero que ya opera globalmente desde noviembre de 2025, cuando ISO 20022 se convirtió en el estándar obligatorio de todos los mensajes de pago entre instituciones financieras del mundo.</w:t>
      </w:r>
    </w:p>
    <w:p>
      <w:pPr>
        <w:spacing w:after="100" w:before="80"/>
      </w:pPr>
      <w:r>
        <w:rPr>
          <w:rFonts w:ascii="Georgia" w:cs="Georgia" w:eastAsia="Georgia" w:hAnsi="Georgia"/>
          <w:sz w:val="22"/>
          <w:szCs w:val="22"/>
        </w:rPr>
        <w:t xml:space="preserve">El SNIP se diseña en 2026, cuando ese estándar ya es una realidad vigente. Construirlo sin arquitectura compatible con ISO 20022, XRP Ledger y Hedera sería como diseñar un sistema de control en 2010 sin contemplar internet. No es una decisión técnica opcional. Es la condición mínima para que el sistema pueda leer el ecosistema financiero sobre el que opera el Estado ecuatoriano hoy y en los próximos años.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Un sistema anticorrupción ciego ante las transacciones del futuro no protege el Estado del futuro. Protege el Estado de hace diez años. El SNIP debe diseñarse para leer el sistema financiero de 2030, no el de 2020.</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El vacío técnico específico</w:t>
      </w:r>
    </w:p>
    <w:p>
      <w:pPr>
        <w:spacing w:after="100" w:before="80"/>
      </w:pPr>
      <w:r>
        <w:rPr>
          <w:rFonts w:ascii="Georgia" w:cs="Georgia" w:eastAsia="Georgia" w:hAnsi="Georgia"/>
          <w:sz w:val="22"/>
          <w:szCs w:val="22"/>
        </w:rPr>
        <w:t xml:space="preserve">El SNIP original tiene cuatro módulos: NLP Jurídico, Análisis Financiero, Seguimiento Institucional y Módulo Ciudadano. El Módulo de Análisis Financiero en su diseño actual asume que todas las transacciones del Estado ocurren en el sistema bancario tradicional ecuatoriano y son visibles a través de las APIs del SRI y el SERCOP.</w:t>
      </w:r>
    </w:p>
    <w:p>
      <w:pPr>
        <w:spacing w:after="100" w:before="80"/>
      </w:pPr>
      <w:r>
        <w:rPr>
          <w:rFonts w:ascii="Georgia" w:cs="Georgia" w:eastAsia="Georgia" w:hAnsi="Georgia"/>
          <w:sz w:val="22"/>
          <w:szCs w:val="22"/>
        </w:rPr>
        <w:t xml:space="preserve">Eso tiene tres vacíos que el nuevo sistema financiero global expone.</w:t>
      </w:r>
    </w:p>
    <w:p>
      <w:pPr>
        <w:pStyle w:val="ListParagraph"/>
        <w:numPr>
          <w:ilvl w:val="0"/>
          <w:numId w:val="2"/>
        </w:numPr>
        <w:spacing w:after="60" w:before="60"/>
      </w:pPr>
      <w:r>
        <w:rPr>
          <w:rFonts w:ascii="Georgia" w:cs="Georgia" w:eastAsia="Georgia" w:hAnsi="Georgia"/>
          <w:sz w:val="21"/>
          <w:szCs w:val="21"/>
        </w:rPr>
        <w:t xml:space="preserve">Vacío 1: Las transacciones en stablecoins no pasan por el sistema bancario tradicional. Si un proveedor del Estado recibe pago parcial en USDC a través de una wallet, esa transacción no aparece en el cruce automático con el SRI a menos que el proveedor la declare voluntariamente.</w:t>
      </w:r>
    </w:p>
    <w:p>
      <w:pPr>
        <w:pStyle w:val="ListParagraph"/>
        <w:numPr>
          <w:ilvl w:val="0"/>
          <w:numId w:val="2"/>
        </w:numPr>
        <w:spacing w:after="60" w:before="60"/>
      </w:pPr>
      <w:r>
        <w:rPr>
          <w:rFonts w:ascii="Georgia" w:cs="Georgia" w:eastAsia="Georgia" w:hAnsi="Georgia"/>
          <w:sz w:val="21"/>
          <w:szCs w:val="21"/>
        </w:rPr>
        <w:t xml:space="preserve">Vacío 2: Los contratos inteligentes en blockchain pueden ejecutar pagos automáticos que no tienen un registro en el sistema bancario convencional. Un contrato de obra pública que libera pagos automáticamente según hitos podría operar completamente fuera del radar del módulo financiero actual.</w:t>
      </w:r>
    </w:p>
    <w:p>
      <w:pPr>
        <w:pStyle w:val="ListParagraph"/>
        <w:numPr>
          <w:ilvl w:val="0"/>
          <w:numId w:val="2"/>
        </w:numPr>
        <w:spacing w:after="60" w:before="60"/>
      </w:pPr>
      <w:r>
        <w:rPr>
          <w:rFonts w:ascii="Georgia" w:cs="Georgia" w:eastAsia="Georgia" w:hAnsi="Georgia"/>
          <w:sz w:val="21"/>
          <w:szCs w:val="21"/>
        </w:rPr>
        <w:t xml:space="preserve">Vacío 3: El nuevo formato ISO 20022 contiene información estructurada que el SNIP podría usar para detección automática de irregularidades, pero solo si está diseñado para leer ese formato. Si no lo está, esa información rica simplemente no llega al sistema de análisis.</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LA SOLUCIÓN: SNIP CON ARQUITECTURA FINANCIERA DE NUEVA GENERACIÓN</w:t>
      </w:r>
    </w:p>
    <w:p>
      <w:pPr>
        <w:spacing w:after="100" w:before="80"/>
      </w:pPr>
      <w:r>
        <w:rPr>
          <w:rFonts w:ascii="Georgia" w:cs="Georgia" w:eastAsia="Georgia" w:hAnsi="Georgia"/>
          <w:sz w:val="22"/>
          <w:szCs w:val="22"/>
        </w:rPr>
        <w:t xml:space="preserve">El módulo financiero del SNIP está diseñado desde su arquitectura base para ser compatible con el sistema financiero global vigente. Construirlo de otra forma requeriría rediseñarlo completamente cuando los bancos ecuatorianos completen su migración, lo que costaría entre cinco y diez veces más que incluir esta arquitectura desde el inicio.</w:t>
      </w:r>
    </w:p>
    <w:p>
      <w:pPr>
        <w:spacing w:after="140" w:before="0"/>
      </w:pPr>
      <w:r>
        <w:rPr>
          <w:sz w:val="20"/>
          <w:szCs w:val="20"/>
        </w:rPr>
        <w:t xml:space="preserve"/>
      </w:r>
    </w:p>
    <w:p>
      <w:pPr>
        <w:pStyle w:val="Heading2"/>
        <w:pBdr>
          <w:bottom w:val="single" w:color="0E5C52" w:sz="6" w:space="4"/>
        </w:pBdr>
        <w:spacing w:after="160" w:before="320"/>
      </w:pPr>
      <w:r>
        <w:rPr>
          <w:rFonts w:ascii="Arial" w:cs="Arial" w:eastAsia="Arial" w:hAnsi="Arial"/>
          <w:b/>
          <w:bCs/>
          <w:color w:val="0E5C52"/>
          <w:sz w:val="28"/>
          <w:szCs w:val="28"/>
        </w:rPr>
        <w:t xml:space="preserve">Los cuatro componentes del módulo financiero integrado</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space="0"/>
              <w:left w:val="none" w:color="FFFFFF" w:sz="0" w:space="0"/>
              <w:bottom w:val="none" w:color="FFFFFF" w:sz="0" w:space="0"/>
              <w:right w:val="none" w:color="FFFFFF" w:sz="0" w:space="0"/>
            </w:tcBorders>
            <w:shd w:fill="0E5C52" w:val="clear"/>
            <w:tcMar>
              <w:top w:type="dxa" w:w="140"/>
              <w:left w:type="dxa" w:w="140"/>
              <w:bottom w:type="dxa" w:w="140"/>
              <w:right w:type="dxa" w:w="0"/>
            </w:tcMar>
          </w:tcPr>
          <w:p>
            <w:pPr>
              <w:spacing w:after="30" w:before="0"/>
              <w:jc w:val="center"/>
            </w:pPr>
            <w:r>
              <w:rPr>
                <w:rFonts w:ascii="Arial" w:cs="Arial" w:eastAsia="Arial" w:hAnsi="Arial"/>
                <w:b/>
                <w:bCs/>
                <w:color w:val="FFFFFF"/>
                <w:sz w:val="20"/>
                <w:szCs w:val="20"/>
              </w:rPr>
              <w:t xml:space="preserve">HEDERA
Hashgraph</w:t>
            </w:r>
          </w:p>
          <w:p>
            <w:pPr>
              <w:spacing w:after="0" w:before="0"/>
              <w:jc w:val="center"/>
            </w:pPr>
            <w:r>
              <w:rPr>
                <w:rFonts w:ascii="Arial" w:cs="Arial" w:eastAsia="Arial" w:hAnsi="Arial"/>
                <w:i/>
                <w:iCs/>
                <w:color w:val="DDDDFF"/>
                <w:sz w:val="15"/>
                <w:szCs w:val="15"/>
              </w:rPr>
              <w:t xml:space="preserve">Componente 1</w:t>
            </w:r>
          </w:p>
        </w:tc>
        <w:tc>
          <w:tcPr>
            <w:tcW w:type="dxa" w:w="7960"/>
            <w:tcBorders>
              <w:top w:val="single" w:color="0E5C52" w:sz="8" w:space="0"/>
              <w:left w:val="none" w:color="FFFFFF" w:sz="0" w:space="0"/>
              <w:bottom w:val="single" w:color="0E5C52" w:sz="8" w:space="0"/>
              <w:right w:val="none" w:color="FFFFFF" w:sz="0" w:space="0"/>
            </w:tcBorders>
            <w:shd w:fill="F4F5F7" w:val="clear"/>
            <w:tcMar>
              <w:top w:type="dxa" w:w="130"/>
              <w:left w:type="dxa" w:w="180"/>
              <w:bottom w:type="dxa" w:w="130"/>
              <w:right w:type="dxa" w:w="180"/>
            </w:tcMar>
          </w:tcPr>
          <w:p>
            <w:pPr>
              <w:spacing w:after="0" w:before="0"/>
            </w:pPr>
            <w:r>
              <w:rPr>
                <w:rFonts w:ascii="Georgia" w:cs="Georgia" w:eastAsia="Georgia" w:hAnsi="Georgia"/>
                <w:color w:val="111111"/>
                <w:sz w:val="21"/>
                <w:szCs w:val="21"/>
              </w:rPr>
              <w:t xml:space="preserve">Registro inmutable de todas las transacciones del Estado en Hedera Hashgraph. Hedera es la plataforma blockchain con gobernanza por consejo empresarial (Google, IBM, Boeing, LG) más usada para registros gubernamentales en el mundo. Cada contrato público, cada pago, cada modificación queda registrada en un libro mayor distribuido que es técnicamente imposible de modificar o eliminar retroactivamente. Si un funcionario intenta alterar un registro de pago después del hecho, el sistema detecta la discrepancia entre el registro en Hedera y el registro en el sistema bancario convencional y genera alerta automática.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space="0"/>
              <w:left w:val="none" w:color="FFFFFF" w:sz="0" w:space="0"/>
              <w:bottom w:val="none" w:color="FFFFFF" w:sz="0" w:space="0"/>
              <w:right w:val="none" w:color="FFFFFF" w:sz="0" w:space="0"/>
            </w:tcBorders>
            <w:shd w:fill="0E5C52" w:val="clear"/>
            <w:tcMar>
              <w:top w:type="dxa" w:w="140"/>
              <w:left w:type="dxa" w:w="140"/>
              <w:bottom w:type="dxa" w:w="140"/>
              <w:right w:type="dxa" w:w="0"/>
            </w:tcMar>
          </w:tcPr>
          <w:p>
            <w:pPr>
              <w:spacing w:after="30" w:before="0"/>
              <w:jc w:val="center"/>
            </w:pPr>
            <w:r>
              <w:rPr>
                <w:rFonts w:ascii="Arial" w:cs="Arial" w:eastAsia="Arial" w:hAnsi="Arial"/>
                <w:b/>
                <w:bCs/>
                <w:color w:val="FFFFFF"/>
                <w:sz w:val="20"/>
                <w:szCs w:val="20"/>
              </w:rPr>
              <w:t xml:space="preserve">ISO 20022
Conector</w:t>
            </w:r>
          </w:p>
          <w:p>
            <w:pPr>
              <w:spacing w:after="0" w:before="0"/>
              <w:jc w:val="center"/>
            </w:pPr>
            <w:r>
              <w:rPr>
                <w:rFonts w:ascii="Arial" w:cs="Arial" w:eastAsia="Arial" w:hAnsi="Arial"/>
                <w:i/>
                <w:iCs/>
                <w:color w:val="DDDDFF"/>
                <w:sz w:val="15"/>
                <w:szCs w:val="15"/>
              </w:rPr>
              <w:t xml:space="preserve">Componente 2</w:t>
            </w:r>
          </w:p>
        </w:tc>
        <w:tc>
          <w:tcPr>
            <w:tcW w:type="dxa" w:w="7960"/>
            <w:tcBorders>
              <w:top w:val="single" w:color="0E5C52" w:sz="8" w:space="0"/>
              <w:left w:val="none" w:color="FFFFFF" w:sz="0" w:space="0"/>
              <w:bottom w:val="single" w:color="0E5C52" w:sz="8" w:space="0"/>
              <w:right w:val="none" w:color="FFFFFF" w:sz="0" w:space="0"/>
            </w:tcBorders>
            <w:shd w:fill="F4F5F7" w:val="clear"/>
            <w:tcMar>
              <w:top w:type="dxa" w:w="130"/>
              <w:left w:type="dxa" w:w="180"/>
              <w:bottom w:type="dxa" w:w="130"/>
              <w:right w:type="dxa" w:w="180"/>
            </w:tcMar>
          </w:tcPr>
          <w:p>
            <w:pPr>
              <w:spacing w:after="0" w:before="0"/>
            </w:pPr>
            <w:r>
              <w:rPr>
                <w:rFonts w:ascii="Georgia" w:cs="Georgia" w:eastAsia="Georgia" w:hAnsi="Georgia"/>
                <w:color w:val="111111"/>
                <w:sz w:val="21"/>
                <w:szCs w:val="21"/>
              </w:rPr>
              <w:t xml:space="preserve">Módulo de lectura nativa de mensajes ISO 20022. Cada transacción del Estado que pase por el nuevo sistema SWIFT genera un mensaje ISO 20022 con hasta diez veces más información que los mensajes anteriores. Este módulo captura esa información en tiempo real, la estructura en la base de datos del SNIP y la cruza automáticamente contra los datos del SERCOP, el SRI y las declaraciones de patrimonio de los funcionarios involucrados. Las discrepancias generan alertas graduadas según nivel de riesgo.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space="0"/>
              <w:left w:val="none" w:color="FFFFFF" w:sz="0" w:space="0"/>
              <w:bottom w:val="none" w:color="FFFFFF" w:sz="0" w:space="0"/>
              <w:right w:val="none" w:color="FFFFFF" w:sz="0" w:space="0"/>
            </w:tcBorders>
            <w:shd w:fill="0E5C52" w:val="clear"/>
            <w:tcMar>
              <w:top w:type="dxa" w:w="140"/>
              <w:left w:type="dxa" w:w="140"/>
              <w:bottom w:type="dxa" w:w="140"/>
              <w:right w:type="dxa" w:w="0"/>
            </w:tcMar>
          </w:tcPr>
          <w:p>
            <w:pPr>
              <w:spacing w:after="30" w:before="0"/>
              <w:jc w:val="center"/>
            </w:pPr>
            <w:r>
              <w:rPr>
                <w:rFonts w:ascii="Arial" w:cs="Arial" w:eastAsia="Arial" w:hAnsi="Arial"/>
                <w:b/>
                <w:bCs/>
                <w:color w:val="FFFFFF"/>
                <w:sz w:val="20"/>
                <w:szCs w:val="20"/>
              </w:rPr>
              <w:t xml:space="preserve">XRP LEDGER
Monitor</w:t>
            </w:r>
          </w:p>
          <w:p>
            <w:pPr>
              <w:spacing w:after="0" w:before="0"/>
              <w:jc w:val="center"/>
            </w:pPr>
            <w:r>
              <w:rPr>
                <w:rFonts w:ascii="Arial" w:cs="Arial" w:eastAsia="Arial" w:hAnsi="Arial"/>
                <w:i/>
                <w:iCs/>
                <w:color w:val="DDDDFF"/>
                <w:sz w:val="15"/>
                <w:szCs w:val="15"/>
              </w:rPr>
              <w:t xml:space="preserve">Componente 3</w:t>
            </w:r>
          </w:p>
        </w:tc>
        <w:tc>
          <w:tcPr>
            <w:tcW w:type="dxa" w:w="7960"/>
            <w:tcBorders>
              <w:top w:val="single" w:color="0E5C52" w:sz="8" w:space="0"/>
              <w:left w:val="none" w:color="FFFFFF" w:sz="0" w:space="0"/>
              <w:bottom w:val="single" w:color="0E5C52" w:sz="8" w:space="0"/>
              <w:right w:val="none" w:color="FFFFFF" w:sz="0" w:space="0"/>
            </w:tcBorders>
            <w:shd w:fill="F4F5F7" w:val="clear"/>
            <w:tcMar>
              <w:top w:type="dxa" w:w="130"/>
              <w:left w:type="dxa" w:w="180"/>
              <w:bottom w:type="dxa" w:w="130"/>
              <w:right w:type="dxa" w:w="180"/>
            </w:tcMar>
          </w:tcPr>
          <w:p>
            <w:pPr>
              <w:spacing w:after="0" w:before="0"/>
            </w:pPr>
            <w:r>
              <w:rPr>
                <w:rFonts w:ascii="Georgia" w:cs="Georgia" w:eastAsia="Georgia" w:hAnsi="Georgia"/>
                <w:color w:val="111111"/>
                <w:sz w:val="21"/>
                <w:szCs w:val="21"/>
              </w:rPr>
              <w:t xml:space="preserve">Monitor de transacciones en XRP Ledger y stablecoins. Este módulo rastrea en tiempo real las wallets registradas de proveedores del Estado ecuatoriano en el XRP Ledger, la red Stellar y los contratos de USDC y USDT. Cuando un proveedor registra en el SRI una wallet de activos digitales — obligatorio bajo la regulación propuesta — el módulo cruza automáticamente los movimientos de esa wallet con los pagos recibidos del Estado. Las discrepancias entre lo declarado y lo detectado en blockchain generan alertas de nivel alto.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space="0"/>
              <w:left w:val="none" w:color="FFFFFF" w:sz="0" w:space="0"/>
              <w:bottom w:val="none" w:color="FFFFFF" w:sz="0" w:space="0"/>
              <w:right w:val="none" w:color="FFFFFF" w:sz="0" w:space="0"/>
            </w:tcBorders>
            <w:shd w:fill="0E5C52" w:val="clear"/>
            <w:tcMar>
              <w:top w:type="dxa" w:w="140"/>
              <w:left w:type="dxa" w:w="140"/>
              <w:bottom w:type="dxa" w:w="140"/>
              <w:right w:type="dxa" w:w="0"/>
            </w:tcMar>
          </w:tcPr>
          <w:p>
            <w:pPr>
              <w:spacing w:after="30" w:before="0"/>
              <w:jc w:val="center"/>
            </w:pPr>
            <w:r>
              <w:rPr>
                <w:rFonts w:ascii="Arial" w:cs="Arial" w:eastAsia="Arial" w:hAnsi="Arial"/>
                <w:b/>
                <w:bCs/>
                <w:color w:val="FFFFFF"/>
                <w:sz w:val="20"/>
                <w:szCs w:val="20"/>
              </w:rPr>
              <w:t xml:space="preserve">IA FINANCIERA
Análisis</w:t>
            </w:r>
          </w:p>
          <w:p>
            <w:pPr>
              <w:spacing w:after="0" w:before="0"/>
              <w:jc w:val="center"/>
            </w:pPr>
            <w:r>
              <w:rPr>
                <w:rFonts w:ascii="Arial" w:cs="Arial" w:eastAsia="Arial" w:hAnsi="Arial"/>
                <w:i/>
                <w:iCs/>
                <w:color w:val="DDDDFF"/>
                <w:sz w:val="15"/>
                <w:szCs w:val="15"/>
              </w:rPr>
              <w:t xml:space="preserve">Componente 4</w:t>
            </w:r>
          </w:p>
        </w:tc>
        <w:tc>
          <w:tcPr>
            <w:tcW w:type="dxa" w:w="7960"/>
            <w:tcBorders>
              <w:top w:val="single" w:color="0E5C52" w:sz="8" w:space="0"/>
              <w:left w:val="none" w:color="FFFFFF" w:sz="0" w:space="0"/>
              <w:bottom w:val="single" w:color="0E5C52" w:sz="8" w:space="0"/>
              <w:right w:val="none" w:color="FFFFFF" w:sz="0" w:space="0"/>
            </w:tcBorders>
            <w:shd w:fill="F4F5F7" w:val="clear"/>
            <w:tcMar>
              <w:top w:type="dxa" w:w="130"/>
              <w:left w:type="dxa" w:w="180"/>
              <w:bottom w:type="dxa" w:w="130"/>
              <w:right w:type="dxa" w:w="180"/>
            </w:tcMar>
          </w:tcPr>
          <w:p>
            <w:pPr>
              <w:spacing w:after="0" w:before="0"/>
            </w:pPr>
            <w:r>
              <w:rPr>
                <w:rFonts w:ascii="Georgia" w:cs="Georgia" w:eastAsia="Georgia" w:hAnsi="Georgia"/>
                <w:color w:val="111111"/>
                <w:sz w:val="21"/>
                <w:szCs w:val="21"/>
              </w:rPr>
              <w:t xml:space="preserve">Motor de inteligencia artificial para detección de patrones en el nuevo ecosistema. Los tres módulos anteriores generan enormes volúmenes de datos estructurados en formatos nuevos. Este componente entrena modelos de aprendizaje automático específicamente con los patrones del sistema financiero ecuatoriano para detectar anomalías que las reglas fijas no pueden anticipar. A diferencia de los sistemas de reglas, el motor de IA mejora su capacidad de detección con cada caso que procesa.</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ARQUITECTURA TÉCNICA INTEGRADA</w:t>
      </w:r>
    </w:p>
    <w:p>
      <w:pPr>
        <w:pStyle w:val="Heading2"/>
        <w:pBdr>
          <w:bottom w:val="single" w:color="2E5FA3" w:sz="6" w:space="4"/>
        </w:pBdr>
        <w:spacing w:after="160" w:before="320"/>
      </w:pPr>
      <w:r>
        <w:rPr>
          <w:rFonts w:ascii="Arial" w:cs="Arial" w:eastAsia="Arial" w:hAnsi="Arial"/>
          <w:b/>
          <w:bCs/>
          <w:color w:val="2E5FA3"/>
          <w:sz w:val="28"/>
          <w:szCs w:val="28"/>
        </w:rPr>
        <w:t xml:space="preserve">El mapa de conexiones del SNIP extendido</w:t>
      </w:r>
    </w:p>
    <w:p>
      <w:pPr>
        <w:spacing w:after="100" w:before="80"/>
      </w:pPr>
      <w:r>
        <w:rPr>
          <w:rFonts w:ascii="Georgia" w:cs="Georgia" w:eastAsia="Georgia" w:hAnsi="Georgia"/>
          <w:sz w:val="22"/>
          <w:szCs w:val="22"/>
        </w:rPr>
        <w:t xml:space="preserve">El sistema extendido opera en tres capas que se alimentan entre sí de forma continua.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CAPA</w:t>
            </w:r>
          </w:p>
        </w:tc>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COMPONENTES</w:t>
            </w:r>
          </w:p>
        </w:tc>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FUENTES DE DATOS</w:t>
            </w:r>
          </w:p>
        </w:tc>
        <w:tc>
          <w:tcPr>
            <w:tcW w:type="dxa" w:w="35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TIPO DE ALERTA GENERADA</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Capa 1
Datos tradicionales</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Módulo financiero original</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SERCOP, SRI, BCE, declaraciones de patrimonio</w:t>
            </w:r>
          </w:p>
        </w:tc>
        <w:tc>
          <w:tcPr>
            <w:tcW w:type="dxa" w:w="3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Sobreprecios en contratos, discrepancias en declaraciones, movimientos bancarios sospechosos</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Capa 2
Datos ISO 20022</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Conector ISO 20022 + lectura SWIFT</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Mensajes SWIFT de bancos corresponsales, sistema de pagos interbancarios Ecuador</w:t>
            </w:r>
          </w:p>
        </w:tc>
        <w:tc>
          <w:tcPr>
            <w:tcW w:type="dxa" w:w="3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Irregularidades en pagos internacionales, movimientos inusuales con bancos extranjeros</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Capa 3
Datos blockchain</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Monitor XRP + Hedera + stablecoins</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XRP Ledger, red Stellar, contratos USDC/USDT, registro Hedera del Estado</w:t>
            </w:r>
          </w:p>
        </w:tc>
        <w:tc>
          <w:tcPr>
            <w:tcW w:type="dxa" w:w="3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Discrepancias entre pagos declarados y movimientos reales en blockchain, pagos no declarados a proveedores del Estado</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Capa Análisis</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Motor IA financiera</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Todas las capas anteriores de forma integrada</w:t>
            </w:r>
          </w:p>
        </w:tc>
        <w:tc>
          <w:tcPr>
            <w:tcW w:type="dxa" w:w="3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Patrones sistémicos de corrupción que ninguna regla fija puede anticipar — aprendizaje continuo</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Principio de operación: la IA analiza, alerta. Los humanos deciden.</w:t>
      </w:r>
    </w:p>
    <w:p>
      <w:pPr>
        <w:spacing w:after="100" w:before="80"/>
      </w:pPr>
      <w:r>
        <w:rPr>
          <w:rFonts w:ascii="Georgia" w:cs="Georgia" w:eastAsia="Georgia" w:hAnsi="Georgia"/>
          <w:sz w:val="22"/>
          <w:szCs w:val="22"/>
        </w:rPr>
        <w:t xml:space="preserve">El principio rector del SNIP original se mantiene intacto en la versión extendida. Ninguno de los cuatro componentes adicionales toma decisiones autónomas. Cada anomalía detectada genera una alerta con nivel de riesgo graduado que va al sistema de notificaciones del SNIP. Los funcionarios de la Contraloría y la Fiscalía son quienes deciden si inician una investigación formal.</w:t>
      </w:r>
    </w:p>
    <w:p>
      <w:pPr>
        <w:spacing w:after="100" w:before="80"/>
      </w:pPr>
      <w:r>
        <w:rPr>
          <w:rFonts w:ascii="Georgia" w:cs="Georgia" w:eastAsia="Georgia" w:hAnsi="Georgia"/>
          <w:sz w:val="22"/>
          <w:szCs w:val="22"/>
        </w:rPr>
        <w:t xml:space="preserve">La IA no acusa. La IA señala. La diferencia es fundamental para garantizar que el sistema no puede ser usado como herramienta de persecución política.</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COSTO ADICIONAL Y ORGANISMOS CON LOS QUE NEGOCIAR</w:t>
      </w:r>
    </w:p>
    <w:p>
      <w:pPr>
        <w:pStyle w:val="Heading2"/>
        <w:pBdr>
          <w:bottom w:val="single" w:color="92620A" w:sz="6" w:space="4"/>
        </w:pBdr>
        <w:spacing w:after="160" w:before="320"/>
      </w:pPr>
      <w:r>
        <w:rPr>
          <w:rFonts w:ascii="Arial" w:cs="Arial" w:eastAsia="Arial" w:hAnsi="Arial"/>
          <w:b/>
          <w:bCs/>
          <w:color w:val="92620A"/>
          <w:sz w:val="28"/>
          <w:szCs w:val="28"/>
        </w:rPr>
        <w:t xml:space="preserve">Costo estimado de los componentes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COMPONENTE</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DE DESARROLLO</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ANUAL OPERACIÓN</w:t>
            </w:r>
          </w:p>
        </w:tc>
        <w:tc>
          <w:tcPr>
            <w:tcW w:type="dxa" w:w="33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FUENTE DE FINANCIAMIENTO SUGERIDA</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Integración Hedera Hashgraph</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$400k–$800k</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$100k–$200k/año</w:t>
            </w:r>
          </w:p>
        </w:tc>
        <w:tc>
          <w:tcPr>
            <w:tcW w:type="dxa" w:w="3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Hedera tiene programa de grants para gobiernos. Costo real puede ser cero en la fase inicial.</w:t>
            </w:r>
          </w:p>
        </w:tc>
      </w:tr>
      <w:tr>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Conector ISO 20022</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$300k–$600k</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$80k–$150k/año</w:t>
            </w:r>
          </w:p>
        </w:tc>
        <w:tc>
          <w:tcPr>
            <w:tcW w:type="dxa" w:w="3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BID tiene línea de financiamiento para modernización de sistemas financieros públicos.</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Monitor XRP Ledger / Stablecoins</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$500k–$1M</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$120k–$250k/año</w:t>
            </w:r>
          </w:p>
        </w:tc>
        <w:tc>
          <w:tcPr>
            <w:tcW w:type="dxa" w:w="3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Ripple Labs y Stellar Foundation tienen programas de cooperación con organismos gubernamentales.</w:t>
            </w:r>
          </w:p>
        </w:tc>
      </w:tr>
      <w:tr>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Motor IA financiera</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$800k–$1.5M</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$200k–$400k/año</w:t>
            </w:r>
          </w:p>
        </w:tc>
        <w:tc>
          <w:tcPr>
            <w:tcW w:type="dxa" w:w="3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UNODC tiene fondo específico para tecnología anticorrupción. BM tiene línea para gobierno digital.</w:t>
            </w:r>
          </w:p>
        </w:tc>
      </w:tr>
      <w:tr>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TOTAL componentes adicionales</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$2M–$3.9M</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$500k–$1M/año</w:t>
            </w:r>
          </w:p>
        </w:tc>
        <w:tc>
          <w:tcPr>
            <w:tcW w:type="dxa" w:w="3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Estimado conservador: 60–70% financiable con cooperación internacional no reembolsable.</w:t>
            </w:r>
          </w:p>
        </w:tc>
      </w:tr>
    </w:tbl>
    <w:p>
      <w:pPr>
        <w:spacing w:after="140" w:before="0"/>
      </w:pPr>
      <w:r>
        <w:rPr>
          <w:sz w:val="20"/>
          <w:szCs w:val="20"/>
        </w:rPr>
        <w:t xml:space="preserve"/>
      </w:r>
    </w:p>
    <w:p>
      <w:pPr>
        <w:spacing w:after="100" w:before="80"/>
      </w:pPr>
      <w:r>
        <w:rPr>
          <w:rFonts w:ascii="Georgia" w:cs="Georgia" w:eastAsia="Georgia" w:hAnsi="Georgia"/>
          <w:sz w:val="22"/>
          <w:szCs w:val="22"/>
        </w:rPr>
        <w:t xml:space="preserve">El costo adicional de $2 a $4 millones es entre el 10% y el 20% del costo total del SNIP original. Para ponerlo en perspectiva: el caso PROGEN costó $120 millones al Estado ecuatoriano sin generar ninguna condena. Los componentes adicionales del SNIP costarían como máximo el 3.25% de lo que costó ese solo caso de corrupción.</w:t>
      </w:r>
    </w:p>
    <w:p>
      <w:pPr>
        <w:spacing w:after="140" w:before="0"/>
      </w:pPr>
      <w:r>
        <w:rPr>
          <w:sz w:val="20"/>
          <w:szCs w:val="20"/>
        </w:rPr>
        <w:t xml:space="preserve"/>
      </w:r>
    </w:p>
    <w:p>
      <w:pPr>
        <w:pStyle w:val="Heading2"/>
        <w:pBdr>
          <w:bottom w:val="single" w:color="1A5C2E" w:sz="6" w:space="4"/>
        </w:pBdr>
        <w:spacing w:after="160" w:before="320"/>
      </w:pPr>
      <w:r>
        <w:rPr>
          <w:rFonts w:ascii="Arial" w:cs="Arial" w:eastAsia="Arial" w:hAnsi="Arial"/>
          <w:b/>
          <w:bCs/>
          <w:color w:val="1A5C2E"/>
          <w:sz w:val="28"/>
          <w:szCs w:val="28"/>
        </w:rPr>
        <w:t xml:space="preserve">Organismos con los que negociar y cómo hacerlo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ORGANISMO</w:t>
            </w:r>
          </w:p>
        </w:tc>
        <w:tc>
          <w:tcPr>
            <w:tcW w:type="dxa" w:w="2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QUÉ PUEDE APORTAR</w:t>
            </w:r>
          </w:p>
        </w:tc>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CÓMO CONTACTAR</w:t>
            </w:r>
          </w:p>
        </w:tc>
        <w:tc>
          <w:tcPr>
            <w:tcW w:type="dxa" w:w="29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PLAZO REALISTA</w:t>
            </w:r>
          </w:p>
        </w:tc>
      </w:tr>
      <w:tr>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Hedera Hashgraph</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Acceso gratuito o subsidiado a la red para registros gubernamentales. Asistencia técnica en implementación.</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hedera.com/government — formulario de contacto para gobiernos y organismos públicos</w:t>
            </w:r>
          </w:p>
        </w:tc>
        <w:tc>
          <w:tcPr>
            <w:tcW w:type="dxa" w:w="2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3–6 meses desde el primer contacto hasta acuerdo preliminar</w:t>
            </w:r>
          </w:p>
        </w:tc>
      </w:tr>
      <w:tr>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Stellar Development Foundation</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Infraestructura de red para el módulo de stablecoins. Programa de grants para países en desarrollo.</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stellar.org/foundation — Programa Enterprise Fund para instituciones</w:t>
            </w:r>
          </w:p>
        </w:tc>
        <w:tc>
          <w:tcPr>
            <w:tcW w:type="dxa" w:w="2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4–8 meses</w:t>
            </w:r>
          </w:p>
        </w:tc>
      </w:tr>
      <w:tr>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Ripple Labs / XRPL Foundation</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Acceso al XRP Ledger para el monitor de transacciones. Soporte técnico en integración ISO 20022.</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xrpl.org/grants — programa XRPL Foundation Grants</w:t>
            </w:r>
          </w:p>
        </w:tc>
        <w:tc>
          <w:tcPr>
            <w:tcW w:type="dxa" w:w="2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3–6 meses</w:t>
            </w:r>
          </w:p>
        </w:tc>
      </w:tr>
      <w:tr>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BID — Banco Interamericano de Desarrollo</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Financiamiento no reembolsable para modernización de sistemas anticorrupción. Asistencia técnica.</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iadb.org — División de Transparencia e Integridad. Presentar policy brief del SNIP</w:t>
            </w:r>
          </w:p>
        </w:tc>
        <w:tc>
          <w:tcPr>
            <w:tcW w:type="dxa" w:w="2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6–12 meses para aprobación de financiamiento</w:t>
            </w:r>
          </w:p>
        </w:tc>
      </w:tr>
      <w:tr>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UNODC</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Fondo específico para tecnología anticorrupción. Validación internacional de la propuesta.</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unodc.org — Programa Global de Anticorrupción</w:t>
            </w:r>
          </w:p>
        </w:tc>
        <w:tc>
          <w:tcPr>
            <w:tcW w:type="dxa" w:w="2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6–10 meses</w:t>
            </w:r>
          </w:p>
        </w:tc>
      </w:tr>
      <w:tr>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Banco Mundial</w:t>
            </w:r>
          </w:p>
        </w:tc>
        <w:tc>
          <w:tcPr>
            <w:tcW w:type="dxa" w:w="2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Línea de financiamiento para gobierno digital e integridad institucional en Ecuador.</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worldbank.org/ecuador — coordinación con representante en Quito</w:t>
            </w:r>
          </w:p>
        </w:tc>
        <w:tc>
          <w:tcPr>
            <w:tcW w:type="dxa" w:w="2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8–14 meses para aprobación</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RESILIENCIA DEL SISTEMA ANTE CRISIS FINANCIERAS</w:t>
      </w:r>
    </w:p>
    <w:p>
      <w:pPr>
        <w:spacing w:after="100" w:before="80"/>
      </w:pPr>
      <w:r>
        <w:rPr>
          <w:rFonts w:ascii="Georgia" w:cs="Georgia" w:eastAsia="Georgia" w:hAnsi="Georgia"/>
          <w:sz w:val="22"/>
          <w:szCs w:val="22"/>
        </w:rPr>
        <w:t xml:space="preserve">El diseño con arquitectura distribuida no es solo una decisión técnica. Es una decisión política. Un sistema anticorrupción que puede ser desactivado cortando la electricidad o el internet en Ecuador no es un sistema anticorrupción. Es una ilusión de transparencia.</w:t>
      </w:r>
    </w:p>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Los tres niveles de resiliencia del SNIP extendido</w:t>
      </w:r>
    </w:p>
    <w:p>
      <w:pPr>
        <w:spacing w:after="140" w:before="0"/>
      </w:pPr>
      <w:r>
        <w:rPr>
          <w:sz w:val="20"/>
          <w:szCs w:val="20"/>
        </w:rPr>
        <w:t xml:space="preserve"/>
      </w:r>
    </w:p>
    <w:p>
      <w:pPr>
        <w:pStyle w:val="ListParagraph"/>
        <w:numPr>
          <w:ilvl w:val="0"/>
          <w:numId w:val="2"/>
        </w:numPr>
        <w:spacing w:after="60" w:before="60"/>
      </w:pPr>
      <w:r>
        <w:rPr>
          <w:rFonts w:ascii="Georgia" w:cs="Georgia" w:eastAsia="Georgia" w:hAnsi="Georgia"/>
          <w:sz w:val="21"/>
          <w:szCs w:val="21"/>
        </w:rPr>
        <w:t xml:space="preserve">Nivel 1 — Resiliencia local: Los datos del SNIP se almacenan en al menos tres centros de datos en diferentes provincias de Ecuador. Si uno falla, los otros dos mantienen el sistema operativo. Este es el mínimo requerido para cualquier sistema de infraestructura crítica.</w:t>
      </w:r>
    </w:p>
    <w:p>
      <w:pPr>
        <w:pStyle w:val="ListParagraph"/>
        <w:numPr>
          <w:ilvl w:val="0"/>
          <w:numId w:val="2"/>
        </w:numPr>
        <w:spacing w:after="60" w:before="60"/>
      </w:pPr>
      <w:r>
        <w:rPr>
          <w:rFonts w:ascii="Georgia" w:cs="Georgia" w:eastAsia="Georgia" w:hAnsi="Georgia"/>
          <w:sz w:val="21"/>
          <w:szCs w:val="21"/>
        </w:rPr>
        <w:t xml:space="preserve">Nivel 2 — Resiliencia regional: Una copia completa del sistema opera en un servidor en un país latinoamericano aliado — Colombia o Chile son los candidatos más viables geopolíticamente. En caso de ataque cibernético a la infraestructura ecuatoriana, ese servidor puede restaurar el sistema en menos de 6 horas. Modelo: Estonia después del ataque ruso de 2007.</w:t>
      </w:r>
    </w:p>
    <w:p>
      <w:pPr>
        <w:pStyle w:val="ListParagraph"/>
        <w:numPr>
          <w:ilvl w:val="0"/>
          <w:numId w:val="2"/>
        </w:numPr>
        <w:spacing w:after="60" w:before="60"/>
      </w:pPr>
      <w:r>
        <w:rPr>
          <w:rFonts w:ascii="Georgia" w:cs="Georgia" w:eastAsia="Georgia" w:hAnsi="Georgia"/>
          <w:sz w:val="21"/>
          <w:szCs w:val="21"/>
        </w:rPr>
        <w:t xml:space="preserve">Nivel 3 — Resiliencia blockchain: Los registros críticos del Estado en Hedera Hashgraph son inmutables por definición. Incluso si todos los servidores del SNIP son destruidos, los registros en Hedera sobreviven porque están distribuidos en miles de nodos globalmente. Eso garantiza que ningún gobierno futuro puede borrar el historial de transacciones del Estado aunque quisiera hacerlo.</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El registro en blockchain no es solo una decisión técnica. Es el candado más poderoso del sistema: hace que la historia de las transacciones del Estado sea permanente, pública y verificable independientemente de quién gobierne Ecuador en el futuro.</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Plan de contingencia para noviembre 2026</w:t>
      </w:r>
    </w:p>
    <w:p>
      <w:pPr>
        <w:spacing w:after="100" w:before="80"/>
      </w:pPr>
      <w:r>
        <w:rPr>
          <w:rFonts w:ascii="Georgia" w:cs="Georgia" w:eastAsia="Georgia" w:hAnsi="Georgia"/>
          <w:sz w:val="22"/>
          <w:szCs w:val="22"/>
        </w:rPr>
        <w:t xml:space="preserve">El fin de semana de noviembre 2026 es el momento de mayor riesgo de interrupción para sistemas financieros digitales en Ecuador. El SNIP, aunque no estará completamente operativo para esa fecha, debe tener un protocolo de contingencia preparado para cuando entre en operación.</w:t>
      </w:r>
    </w:p>
    <w:p>
      <w:pPr>
        <w:pStyle w:val="ListParagraph"/>
        <w:numPr>
          <w:ilvl w:val="0"/>
          <w:numId w:val="2"/>
        </w:numPr>
        <w:spacing w:after="60" w:before="60"/>
      </w:pPr>
      <w:r>
        <w:rPr>
          <w:rFonts w:ascii="Georgia" w:cs="Georgia" w:eastAsia="Georgia" w:hAnsi="Georgia"/>
          <w:sz w:val="21"/>
          <w:szCs w:val="21"/>
        </w:rPr>
        <w:t xml:space="preserve">Protocolo A: Si los sistemas bancarios ecuatorianos están en mantenimiento de migración, el módulo de Hedera sigue operativo de forma autónoma porque no depende de los bancos locales.</w:t>
      </w:r>
    </w:p>
    <w:p>
      <w:pPr>
        <w:pStyle w:val="ListParagraph"/>
        <w:numPr>
          <w:ilvl w:val="0"/>
          <w:numId w:val="2"/>
        </w:numPr>
        <w:spacing w:after="60" w:before="60"/>
      </w:pPr>
      <w:r>
        <w:rPr>
          <w:rFonts w:ascii="Georgia" w:cs="Georgia" w:eastAsia="Georgia" w:hAnsi="Georgia"/>
          <w:sz w:val="21"/>
          <w:szCs w:val="21"/>
        </w:rPr>
        <w:t xml:space="preserve">Protocolo B: Los datos de los últimos 90 días se replican automáticamente en el servidor regional externo cada 6 horas. En caso de interrupción técnica del sistema bancario ecuatoriano durante períodos de migración, la pérdida máxima de datos es de 6 horas.</w:t>
      </w:r>
    </w:p>
    <w:p>
      <w:pPr>
        <w:pStyle w:val="ListParagraph"/>
        <w:numPr>
          <w:ilvl w:val="0"/>
          <w:numId w:val="2"/>
        </w:numPr>
        <w:spacing w:after="60" w:before="60"/>
      </w:pPr>
      <w:r>
        <w:rPr>
          <w:rFonts w:ascii="Georgia" w:cs="Georgia" w:eastAsia="Georgia" w:hAnsi="Georgia"/>
          <w:sz w:val="21"/>
          <w:szCs w:val="21"/>
        </w:rPr>
        <w:t xml:space="preserve">Protocolo C: Los ciudadanos tienen acceso al módulo ciudadano del SNIP a través de una versión offline descargable que puede funcionar sin conectividad para consulta de datos ya descargados.</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HOJA DE RUTA TÉCNICA: CUÁNDO INTEGRAR CADA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1800"/>
        <w:gridCol w:w="1960"/>
      </w:tblGrid>
      <w:tr>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FASE</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PERÍODO</w:t>
            </w:r>
          </w:p>
        </w:tc>
        <w:tc>
          <w:tcPr>
            <w:tcW w:type="dxa" w:w="3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COMPONENTES A INTEGRAR</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COSTO ESTIMADO</w:t>
            </w:r>
          </w:p>
        </w:tc>
        <w:tc>
          <w:tcPr>
            <w:tcW w:type="dxa" w:w="19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CONDICIÓN PREVIA</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Diseño base</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Fase 0–1 del SNIP</w:t>
            </w:r>
          </w:p>
        </w:tc>
        <w:tc>
          <w:tcPr>
            <w:tcW w:type="dxa" w:w="3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Definir arquitectura compatible con ISO 20022 desde el inicio. Seleccionar plataforma blockchain — Hedera recomendada. Iniciar negociaciones con Stellar, Ripple y BID.</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Incluido en costo de consultoría de diseño</w:t>
            </w:r>
          </w:p>
        </w:tc>
        <w:tc>
          <w:tcPr>
            <w:tcW w:type="dxa" w:w="1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Ley orgánica del SNIP aprobada</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Integración inicial</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Fase 2 del SNIP</w:t>
            </w:r>
          </w:p>
        </w:tc>
        <w:tc>
          <w:tcPr>
            <w:tcW w:type="dxa" w:w="3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Implementar conector ISO 20022. Registrar primeras transacciones piloto en Hedera. Implementar monitor básico de stablecoins.</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$1.2M–$2.1M adicionales al presupuesto Fase 2</w:t>
            </w:r>
          </w:p>
        </w:tc>
        <w:tc>
          <w:tcPr>
            <w:tcW w:type="dxa" w:w="1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Acuerdos firmados con Hedera y Stellar/Ripple</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Piloto extendido</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Fase 4 del SNIP</w:t>
            </w:r>
          </w:p>
        </w:tc>
        <w:tc>
          <w:tcPr>
            <w:tcW w:type="dxa" w:w="3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Probar el módulo ISO 20022 en las 5 instituciones piloto. Validar detección de anomalías en formato nuevo.</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$500k–$800k</w:t>
            </w:r>
          </w:p>
        </w:tc>
        <w:tc>
          <w:tcPr>
            <w:tcW w:type="dxa" w:w="1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Piloto original del SNIP operativo</w:t>
            </w:r>
          </w:p>
        </w:tc>
      </w:tr>
      <w:tr>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Implementación nacional</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Fase 5 del SNIP</w:t>
            </w:r>
          </w:p>
        </w:tc>
        <w:tc>
          <w:tcPr>
            <w:tcW w:type="dxa" w:w="3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Despliegue completo del motor IA financiera. Integración de las tres capas en todas las instituciones del Estado.</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$800k–$1M adicionales al presupuesto Fase 5</w:t>
            </w:r>
          </w:p>
        </w:tc>
        <w:tc>
          <w:tcPr>
            <w:tcW w:type="dxa" w:w="1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SNIP nacional operativo en instituciones piloto</w:t>
            </w:r>
          </w:p>
        </w:tc>
      </w:tr>
      <w:tr>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Consolidación</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Fase 6 del SNIP</w:t>
            </w:r>
          </w:p>
        </w:tc>
        <w:tc>
          <w:tcPr>
            <w:tcW w:type="dxa" w:w="3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Registro completo del Estado en Hedera. Sistema de resiliencia en tres niveles operativo. Protocolo de actualización para nuevos activos digitales que surjan.</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Incluido en presupuesto operativo anual</w:t>
            </w:r>
          </w:p>
        </w:tc>
        <w:tc>
          <w:tcPr>
            <w:tcW w:type="dxa" w:w="1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Sistema nacional completamente desplegado</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CONCLUSIÓN: EL SNIP QUE HABLA EL IDIOMA DEL FUTURO</w:t>
      </w:r>
    </w:p>
    <w:p>
      <w:pPr>
        <w:spacing w:after="100" w:before="80"/>
      </w:pPr>
      <w:r>
        <w:rPr>
          <w:rFonts w:ascii="Georgia" w:cs="Georgia" w:eastAsia="Georgia" w:hAnsi="Georgia"/>
          <w:sz w:val="22"/>
          <w:szCs w:val="22"/>
        </w:rPr>
        <w:t xml:space="preserve">La decisión de integrar ISO 20022, XRP Ledger y Hedera en el módulo financiero del SNIP no es una decisión tecnológica. Es una decisión política sobre qué tipo de Estado quiere construir Ecuador: uno que controla la corrupción de hoy con herramientas de ayer, o uno que anticipa la corrupción de mañana con la arquitectura de hoy.</w:t>
      </w:r>
    </w:p>
    <w:p>
      <w:pPr>
        <w:spacing w:after="100" w:before="80"/>
      </w:pPr>
      <w:r>
        <w:rPr>
          <w:rFonts w:ascii="Georgia" w:cs="Georgia" w:eastAsia="Georgia" w:hAnsi="Georgia"/>
          <w:sz w:val="22"/>
          <w:szCs w:val="22"/>
        </w:rPr>
        <w:t xml:space="preserve">Los países que hoy son referentes en transparencia — Estonia, Singapur, Nueva Zelanda — no lo son porque tuvieron mejores intenciones. Lo son porque tomaron decisiones técnicas correctas con suficiente anticipación como para que el sistema madurara antes de que lo necesitaran urgentemente.</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E5C52"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Ecuador tiene la posibilidad de diseñar desde cero un sistema anticorrupción que incorpore la arquitectura financiera más avanzada del mundo. Esa posibilidad existe solo durante el período de diseño. Una vez que el sistema esté construido, modificar su arquitectura de base costará diez veces más que incluirla desde el inicio.</w:t>
            </w:r>
          </w:p>
        </w:tc>
      </w:tr>
    </w:tbl>
    <w:p>
      <w:pPr>
        <w:spacing w:after="140" w:before="0"/>
      </w:pPr>
      <w:r>
        <w:rPr>
          <w:sz w:val="20"/>
          <w:szCs w:val="20"/>
        </w:rPr>
        <w:t xml:space="preserve"/>
      </w:r>
    </w:p>
    <w:p>
      <w:pPr>
        <w:spacing w:after="0" w:before="200"/>
        <w:jc w:val="center"/>
      </w:pPr>
      <w:r>
        <w:rPr>
          <w:rFonts w:ascii="Georgia" w:cs="Georgia" w:eastAsia="Georgia" w:hAnsi="Georgia"/>
          <w:i/>
          <w:iCs/>
          <w:color w:val="888888"/>
          <w:sz w:val="20"/>
          <w:szCs w:val="20"/>
        </w:rPr>
        <w:t xml:space="preserve">— Fin del documento —</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olor w:val="999999"/>
                <w:sz w:val="15"/>
                <w:szCs w:val="15"/>
              </w:rPr>
              <w:t xml:space="preserve">FUENTES DE REFERENCIA</w:t>
            </w:r>
          </w:p>
          <w:p>
            <w:pPr>
              <w:spacing w:after="10" w:before="10"/>
            </w:pPr>
            <w:r>
              <w:rPr>
                <w:rFonts w:ascii="Arial" w:cs="Arial" w:eastAsia="Arial" w:hAnsi="Arial"/>
                <w:b/>
                <w:bCs/>
                <w:color w:val="555555"/>
                <w:sz w:val="15"/>
                <w:szCs w:val="15"/>
              </w:rPr>
              <w:t xml:space="preserve">[1] Hedera Hashgraph — Government use cases y grants: </w:t>
            </w:r>
            <w:r>
              <w:rPr>
                <w:rFonts w:ascii="Arial" w:cs="Arial" w:eastAsia="Arial" w:hAnsi="Arial"/>
                <w:color w:val="1155CC"/>
                <w:sz w:val="15"/>
                <w:szCs w:val="15"/>
              </w:rPr>
              <w:t xml:space="preserve">https://hedera.com/use-cases/government</w:t>
            </w:r>
          </w:p>
          <w:p>
            <w:pPr>
              <w:spacing w:after="10" w:before="10"/>
            </w:pPr>
            <w:r>
              <w:rPr>
                <w:rFonts w:ascii="Arial" w:cs="Arial" w:eastAsia="Arial" w:hAnsi="Arial"/>
                <w:b/>
                <w:bCs/>
                <w:color w:val="555555"/>
                <w:sz w:val="15"/>
                <w:szCs w:val="15"/>
              </w:rPr>
              <w:t xml:space="preserve">[2] XRPL Foundation — Grants program: </w:t>
            </w:r>
            <w:r>
              <w:rPr>
                <w:rFonts w:ascii="Arial" w:cs="Arial" w:eastAsia="Arial" w:hAnsi="Arial"/>
                <w:color w:val="1155CC"/>
                <w:sz w:val="15"/>
                <w:szCs w:val="15"/>
              </w:rPr>
              <w:t xml:space="preserve">https://xrpl.org/grants</w:t>
            </w:r>
          </w:p>
          <w:p>
            <w:pPr>
              <w:spacing w:after="10" w:before="10"/>
            </w:pPr>
            <w:r>
              <w:rPr>
                <w:rFonts w:ascii="Arial" w:cs="Arial" w:eastAsia="Arial" w:hAnsi="Arial"/>
                <w:b/>
                <w:bCs/>
                <w:color w:val="555555"/>
                <w:sz w:val="15"/>
                <w:szCs w:val="15"/>
              </w:rPr>
              <w:t xml:space="preserve">[3] Stellar Development Foundation — Enterprise Fund: </w:t>
            </w:r>
            <w:r>
              <w:rPr>
                <w:rFonts w:ascii="Arial" w:cs="Arial" w:eastAsia="Arial" w:hAnsi="Arial"/>
                <w:color w:val="1155CC"/>
                <w:sz w:val="15"/>
                <w:szCs w:val="15"/>
              </w:rPr>
              <w:t xml:space="preserve">https://stellar.org/foundation</w:t>
            </w:r>
          </w:p>
          <w:p>
            <w:pPr>
              <w:spacing w:after="10" w:before="10"/>
            </w:pPr>
            <w:r>
              <w:rPr>
                <w:rFonts w:ascii="Arial" w:cs="Arial" w:eastAsia="Arial" w:hAnsi="Arial"/>
                <w:b/>
                <w:bCs/>
                <w:color w:val="555555"/>
                <w:sz w:val="15"/>
                <w:szCs w:val="15"/>
              </w:rPr>
              <w:t xml:space="preserve">[4] SWIFT — ISO 20022 migration hub: </w:t>
            </w:r>
            <w:r>
              <w:rPr>
                <w:rFonts w:ascii="Arial" w:cs="Arial" w:eastAsia="Arial" w:hAnsi="Arial"/>
                <w:color w:val="1155CC"/>
                <w:sz w:val="15"/>
                <w:szCs w:val="15"/>
              </w:rPr>
              <w:t xml:space="preserve">https://www.swift.com/standards/iso-20022</w:t>
            </w:r>
          </w:p>
          <w:p>
            <w:pPr>
              <w:spacing w:after="10" w:before="10"/>
            </w:pPr>
            <w:r>
              <w:rPr>
                <w:rFonts w:ascii="Arial" w:cs="Arial" w:eastAsia="Arial" w:hAnsi="Arial"/>
                <w:b/>
                <w:bCs/>
                <w:color w:val="555555"/>
                <w:sz w:val="15"/>
                <w:szCs w:val="15"/>
              </w:rPr>
              <w:t xml:space="preserve">[5] BID — División de Transparencia e Integridad: </w:t>
            </w:r>
            <w:r>
              <w:rPr>
                <w:rFonts w:ascii="Arial" w:cs="Arial" w:eastAsia="Arial" w:hAnsi="Arial"/>
                <w:color w:val="1155CC"/>
                <w:sz w:val="15"/>
                <w:szCs w:val="15"/>
              </w:rPr>
              <w:t xml:space="preserve">https://www.iadb.org/es/mejorando-vidas/integridad</w:t>
            </w:r>
          </w:p>
          <w:p>
            <w:pPr>
              <w:spacing w:after="10" w:before="10"/>
            </w:pPr>
            <w:r>
              <w:rPr>
                <w:rFonts w:ascii="Arial" w:cs="Arial" w:eastAsia="Arial" w:hAnsi="Arial"/>
                <w:b/>
                <w:bCs/>
                <w:color w:val="555555"/>
                <w:sz w:val="15"/>
                <w:szCs w:val="15"/>
              </w:rPr>
              <w:t xml:space="preserve">[6] UNODC — Programa Global contra la Corrupción: </w:t>
            </w:r>
            <w:r>
              <w:rPr>
                <w:rFonts w:ascii="Arial" w:cs="Arial" w:eastAsia="Arial" w:hAnsi="Arial"/>
                <w:color w:val="1155CC"/>
                <w:sz w:val="15"/>
                <w:szCs w:val="15"/>
              </w:rPr>
              <w:t xml:space="preserve">https://www.unodc.org/unodc/en/corruption/index.html</w:t>
            </w:r>
          </w:p>
          <w:p>
            <w:pPr>
              <w:spacing w:after="10" w:before="10"/>
            </w:pPr>
            <w:r>
              <w:rPr>
                <w:rFonts w:ascii="Arial" w:cs="Arial" w:eastAsia="Arial" w:hAnsi="Arial"/>
                <w:b/>
                <w:bCs/>
                <w:color w:val="555555"/>
                <w:sz w:val="15"/>
                <w:szCs w:val="15"/>
              </w:rPr>
              <w:t xml:space="preserve">[7] Banco Mundial — Ecuador gobierno digital: </w:t>
            </w:r>
            <w:r>
              <w:rPr>
                <w:rFonts w:ascii="Arial" w:cs="Arial" w:eastAsia="Arial" w:hAnsi="Arial"/>
                <w:color w:val="1155CC"/>
                <w:sz w:val="15"/>
                <w:szCs w:val="15"/>
              </w:rPr>
              <w:t xml:space="preserve">https://projects.worldbank.org/en/projects-operations/projects-list?countrycode_exact=EC</w:t>
            </w:r>
          </w:p>
          <w:p>
            <w:pPr>
              <w:spacing w:after="10" w:before="10"/>
            </w:pPr>
            <w:r>
              <w:rPr>
                <w:rFonts w:ascii="Arial" w:cs="Arial" w:eastAsia="Arial" w:hAnsi="Arial"/>
                <w:b/>
                <w:bCs/>
                <w:color w:val="555555"/>
                <w:sz w:val="15"/>
                <w:szCs w:val="15"/>
              </w:rPr>
              <w:t xml:space="preserve">[8] SERCOP Ecuador — Sistema Nacional de Contratación Pública: </w:t>
            </w:r>
            <w:r>
              <w:rPr>
                <w:rFonts w:ascii="Arial" w:cs="Arial" w:eastAsia="Arial" w:hAnsi="Arial"/>
                <w:color w:val="1155CC"/>
                <w:sz w:val="15"/>
                <w:szCs w:val="15"/>
              </w:rPr>
              <w:t xml:space="preserve">https://www.sercop.gob.ec</w:t>
            </w:r>
          </w:p>
          <w:p>
            <w:pPr>
              <w:spacing w:after="10" w:before="10"/>
            </w:pPr>
            <w:r>
              <w:rPr>
                <w:rFonts w:ascii="Arial" w:cs="Arial" w:eastAsia="Arial" w:hAnsi="Arial"/>
                <w:b/>
                <w:bCs/>
                <w:color w:val="555555"/>
                <w:sz w:val="15"/>
                <w:szCs w:val="15"/>
              </w:rPr>
              <w:t xml:space="preserve">[9] SRI Ecuador — Servicio de Rentas Internas: </w:t>
            </w:r>
            <w:r>
              <w:rPr>
                <w:rFonts w:ascii="Arial" w:cs="Arial" w:eastAsia="Arial" w:hAnsi="Arial"/>
                <w:color w:val="1155CC"/>
                <w:sz w:val="15"/>
                <w:szCs w:val="15"/>
              </w:rPr>
              <w:t xml:space="preserve">https://www.sri.gob.ec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5C52"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5C52" w:sz="6" w:space="1"/>
      </w:pBdr>
      <w:spacing w:after="160" w:before="0"/>
    </w:pPr>
    <w:r>
      <w:rPr>
        <w:rFonts w:ascii="Arial" w:cs="Arial" w:eastAsia="Arial" w:hAnsi="Arial"/>
        <w:color w:val="666666"/>
        <w:sz w:val="18"/>
        <w:szCs w:val="18"/>
      </w:rPr>
      <w:t xml:space="preserve">SNIP Ecuador — Arquitectura Financiera Integrada con ISO 20022 y XRP Ledger  |  Documento Técnico-Estratégico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F3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2026-03-15T03:48:22.556Z</dcterms:created>
  <dcterms:modified xsi:type="dcterms:W3CDTF">2026-03-15T03:48:22.557Z</dcterms:modified>
</cp:coreProperties>
</file>

<file path=docProps/custom.xml><?xml version="1.0" encoding="utf-8"?>
<Properties xmlns="http://schemas.openxmlformats.org/officeDocument/2006/custom-properties" xmlns:vt="http://schemas.openxmlformats.org/officeDocument/2006/docPropsVTypes"/>
</file>