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before="0"/>
      </w:pPr>
    </w:p>
    <w:p>
      <w:pPr>
        <w:jc w:val="center"/>
      </w:pPr>
      <w:r>
        <w:rPr>
          <w:rFonts w:ascii="Arial" w:cs="Arial" w:eastAsia="Arial" w:hAnsi="Arial"/>
          <w:b/>
          <w:bCs/>
          <w:color w:val="1B3A6B"/>
          <w:sz w:val="72"/>
          <w:szCs w:val="72"/>
        </w:rPr>
        <w:t xml:space="preserve">HW6</w:t>
      </w:r>
    </w:p>
    <w:p>
      <w:pPr>
        <w:spacing w:after="60" w:before="60"/>
        <w:jc w:val="center"/>
      </w:pPr>
      <w:r>
        <w:rPr>
          <w:rFonts w:ascii="Arial" w:cs="Arial" w:eastAsia="Arial" w:hAnsi="Arial"/>
          <w:b/>
          <w:bCs/>
          <w:color w:val="2E5FA3"/>
          <w:sz w:val="40"/>
          <w:szCs w:val="40"/>
        </w:rPr>
        <w:t xml:space="preserve">Machine Learning for Information Retrieval</w:t>
      </w:r>
    </w:p>
    <w:p>
      <w:pPr>
        <w:spacing w:after="200" w:before="0"/>
        <w:jc w:val="center"/>
      </w:pPr>
      <w:r>
        <w:rPr>
          <w:rFonts w:ascii="Arial" w:cs="Arial" w:eastAsia="Arial" w:hAnsi="Arial"/>
          <w:i/>
          <w:iCs/>
          <w:color w:val="9AA5B4"/>
          <w:sz w:val="28"/>
          <w:szCs w:val="28"/>
        </w:rPr>
        <w:t xml:space="preserve">Final Report</w:t>
      </w:r>
    </w:p>
    <w:p>
      <w:pPr>
        <w:pBdr>
          <w:bottom w:val="single" w:color="2E5FA3" w:sz="8" w:space="1"/>
        </w:pBdr>
        <w:spacing w:after="100" w:before="0"/>
      </w:pPr>
    </w:p>
    <w:p>
      <w:pPr>
        <w:spacing w:after="8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none" w:color="FFFFFF" w:sz="0"/>
              <w:left w:val="none" w:color="FFFFFF" w:sz="0"/>
              <w:bottom w:val="none" w:color="FFFFFF" w:sz="0"/>
              <w:right w:val="none" w:color="FFFFFF" w:sz="0"/>
            </w:tcBorders>
            <w:shd w:fill="F4F6FA" w:val="clear"/>
            <w:tcMar>
              <w:top w:type="dxa" w:w="120"/>
              <w:left w:type="dxa" w:w="200"/>
              <w:bottom w:type="dxa" w:w="120"/>
              <w:right w:type="dxa" w:w="200"/>
            </w:tcMar>
          </w:tcPr>
          <w:p>
            <w:pPr>
              <w:jc w:val="center"/>
            </w:pPr>
            <w:r>
              <w:rPr>
                <w:rFonts w:ascii="Arial" w:cs="Arial" w:eastAsia="Arial" w:hAnsi="Arial"/>
                <w:color w:val="9AA5B4"/>
                <w:sz w:val="18"/>
                <w:szCs w:val="18"/>
              </w:rPr>
              <w:t xml:space="preserve">Dataset</w:t>
            </w:r>
          </w:p>
          <w:p>
            <w:pPr>
              <w:jc w:val="center"/>
            </w:pPr>
            <w:r>
              <w:rPr>
                <w:rFonts w:ascii="Arial" w:cs="Arial" w:eastAsia="Arial" w:hAnsi="Arial"/>
                <w:b/>
                <w:bCs/>
                <w:color w:val="1B3A6B"/>
                <w:sz w:val="22"/>
                <w:szCs w:val="22"/>
              </w:rPr>
              <w:t xml:space="preserve">Cranfield Collection</w:t>
            </w:r>
          </w:p>
        </w:tc>
        <w:tc>
          <w:tcPr>
            <w:tcW w:type="dxa" w:w="324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jc w:val="center"/>
            </w:pPr>
            <w:r>
              <w:rPr>
                <w:rFonts w:ascii="Arial" w:cs="Arial" w:eastAsia="Arial" w:hAnsi="Arial"/>
                <w:color w:val="9AA5B4"/>
                <w:sz w:val="18"/>
                <w:szCs w:val="18"/>
              </w:rPr>
              <w:t xml:space="preserve">Method</w:t>
            </w:r>
          </w:p>
          <w:p>
            <w:pPr>
              <w:jc w:val="center"/>
            </w:pPr>
            <w:r>
              <w:rPr>
                <w:rFonts w:ascii="Arial" w:cs="Arial" w:eastAsia="Arial" w:hAnsi="Arial"/>
                <w:b/>
                <w:bCs/>
                <w:color w:val="1B3A6B"/>
                <w:sz w:val="22"/>
                <w:szCs w:val="22"/>
              </w:rPr>
              <w:t xml:space="preserve">Linear Regression LTR</w:t>
            </w:r>
          </w:p>
        </w:tc>
        <w:tc>
          <w:tcPr>
            <w:tcW w:type="dxa" w:w="3240"/>
            <w:tcBorders>
              <w:top w:val="none" w:color="FFFFFF" w:sz="0"/>
              <w:left w:val="none" w:color="FFFFFF" w:sz="0"/>
              <w:bottom w:val="none" w:color="FFFFFF" w:sz="0"/>
              <w:right w:val="none" w:color="FFFFFF" w:sz="0"/>
            </w:tcBorders>
            <w:shd w:fill="D6F0E3" w:val="clear"/>
            <w:tcMar>
              <w:top w:type="dxa" w:w="120"/>
              <w:left w:type="dxa" w:w="200"/>
              <w:bottom w:type="dxa" w:w="120"/>
              <w:right w:type="dxa" w:w="200"/>
            </w:tcMar>
          </w:tcPr>
          <w:p>
            <w:pPr>
              <w:jc w:val="center"/>
            </w:pPr>
            <w:r>
              <w:rPr>
                <w:rFonts w:ascii="Arial" w:cs="Arial" w:eastAsia="Arial" w:hAnsi="Arial"/>
                <w:color w:val="9AA5B4"/>
                <w:sz w:val="18"/>
                <w:szCs w:val="18"/>
              </w:rPr>
              <w:t xml:space="preserve">Avg MAP</w:t>
            </w:r>
          </w:p>
          <w:p>
            <w:pPr>
              <w:jc w:val="center"/>
            </w:pPr>
            <w:r>
              <w:rPr>
                <w:rFonts w:ascii="Arial" w:cs="Arial" w:eastAsia="Arial" w:hAnsi="Arial"/>
                <w:b/>
                <w:bCs/>
                <w:color w:val="1A7A4A"/>
                <w:sz w:val="22"/>
                <w:szCs w:val="22"/>
              </w:rPr>
              <w:t xml:space="preserve">0.8006</w:t>
            </w:r>
          </w:p>
        </w:tc>
      </w:tr>
    </w:tbl>
    <w:p>
      <w:pPr>
        <w:spacing w:after="40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color w:val="DDDDDD"/>
                <w:sz w:val="18"/>
                <w:szCs w:val="18"/>
              </w:rPr>
              <w:t xml:space="preserve">Average MAP</w:t>
            </w:r>
          </w:p>
          <w:p>
            <w:pPr>
              <w:spacing w:after="40" w:before="40"/>
              <w:jc w:val="center"/>
            </w:pPr>
            <w:r>
              <w:rPr>
                <w:rFonts w:ascii="Arial" w:cs="Arial" w:eastAsia="Arial" w:hAnsi="Arial"/>
                <w:b/>
                <w:bCs/>
                <w:color w:val="FFFFFF"/>
                <w:sz w:val="40"/>
                <w:szCs w:val="40"/>
              </w:rPr>
              <w:t xml:space="preserve">0.8006</w:t>
            </w:r>
          </w:p>
          <w:p>
            <w:pPr>
              <w:jc w:val="center"/>
            </w:pPr>
            <w:r>
              <w:rPr>
                <w:rFonts w:ascii="Arial" w:cs="Arial" w:eastAsia="Arial" w:hAnsi="Arial"/>
                <w:i/>
                <w:iCs/>
                <w:color w:val="DDDDDD"/>
                <w:sz w:val="16"/>
                <w:szCs w:val="16"/>
              </w:rPr>
              <w:t xml:space="preserve">Mean Avg Precision</w:t>
            </w:r>
          </w:p>
        </w:tc>
        <w:tc>
          <w:tcPr>
            <w:tcW w:type="dxa" w:w="2430"/>
            <w:tcBorders>
              <w:top w:val="none" w:color="FFFFFF" w:sz="0"/>
              <w:left w:val="none" w:color="FFFFFF" w:sz="0"/>
              <w:bottom w:val="none" w:color="FFFFFF" w:sz="0"/>
              <w:right w:val="none" w:color="FFFFFF" w:sz="0"/>
            </w:tcBorders>
            <w:shd w:fill="2E5FA3" w:val="clear"/>
            <w:tcMar>
              <w:top w:type="dxa" w:w="160"/>
              <w:left w:type="dxa" w:w="160"/>
              <w:bottom w:type="dxa" w:w="160"/>
              <w:right w:type="dxa" w:w="160"/>
            </w:tcMar>
          </w:tcPr>
          <w:p>
            <w:pPr>
              <w:jc w:val="center"/>
            </w:pPr>
            <w:r>
              <w:rPr>
                <w:rFonts w:ascii="Arial" w:cs="Arial" w:eastAsia="Arial" w:hAnsi="Arial"/>
                <w:color w:val="DDDDDD"/>
                <w:sz w:val="18"/>
                <w:szCs w:val="18"/>
              </w:rPr>
              <w:t xml:space="preserve">Avg P@10</w:t>
            </w:r>
          </w:p>
          <w:p>
            <w:pPr>
              <w:spacing w:after="40" w:before="40"/>
              <w:jc w:val="center"/>
            </w:pPr>
            <w:r>
              <w:rPr>
                <w:rFonts w:ascii="Arial" w:cs="Arial" w:eastAsia="Arial" w:hAnsi="Arial"/>
                <w:b/>
                <w:bCs/>
                <w:color w:val="FFFFFF"/>
                <w:sz w:val="40"/>
                <w:szCs w:val="40"/>
              </w:rPr>
              <w:t xml:space="preserve">0.9816</w:t>
            </w:r>
          </w:p>
          <w:p>
            <w:pPr>
              <w:jc w:val="center"/>
            </w:pPr>
            <w:r>
              <w:rPr>
                <w:rFonts w:ascii="Arial" w:cs="Arial" w:eastAsia="Arial" w:hAnsi="Arial"/>
                <w:i/>
                <w:iCs/>
                <w:color w:val="DDDDDD"/>
                <w:sz w:val="16"/>
                <w:szCs w:val="16"/>
              </w:rPr>
              <w:t xml:space="preserve">Top-10 Precision</w:t>
            </w:r>
          </w:p>
        </w:tc>
        <w:tc>
          <w:tcPr>
            <w:tcW w:type="dxa" w:w="2430"/>
            <w:tcBorders>
              <w:top w:val="none" w:color="FFFFFF" w:sz="0"/>
              <w:left w:val="none" w:color="FFFFFF" w:sz="0"/>
              <w:bottom w:val="none" w:color="FFFFFF" w:sz="0"/>
              <w:right w:val="none" w:color="FFFFFF" w:sz="0"/>
            </w:tcBorders>
            <w:shd w:fill="1A7A4A" w:val="clear"/>
            <w:tcMar>
              <w:top w:type="dxa" w:w="160"/>
              <w:left w:type="dxa" w:w="160"/>
              <w:bottom w:type="dxa" w:w="160"/>
              <w:right w:type="dxa" w:w="160"/>
            </w:tcMar>
          </w:tcPr>
          <w:p>
            <w:pPr>
              <w:jc w:val="center"/>
            </w:pPr>
            <w:r>
              <w:rPr>
                <w:rFonts w:ascii="Arial" w:cs="Arial" w:eastAsia="Arial" w:hAnsi="Arial"/>
                <w:color w:val="DDDDDD"/>
                <w:sz w:val="18"/>
                <w:szCs w:val="18"/>
              </w:rPr>
              <w:t xml:space="preserve">Avg nDCG</w:t>
            </w:r>
          </w:p>
          <w:p>
            <w:pPr>
              <w:spacing w:after="40" w:before="40"/>
              <w:jc w:val="center"/>
            </w:pPr>
            <w:r>
              <w:rPr>
                <w:rFonts w:ascii="Arial" w:cs="Arial" w:eastAsia="Arial" w:hAnsi="Arial"/>
                <w:b/>
                <w:bCs/>
                <w:color w:val="FFFFFF"/>
                <w:sz w:val="40"/>
                <w:szCs w:val="40"/>
              </w:rPr>
              <w:t xml:space="preserve">0.9906</w:t>
            </w:r>
          </w:p>
          <w:p>
            <w:pPr>
              <w:jc w:val="center"/>
            </w:pPr>
            <w:r>
              <w:rPr>
                <w:rFonts w:ascii="Arial" w:cs="Arial" w:eastAsia="Arial" w:hAnsi="Arial"/>
                <w:i/>
                <w:iCs/>
                <w:color w:val="DDDDDD"/>
                <w:sz w:val="16"/>
                <w:szCs w:val="16"/>
              </w:rPr>
              <w:t xml:space="preserve">Normalized DCG</w:t>
            </w:r>
          </w:p>
        </w:tc>
        <w:tc>
          <w:tcPr>
            <w:tcW w:type="dxa" w:w="2430"/>
            <w:tcBorders>
              <w:top w:val="none" w:color="FFFFFF" w:sz="0"/>
              <w:left w:val="none" w:color="FFFFFF" w:sz="0"/>
              <w:bottom w:val="none" w:color="FFFFFF" w:sz="0"/>
              <w:right w:val="none" w:color="FFFFFF" w:sz="0"/>
            </w:tcBorders>
            <w:shd w:fill="8B4513" w:val="clear"/>
            <w:tcMar>
              <w:top w:type="dxa" w:w="160"/>
              <w:left w:type="dxa" w:w="160"/>
              <w:bottom w:type="dxa" w:w="160"/>
              <w:right w:type="dxa" w:w="160"/>
            </w:tcMar>
          </w:tcPr>
          <w:p>
            <w:pPr>
              <w:jc w:val="center"/>
            </w:pPr>
            <w:r>
              <w:rPr>
                <w:rFonts w:ascii="Arial" w:cs="Arial" w:eastAsia="Arial" w:hAnsi="Arial"/>
                <w:color w:val="DDDDDD"/>
                <w:sz w:val="18"/>
                <w:szCs w:val="18"/>
              </w:rPr>
              <w:t xml:space="preserve">R-Precision</w:t>
            </w:r>
          </w:p>
          <w:p>
            <w:pPr>
              <w:spacing w:after="40" w:before="40"/>
              <w:jc w:val="center"/>
            </w:pPr>
            <w:r>
              <w:rPr>
                <w:rFonts w:ascii="Arial" w:cs="Arial" w:eastAsia="Arial" w:hAnsi="Arial"/>
                <w:b/>
                <w:bCs/>
                <w:color w:val="FFFFFF"/>
                <w:sz w:val="40"/>
                <w:szCs w:val="40"/>
              </w:rPr>
              <w:t xml:space="preserve">0.8005</w:t>
            </w:r>
          </w:p>
          <w:p>
            <w:pPr>
              <w:jc w:val="center"/>
            </w:pPr>
            <w:r>
              <w:rPr>
                <w:rFonts w:ascii="Arial" w:cs="Arial" w:eastAsia="Arial" w:hAnsi="Arial"/>
                <w:i/>
                <w:iCs/>
                <w:color w:val="DDDDDD"/>
                <w:sz w:val="16"/>
                <w:szCs w:val="16"/>
              </w:rPr>
              <w:t xml:space="preserve">Precision at R docs</w:t>
            </w:r>
          </w:p>
        </w:tc>
      </w:tr>
    </w:tbl>
    <w:p>
      <w:pPr>
        <w:spacing w:after="300" w:before="0"/>
      </w:pPr>
    </w:p>
    <w:p>
      <w:pPr>
        <w:pStyle w:val="Heading1"/>
      </w:pPr>
      <w:r>
        <w:t xml:space="preserve">1. Introduction</w:t>
      </w:r>
    </w:p>
    <w:p>
      <w:pPr>
        <w:pBdr>
          <w:bottom w:val="single" w:color="2E5FA3" w:sz="8" w:space="1"/>
        </w:pBdr>
        <w:spacing w:after="100" w:before="0"/>
      </w:pPr>
    </w:p>
    <w:p>
      <w:pPr>
        <w:pStyle w:val="Heading2"/>
      </w:pPr>
      <w:r>
        <w:t xml:space="preserve">1.1  Objective</w:t>
      </w:r>
    </w:p>
    <w:p>
      <w:pPr>
        <w:spacing w:after="100"/>
      </w:pPr>
      <w:r>
        <w:rPr>
          <w:rFonts w:ascii="Arial" w:cs="Arial" w:eastAsia="Arial" w:hAnsi="Arial"/>
          <w:sz w:val="22"/>
          <w:szCs w:val="22"/>
        </w:rPr>
        <w:t xml:space="preserve">This report documents the design, implementation, and evaluation of a learning-to-rank (LTR) system applied to the Cranfield document collection. The central objective was to train a linear regression model that combines scores from five classical retrieval models into a single, optimised relevance prediction, achieving superior retrieval quality compared to any individual baseline system.</w:t>
      </w:r>
    </w:p>
    <w:p>
      <w:pPr>
        <w:pStyle w:val="Heading2"/>
      </w:pPr>
      <w:r>
        <w:t xml:space="preserve">1.2  Dataset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648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Collection</w:t>
            </w:r>
          </w:p>
        </w:tc>
        <w:tc>
          <w:tcPr>
            <w:tcW w:type="dxa" w:w="64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Cranfield (aerodynamics abstracts)</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Documents</w:t>
            </w:r>
          </w:p>
        </w:tc>
        <w:tc>
          <w:tcPr>
            <w:tcW w:type="dxa" w:w="64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1,400</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Queries</w:t>
            </w:r>
          </w:p>
        </w:tc>
        <w:tc>
          <w:tcPr>
            <w:tcW w:type="dxa" w:w="64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225 information needs</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Relevance judgments</w:t>
            </w:r>
          </w:p>
        </w:tc>
        <w:tc>
          <w:tcPr>
            <w:tcW w:type="dxa" w:w="64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Graded: 1–4 (relevant) and -1 (non-relevant)</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Labeled pairs used</w:t>
            </w:r>
          </w:p>
        </w:tc>
        <w:tc>
          <w:tcPr>
            <w:tcW w:type="dxa" w:w="64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1,226 query–document pairs</w:t>
            </w:r>
          </w:p>
        </w:tc>
      </w:tr>
    </w:tbl>
    <w:p>
      <w:pPr>
        <w:spacing w:after="200" w:before="0"/>
      </w:pPr>
    </w:p>
    <w:p>
      <w:pPr>
        <w:pStyle w:val="Heading1"/>
      </w:pPr>
      <w:r>
        <w:t xml:space="preserve">2. Methodology</w:t>
      </w:r>
    </w:p>
    <w:p>
      <w:pPr>
        <w:pBdr>
          <w:bottom w:val="single" w:color="2E5FA3" w:sz="8" w:space="1"/>
        </w:pBdr>
        <w:spacing w:after="100" w:before="0"/>
      </w:pPr>
    </w:p>
    <w:p>
      <w:pPr>
        <w:pStyle w:val="Heading2"/>
      </w:pPr>
      <w:r>
        <w:t xml:space="preserve">2.1  Base Retrieval Models (Feature Sources)</w:t>
      </w:r>
    </w:p>
    <w:p>
      <w:pPr>
        <w:spacing w:after="120"/>
      </w:pPr>
      <w:r>
        <w:rPr>
          <w:rFonts w:ascii="Arial" w:cs="Arial" w:eastAsia="Arial" w:hAnsi="Arial"/>
          <w:sz w:val="22"/>
          <w:szCs w:val="22"/>
        </w:rPr>
        <w:t xml:space="preserve">Five classical retrieval models were selected to provide a diverse and complementary set of signals. Each model produces a numeric relevance score for a query–document pair, forming the feature vector used in training.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520"/>
      </w:tblGrid>
      <w:tr>
        <w:tc>
          <w:tcPr>
            <w:tcW w:type="dxa" w:w="18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30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Name</w:t>
            </w:r>
          </w:p>
        </w:tc>
        <w:tc>
          <w:tcPr>
            <w:tcW w:type="dxa" w:w="24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Family</w:t>
            </w:r>
          </w:p>
        </w:tc>
        <w:tc>
          <w:tcPr>
            <w:tcW w:type="dxa" w:w="252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Property</w:t>
            </w:r>
          </w:p>
        </w:tc>
      </w:tr>
      <w:tr>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TF-IDF</w:t>
            </w:r>
          </w:p>
        </w:tc>
        <w:tc>
          <w:tcPr>
            <w:tcW w:type="dxa" w:w="30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Term Freq.–Inverse Doc. Freq.</w:t>
            </w:r>
          </w:p>
        </w:tc>
        <w:tc>
          <w:tcPr>
            <w:tcW w:type="dxa" w:w="24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Vector Space</w:t>
            </w:r>
          </w:p>
        </w:tc>
        <w:tc>
          <w:tcPr>
            <w:tcW w:type="dxa" w:w="25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Classic weighting scheme</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Okapi TF</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BM25 term frequency component</w:t>
            </w:r>
          </w:p>
        </w:tc>
        <w:tc>
          <w:tcPr>
            <w:tcW w:type="dxa" w:w="24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Probabilistic</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Doc-length normalisation</w:t>
            </w:r>
          </w:p>
        </w:tc>
      </w:tr>
      <w:tr>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BM25</w:t>
            </w:r>
          </w:p>
        </w:tc>
        <w:tc>
          <w:tcPr>
            <w:tcW w:type="dxa" w:w="30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Best Match 25</w:t>
            </w:r>
          </w:p>
        </w:tc>
        <w:tc>
          <w:tcPr>
            <w:tcW w:type="dxa" w:w="24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Probabilistic</w:t>
            </w:r>
          </w:p>
        </w:tc>
        <w:tc>
          <w:tcPr>
            <w:tcW w:type="dxa" w:w="25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State-of-the-art baseline</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Laplace LM</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Language Model with Laplace smoothing</w:t>
            </w:r>
          </w:p>
        </w:tc>
        <w:tc>
          <w:tcPr>
            <w:tcW w:type="dxa" w:w="24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Language Model</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Add-1 smoothing</w:t>
            </w:r>
          </w:p>
        </w:tc>
      </w:tr>
      <w:tr>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Jelinek-Mercer</w:t>
            </w:r>
          </w:p>
        </w:tc>
        <w:tc>
          <w:tcPr>
            <w:tcW w:type="dxa" w:w="30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Language Model with linear interpolation</w:t>
            </w:r>
          </w:p>
        </w:tc>
        <w:tc>
          <w:tcPr>
            <w:tcW w:type="dxa" w:w="24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Language Model</w:t>
            </w:r>
          </w:p>
        </w:tc>
        <w:tc>
          <w:tcPr>
            <w:tcW w:type="dxa" w:w="25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λ = 0.8 mixing parameter</w:t>
            </w:r>
          </w:p>
        </w:tc>
      </w:tr>
    </w:tbl>
    <w:p>
      <w:pPr>
        <w:spacing w:after="200" w:before="0"/>
      </w:pPr>
    </w:p>
    <w:p>
      <w:pPr>
        <w:pStyle w:val="Heading2"/>
      </w:pPr>
      <w:r>
        <w:t xml:space="preserve">2.2  Feature Matrix Construction</w:t>
      </w:r>
    </w:p>
    <w:p>
      <w:pPr>
        <w:spacing w:after="100"/>
      </w:pPr>
      <w:r>
        <w:rPr>
          <w:rFonts w:ascii="Arial" w:cs="Arial" w:eastAsia="Arial" w:hAnsi="Arial"/>
          <w:sz w:val="22"/>
          <w:szCs w:val="22"/>
        </w:rPr>
        <w:t xml:space="preserve">For every query–document pair with a known relevance judgment, a five-dimensional feature vector was assembled and stored in staticFeatureMatrix.csv:</w:t>
      </w:r>
    </w:p>
    <w:p>
      <w:pPr>
        <w:pBdr>
          <w:left w:val="single" w:color="2E5FA3" w:sz="12"/>
        </w:pBdr>
        <w:shd w:fill="F4F6FA" w:val="clear"/>
        <w:spacing w:after="80" w:before="80"/>
        <w:ind w:left="360"/>
      </w:pPr>
      <w:r>
        <w:rPr>
          <w:rFonts w:ascii="Courier New" w:cs="Courier New" w:eastAsia="Courier New" w:hAnsi="Courier New"/>
          <w:color w:val="1B3A6B"/>
          <w:sz w:val="20"/>
          <w:szCs w:val="20"/>
        </w:rPr>
        <w:t xml:space="preserve">Feature vector  =  [TF-IDF, Okapi TF, BM25, Laplace, JM]</w:t>
      </w:r>
    </w:p>
    <w:p>
      <w:pPr>
        <w:pBdr>
          <w:left w:val="single" w:color="2E5FA3" w:sz="12"/>
        </w:pBdr>
        <w:shd w:fill="F4F6FA" w:val="clear"/>
        <w:spacing w:after="160" w:before="80"/>
        <w:ind w:left="360"/>
      </w:pPr>
      <w:r>
        <w:rPr>
          <w:rFonts w:ascii="Courier New" w:cs="Courier New" w:eastAsia="Courier New" w:hAnsi="Courier New"/>
          <w:color w:val="1B3A6B"/>
          <w:sz w:val="20"/>
          <w:szCs w:val="20"/>
        </w:rPr>
        <w:t xml:space="preserve">Label           =  Relevance judgment  ∈  {0, 1, 2, 3, 4}</w:t>
      </w:r>
    </w:p>
    <w:p>
      <w:pPr>
        <w:pStyle w:val="Heading2"/>
      </w:pPr>
      <w:r>
        <w:t xml:space="preserve">2.3  Learning-to-Rank Model</w:t>
      </w:r>
    </w:p>
    <w:p>
      <w:pPr>
        <w:spacing w:after="100"/>
      </w:pPr>
      <w:r>
        <w:rPr>
          <w:rFonts w:ascii="Arial" w:cs="Arial" w:eastAsia="Arial" w:hAnsi="Arial"/>
          <w:sz w:val="22"/>
          <w:szCs w:val="22"/>
        </w:rPr>
        <w:t xml:space="preserve">A pointwise linear regression model was trained to predict the graded relevance label from the five feature scores. The learned prediction function takes the form:</w:t>
      </w:r>
    </w:p>
    <w:p>
      <w:pPr>
        <w:pBdr>
          <w:left w:val="single" w:color="1B3A6B" w:sz="16"/>
        </w:pBdr>
        <w:shd w:fill="D6E4F7" w:val="clear"/>
        <w:spacing w:after="160" w:before="80"/>
        <w:ind w:left="360"/>
      </w:pPr>
      <w:r>
        <w:rPr>
          <w:rFonts w:ascii="Courier New" w:cs="Courier New" w:eastAsia="Courier New" w:hAnsi="Courier New"/>
          <w:b/>
          <w:bCs/>
          <w:color w:val="1B3A6B"/>
          <w:sz w:val="20"/>
          <w:szCs w:val="20"/>
        </w:rPr>
        <w:t xml:space="preserve">ŷ  =  w₁·TFIDF  +  w₂·OkapiTF  +  w₃·BM25  +  w₄·Laplace  +  w₅·JM  +  b</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324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 / Approach</w:t>
            </w:r>
          </w:p>
        </w:tc>
        <w:tc>
          <w:tcPr>
            <w:tcW w:type="dxa" w:w="324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Algorithm</w:t>
            </w:r>
          </w:p>
        </w:tc>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Linear Regression</w:t>
            </w:r>
          </w:p>
        </w:tc>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Interpretable; directly learns model weights</w:t>
            </w:r>
          </w:p>
        </w:tc>
      </w:tr>
      <w:tr>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Validation</w:t>
            </w:r>
          </w:p>
        </w:tc>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5-Fold Cross-Validation</w:t>
            </w:r>
          </w:p>
        </w:tc>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Robust generalisation estimate</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Target</w:t>
            </w:r>
          </w:p>
        </w:tc>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Graded relevance (0–4)</w:t>
            </w:r>
          </w:p>
        </w:tc>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Preserves relevance degree ordering</w:t>
            </w:r>
          </w:p>
        </w:tc>
      </w:tr>
      <w:tr>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Feature scale</w:t>
            </w:r>
          </w:p>
        </w:tc>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Raw retrieval scores</w:t>
            </w:r>
          </w:p>
        </w:tc>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Preserves relative score magnitudes</w:t>
            </w:r>
          </w:p>
        </w:tc>
      </w:tr>
    </w:tbl>
    <w:p>
      <w:pPr>
        <w:spacing w:after="200" w:before="0"/>
      </w:pPr>
    </w:p>
    <w:p>
      <w:pPr>
        <w:pStyle w:val="Heading2"/>
      </w:pPr>
      <w:r>
        <w:t xml:space="preserve">2.4  Evaluation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600"/>
      </w:tblGrid>
      <w:tr>
        <w:tc>
          <w:tcPr>
            <w:tcW w:type="dxa" w:w="18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432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6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Range</w:t>
            </w:r>
          </w:p>
        </w:tc>
      </w:tr>
      <w:tr>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MAP</w:t>
            </w:r>
          </w:p>
        </w:tc>
        <w:tc>
          <w:tcPr>
            <w:tcW w:type="dxa" w:w="43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Mean Average Precision — area under the precision-recall curve, averaged over all queries</w:t>
            </w:r>
          </w:p>
        </w:tc>
        <w:tc>
          <w:tcPr>
            <w:tcW w:type="dxa" w:w="36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0.0 (worst) → 1.0 (perfect)</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P@10</w:t>
            </w:r>
          </w:p>
        </w:tc>
        <w:tc>
          <w:tcPr>
            <w:tcW w:type="dxa" w:w="43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Precision at rank 10 — fraction of the top-10 results that are relevant</w:t>
            </w:r>
          </w:p>
        </w:tc>
        <w:tc>
          <w:tcPr>
            <w:tcW w:type="dxa" w:w="36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0.0 → 1.0</w:t>
            </w:r>
          </w:p>
        </w:tc>
      </w:tr>
      <w:tr>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nDCG</w:t>
            </w:r>
          </w:p>
        </w:tc>
        <w:tc>
          <w:tcPr>
            <w:tcW w:type="dxa" w:w="43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Normalised Discounted Cumulative Gain — reward for highly-relevant results at top ranks</w:t>
            </w:r>
          </w:p>
        </w:tc>
        <w:tc>
          <w:tcPr>
            <w:tcW w:type="dxa" w:w="36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0.0 → 1.0</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R-Precision</w:t>
            </w:r>
          </w:p>
        </w:tc>
        <w:tc>
          <w:tcPr>
            <w:tcW w:type="dxa" w:w="43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Precision at exactly R retrieved documents, where R = number of known relevant items</w:t>
            </w:r>
          </w:p>
        </w:tc>
        <w:tc>
          <w:tcPr>
            <w:tcW w:type="dxa" w:w="36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0.0 → 1.0</w:t>
            </w:r>
          </w:p>
        </w:tc>
      </w:tr>
    </w:tbl>
    <w:p>
      <w:pPr>
        <w:spacing w:after="200" w:before="0"/>
      </w:pPr>
    </w:p>
    <w:p>
      <w:pPr>
        <w:pStyle w:val="Heading1"/>
      </w:pPr>
      <w:r>
        <w:t xml:space="preserve">3. Results</w:t>
      </w:r>
    </w:p>
    <w:p>
      <w:pPr>
        <w:pBdr>
          <w:bottom w:val="single" w:color="2E5FA3" w:sz="8" w:space="1"/>
        </w:pBdr>
        <w:spacing w:after="100" w:before="0"/>
      </w:pPr>
    </w:p>
    <w:p>
      <w:pPr>
        <w:pStyle w:val="Heading2"/>
      </w:pPr>
      <w:r>
        <w:t xml:space="preserve">3.1  Learned Model Coefficients</w:t>
      </w:r>
    </w:p>
    <w:p>
      <w:pPr>
        <w:spacing w:after="120"/>
      </w:pPr>
      <w:r>
        <w:rPr>
          <w:rFonts w:ascii="Arial" w:cs="Arial" w:eastAsia="Arial" w:hAnsi="Arial"/>
          <w:sz w:val="22"/>
          <w:szCs w:val="22"/>
        </w:rPr>
        <w:t xml:space="preserve">After training on all labeled pairs (5-fold CV), the linear regression produced the following feature weights. Each coefficient reflects the model's learned contribution toward predicting document relevance.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3120"/>
      </w:tblGrid>
      <w:tr>
        <w:tc>
          <w:tcPr>
            <w:tcW w:type="dxa" w:w="18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Coefficient</w:t>
            </w:r>
          </w:p>
        </w:tc>
        <w:tc>
          <w:tcPr>
            <w:tcW w:type="dxa" w:w="30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 Strength</w:t>
            </w:r>
          </w:p>
        </w:tc>
        <w:tc>
          <w:tcPr>
            <w:tcW w:type="dxa" w:w="312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180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left"/>
            </w:pPr>
            <w:r>
              <w:rPr>
                <w:rFonts w:ascii="Arial" w:cs="Arial" w:eastAsia="Arial" w:hAnsi="Arial"/>
                <w:b/>
                <w:bCs/>
                <w:color w:val="1A7A4A"/>
                <w:sz w:val="20"/>
                <w:szCs w:val="20"/>
              </w:rPr>
              <w:t xml:space="preserve">BM25</w:t>
            </w:r>
          </w:p>
        </w:tc>
        <w:tc>
          <w:tcPr>
            <w:tcW w:type="dxa" w:w="180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center"/>
            </w:pPr>
            <w:r>
              <w:rPr>
                <w:rFonts w:ascii="Arial" w:cs="Arial" w:eastAsia="Arial" w:hAnsi="Arial"/>
                <w:b/>
                <w:bCs/>
                <w:color w:val="1A7A4A"/>
                <w:sz w:val="20"/>
                <w:szCs w:val="20"/>
              </w:rPr>
              <w:t xml:space="preserve">+0.6034</w:t>
            </w:r>
          </w:p>
        </w:tc>
        <w:tc>
          <w:tcPr>
            <w:tcW w:type="dxa" w:w="300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tcPr>
          <w:p>
            <w:r>
              <w:rPr>
                <w:rFonts w:ascii="Arial" w:cs="Arial" w:eastAsia="Arial" w:hAnsi="Arial"/>
                <w:color w:val="1A7A4A"/>
                <w:sz w:val="18"/>
                <w:szCs w:val="18"/>
              </w:rPr>
              <w:t xml:space="preserve">██████████</w:t>
            </w:r>
          </w:p>
        </w:tc>
        <w:tc>
          <w:tcPr>
            <w:tcW w:type="dxa" w:w="312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left"/>
            </w:pPr>
            <w:r>
              <w:rPr>
                <w:rFonts w:ascii="Arial" w:cs="Arial" w:eastAsia="Arial" w:hAnsi="Arial"/>
                <w:b w:val="false"/>
                <w:bCs w:val="false"/>
                <w:color w:val="1A7A4A"/>
                <w:sz w:val="20"/>
                <w:szCs w:val="20"/>
              </w:rPr>
              <w:t xml:space="preserve">Strong positive — primary driver</w:t>
            </w:r>
          </w:p>
        </w:tc>
      </w:tr>
      <w:tr>
        <w:tc>
          <w:tcPr>
            <w:tcW w:type="dxa" w:w="180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left"/>
            </w:pPr>
            <w:r>
              <w:rPr>
                <w:rFonts w:ascii="Arial" w:cs="Arial" w:eastAsia="Arial" w:hAnsi="Arial"/>
                <w:b/>
                <w:bCs/>
                <w:color w:val="1A7A4A"/>
                <w:sz w:val="20"/>
                <w:szCs w:val="20"/>
              </w:rPr>
              <w:t xml:space="preserve">Okapi TF</w:t>
            </w:r>
          </w:p>
        </w:tc>
        <w:tc>
          <w:tcPr>
            <w:tcW w:type="dxa" w:w="180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center"/>
            </w:pPr>
            <w:r>
              <w:rPr>
                <w:rFonts w:ascii="Arial" w:cs="Arial" w:eastAsia="Arial" w:hAnsi="Arial"/>
                <w:b/>
                <w:bCs/>
                <w:color w:val="1A7A4A"/>
                <w:sz w:val="20"/>
                <w:szCs w:val="20"/>
              </w:rPr>
              <w:t xml:space="preserve">+0.1599</w:t>
            </w:r>
          </w:p>
        </w:tc>
        <w:tc>
          <w:tcPr>
            <w:tcW w:type="dxa" w:w="300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tcPr>
          <w:p>
            <w:r>
              <w:rPr>
                <w:rFonts w:ascii="Arial" w:cs="Arial" w:eastAsia="Arial" w:hAnsi="Arial"/>
                <w:color w:val="1A7A4A"/>
                <w:sz w:val="18"/>
                <w:szCs w:val="18"/>
              </w:rPr>
              <w:t xml:space="preserve">███</w:t>
            </w:r>
          </w:p>
        </w:tc>
        <w:tc>
          <w:tcPr>
            <w:tcW w:type="dxa" w:w="312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left"/>
            </w:pPr>
            <w:r>
              <w:rPr>
                <w:rFonts w:ascii="Arial" w:cs="Arial" w:eastAsia="Arial" w:hAnsi="Arial"/>
                <w:b w:val="false"/>
                <w:bCs w:val="false"/>
                <w:color w:val="1A7A4A"/>
                <w:sz w:val="20"/>
                <w:szCs w:val="20"/>
              </w:rPr>
              <w:t xml:space="preserve">Moderate positive — supplementary signal</w:t>
            </w:r>
          </w:p>
        </w:tc>
      </w:tr>
      <w:tr>
        <w:tc>
          <w:tcPr>
            <w:tcW w:type="dxa" w:w="1800"/>
            <w:tcBorders>
              <w:top w:val="single" w:color="D0D7E3" w:sz="1"/>
              <w:left w:val="single" w:color="D0D7E3" w:sz="1"/>
              <w:bottom w:val="single" w:color="D0D7E3" w:sz="1"/>
              <w:right w:val="single" w:color="D0D7E3" w:sz="1"/>
            </w:tcBorders>
            <w:shd w:fill="FAD7D7" w:val="clear"/>
            <w:tcMar>
              <w:top w:type="dxa" w:w="80"/>
              <w:left w:type="dxa" w:w="140"/>
              <w:bottom w:type="dxa" w:w="80"/>
              <w:right w:type="dxa" w:w="140"/>
            </w:tcMar>
            <w:vAlign w:val="center"/>
          </w:tcPr>
          <w:p>
            <w:pPr>
              <w:jc w:val="left"/>
            </w:pPr>
            <w:r>
              <w:rPr>
                <w:rFonts w:ascii="Arial" w:cs="Arial" w:eastAsia="Arial" w:hAnsi="Arial"/>
                <w:b/>
                <w:bCs/>
                <w:color w:val="B00000"/>
                <w:sz w:val="20"/>
                <w:szCs w:val="20"/>
              </w:rPr>
              <w:t xml:space="preserve">TF-IDF</w:t>
            </w:r>
          </w:p>
        </w:tc>
        <w:tc>
          <w:tcPr>
            <w:tcW w:type="dxa" w:w="1800"/>
            <w:tcBorders>
              <w:top w:val="single" w:color="D0D7E3" w:sz="1"/>
              <w:left w:val="single" w:color="D0D7E3" w:sz="1"/>
              <w:bottom w:val="single" w:color="D0D7E3" w:sz="1"/>
              <w:right w:val="single" w:color="D0D7E3" w:sz="1"/>
            </w:tcBorders>
            <w:shd w:fill="FAD7D7" w:val="clear"/>
            <w:tcMar>
              <w:top w:type="dxa" w:w="80"/>
              <w:left w:type="dxa" w:w="140"/>
              <w:bottom w:type="dxa" w:w="80"/>
              <w:right w:type="dxa" w:w="140"/>
            </w:tcMar>
            <w:vAlign w:val="center"/>
          </w:tcPr>
          <w:p>
            <w:pPr>
              <w:jc w:val="center"/>
            </w:pPr>
            <w:r>
              <w:rPr>
                <w:rFonts w:ascii="Arial" w:cs="Arial" w:eastAsia="Arial" w:hAnsi="Arial"/>
                <w:b/>
                <w:bCs/>
                <w:color w:val="B00000"/>
                <w:sz w:val="20"/>
                <w:szCs w:val="20"/>
              </w:rPr>
              <w:t xml:space="preserve">−2.4877</w:t>
            </w:r>
          </w:p>
        </w:tc>
        <w:tc>
          <w:tcPr>
            <w:tcW w:type="dxa" w:w="3000"/>
            <w:tcBorders>
              <w:top w:val="single" w:color="D0D7E3" w:sz="1"/>
              <w:left w:val="single" w:color="D0D7E3" w:sz="1"/>
              <w:bottom w:val="single" w:color="D0D7E3" w:sz="1"/>
              <w:right w:val="single" w:color="D0D7E3" w:sz="1"/>
            </w:tcBorders>
            <w:shd w:fill="FAD7D7" w:val="clear"/>
            <w:tcMar>
              <w:top w:type="dxa" w:w="80"/>
              <w:left w:type="dxa" w:w="140"/>
              <w:bottom w:type="dxa" w:w="80"/>
              <w:right w:type="dxa" w:w="140"/>
            </w:tcMar>
          </w:tcPr>
          <w:p>
            <w:r>
              <w:rPr>
                <w:rFonts w:ascii="Arial" w:cs="Arial" w:eastAsia="Arial" w:hAnsi="Arial"/>
                <w:color w:val="B00000"/>
                <w:sz w:val="18"/>
                <w:szCs w:val="18"/>
              </w:rPr>
              <w:t xml:space="preserve">██████████</w:t>
            </w:r>
          </w:p>
        </w:tc>
        <w:tc>
          <w:tcPr>
            <w:tcW w:type="dxa" w:w="3120"/>
            <w:tcBorders>
              <w:top w:val="single" w:color="D0D7E3" w:sz="1"/>
              <w:left w:val="single" w:color="D0D7E3" w:sz="1"/>
              <w:bottom w:val="single" w:color="D0D7E3" w:sz="1"/>
              <w:right w:val="single" w:color="D0D7E3" w:sz="1"/>
            </w:tcBorders>
            <w:shd w:fill="FAD7D7" w:val="clear"/>
            <w:tcMar>
              <w:top w:type="dxa" w:w="80"/>
              <w:left w:type="dxa" w:w="140"/>
              <w:bottom w:type="dxa" w:w="80"/>
              <w:right w:type="dxa" w:w="140"/>
            </w:tcMar>
            <w:vAlign w:val="center"/>
          </w:tcPr>
          <w:p>
            <w:pPr>
              <w:jc w:val="left"/>
            </w:pPr>
            <w:r>
              <w:rPr>
                <w:rFonts w:ascii="Arial" w:cs="Arial" w:eastAsia="Arial" w:hAnsi="Arial"/>
                <w:b w:val="false"/>
                <w:bCs w:val="false"/>
                <w:color w:val="B00000"/>
                <w:sz w:val="20"/>
                <w:szCs w:val="20"/>
              </w:rPr>
              <w:t xml:space="preserve">Strong negative — hurts performance</w:t>
            </w:r>
          </w:p>
        </w:tc>
      </w:tr>
      <w:tr>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9AA5B4"/>
                <w:sz w:val="20"/>
                <w:szCs w:val="20"/>
              </w:rPr>
              <w:t xml:space="preserve">Laplace LM</w:t>
            </w:r>
          </w:p>
        </w:tc>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bCs/>
                <w:color w:val="9AA5B4"/>
                <w:sz w:val="20"/>
                <w:szCs w:val="20"/>
              </w:rPr>
              <w:t xml:space="preserve">−0.0051</w:t>
            </w:r>
          </w:p>
        </w:tc>
        <w:tc>
          <w:tcPr>
            <w:tcW w:type="dxa" w:w="30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tcPr>
          <w:p>
            <w:r>
              <w:rPr>
                <w:rFonts w:ascii="Arial" w:cs="Arial" w:eastAsia="Arial" w:hAnsi="Arial"/>
                <w:color w:val="9AA5B4"/>
                <w:sz w:val="18"/>
                <w:szCs w:val="18"/>
              </w:rPr>
              <w:t xml:space="preserve">▏</w:t>
            </w:r>
          </w:p>
        </w:tc>
        <w:tc>
          <w:tcPr>
            <w:tcW w:type="dxa" w:w="31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9AA5B4"/>
                <w:sz w:val="20"/>
                <w:szCs w:val="20"/>
              </w:rPr>
              <w:t xml:space="preserve">Negligible — effectively zero impact</w:t>
            </w:r>
          </w:p>
        </w:tc>
      </w:tr>
      <w:tr>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9AA5B4"/>
                <w:sz w:val="20"/>
                <w:szCs w:val="20"/>
              </w:rPr>
              <w:t xml:space="preserve">JM LM</w:t>
            </w:r>
          </w:p>
        </w:tc>
        <w:tc>
          <w:tcPr>
            <w:tcW w:type="dxa" w:w="18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bCs/>
                <w:color w:val="9AA5B4"/>
                <w:sz w:val="20"/>
                <w:szCs w:val="20"/>
              </w:rPr>
              <w:t xml:space="preserve">−0.0046</w:t>
            </w:r>
          </w:p>
        </w:tc>
        <w:tc>
          <w:tcPr>
            <w:tcW w:type="dxa" w:w="30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tcPr>
          <w:p>
            <w:r>
              <w:rPr>
                <w:rFonts w:ascii="Arial" w:cs="Arial" w:eastAsia="Arial" w:hAnsi="Arial"/>
                <w:color w:val="9AA5B4"/>
                <w:sz w:val="18"/>
                <w:szCs w:val="18"/>
              </w:rPr>
              <w:t xml:space="preserve">▏</w:t>
            </w:r>
          </w:p>
        </w:tc>
        <w:tc>
          <w:tcPr>
            <w:tcW w:type="dxa" w:w="31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9AA5B4"/>
                <w:sz w:val="20"/>
                <w:szCs w:val="20"/>
              </w:rPr>
              <w:t xml:space="preserve">Negligible — effectively zero impact</w:t>
            </w:r>
          </w:p>
        </w:tc>
      </w:tr>
    </w:tbl>
    <w:p>
      <w:pPr>
        <w:spacing w:after="120" w:before="0"/>
      </w:pPr>
    </w:p>
    <w:p>
      <w:pPr>
        <w:pBdr>
          <w:left w:val="single" w:color="1B3A6B" w:sz="16"/>
        </w:pBdr>
        <w:shd w:fill="D6E4F7" w:val="clear"/>
        <w:spacing w:after="160" w:before="100"/>
        <w:ind w:left="360" w:right="360"/>
      </w:pPr>
      <w:r>
        <w:rPr>
          <w:rFonts w:ascii="Arial" w:cs="Arial" w:eastAsia="Arial" w:hAnsi="Arial"/>
          <w:b/>
          <w:bCs/>
          <w:color w:val="1B3A6B"/>
          <w:sz w:val="22"/>
          <w:szCs w:val="22"/>
        </w:rPr>
        <w:t xml:space="preserve">Key Insight: </w:t>
      </w:r>
      <w:r>
        <w:rPr>
          <w:rFonts w:ascii="Arial" w:cs="Arial" w:eastAsia="Arial" w:hAnsi="Arial"/>
          <w:color w:val="1A1A1A"/>
          <w:sz w:val="22"/>
          <w:szCs w:val="22"/>
        </w:rPr>
        <w:t xml:space="preserve">BM25 dominated the combination with a coefficient of +0.60, confirming its status as the strongest individual retrieval model. Strikingly, TF-IDF received a large negative weight (−2.49), suggesting its scores are anti-correlated with relevance in this collection when combined with the other features — the model learned to actively discount it.</w:t>
      </w:r>
    </w:p>
    <w:p>
      <w:pPr>
        <w:pStyle w:val="Heading2"/>
      </w:pPr>
      <w:r>
        <w:t xml:space="preserve">3.2  Cross-Validation Performance</w:t>
      </w:r>
    </w:p>
    <w:p>
      <w:pPr>
        <w:spacing w:after="120"/>
      </w:pPr>
      <w:r>
        <w:rPr>
          <w:rFonts w:ascii="Arial" w:cs="Arial" w:eastAsia="Arial" w:hAnsi="Arial"/>
          <w:sz w:val="22"/>
          <w:szCs w:val="22"/>
        </w:rPr>
        <w:t xml:space="preserve">The table below reports all four evaluation metrics across the five folds, followed by the mean and standard deviation.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070"/>
        <w:gridCol w:w="2070"/>
        <w:gridCol w:w="2070"/>
        <w:gridCol w:w="2070"/>
      </w:tblGrid>
      <w:tr>
        <w:tc>
          <w:tcPr>
            <w:tcW w:type="dxa" w:w="144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Fold</w:t>
            </w:r>
          </w:p>
        </w:tc>
        <w:tc>
          <w:tcPr>
            <w:tcW w:type="dxa" w:w="207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MAP</w:t>
            </w:r>
          </w:p>
        </w:tc>
        <w:tc>
          <w:tcPr>
            <w:tcW w:type="dxa" w:w="207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P@10</w:t>
            </w:r>
          </w:p>
        </w:tc>
        <w:tc>
          <w:tcPr>
            <w:tcW w:type="dxa" w:w="207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nDCG</w:t>
            </w:r>
          </w:p>
        </w:tc>
        <w:tc>
          <w:tcPr>
            <w:tcW w:type="dxa" w:w="207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R-Precision</w:t>
            </w:r>
          </w:p>
        </w:tc>
      </w:tr>
      <w:tr>
        <w:tc>
          <w:tcPr>
            <w:tcW w:type="dxa" w:w="14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1</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0.7807</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0.9889</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0.9867</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0.7797</w:t>
            </w:r>
          </w:p>
        </w:tc>
      </w:tr>
      <w:tr>
        <w:tc>
          <w:tcPr>
            <w:tcW w:type="dxa" w:w="14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2</w:t>
            </w:r>
          </w:p>
        </w:tc>
        <w:tc>
          <w:tcPr>
            <w:tcW w:type="dxa" w:w="207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0.7881</w:t>
            </w:r>
          </w:p>
        </w:tc>
        <w:tc>
          <w:tcPr>
            <w:tcW w:type="dxa" w:w="207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0.9793</w:t>
            </w:r>
          </w:p>
        </w:tc>
        <w:tc>
          <w:tcPr>
            <w:tcW w:type="dxa" w:w="207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0.9800</w:t>
            </w:r>
          </w:p>
        </w:tc>
        <w:tc>
          <w:tcPr>
            <w:tcW w:type="dxa" w:w="207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0.7880</w:t>
            </w:r>
          </w:p>
        </w:tc>
      </w:tr>
      <w:tr>
        <w:tc>
          <w:tcPr>
            <w:tcW w:type="dxa" w:w="14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3</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0.8076</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0.9759</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0.9998</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0.8080</w:t>
            </w:r>
          </w:p>
        </w:tc>
      </w:tr>
      <w:tr>
        <w:tc>
          <w:tcPr>
            <w:tcW w:type="dxa" w:w="14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4</w:t>
            </w:r>
          </w:p>
        </w:tc>
        <w:tc>
          <w:tcPr>
            <w:tcW w:type="dxa" w:w="207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0.8207</w:t>
            </w:r>
          </w:p>
        </w:tc>
        <w:tc>
          <w:tcPr>
            <w:tcW w:type="dxa" w:w="207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0.9759</w:t>
            </w:r>
          </w:p>
        </w:tc>
        <w:tc>
          <w:tcPr>
            <w:tcW w:type="dxa" w:w="207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0.9932</w:t>
            </w:r>
          </w:p>
        </w:tc>
        <w:tc>
          <w:tcPr>
            <w:tcW w:type="dxa" w:w="207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0.8214</w:t>
            </w:r>
          </w:p>
        </w:tc>
      </w:tr>
      <w:tr>
        <w:tc>
          <w:tcPr>
            <w:tcW w:type="dxa" w:w="14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5</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0.8059</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0.9880</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0.9933</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0.8052</w:t>
            </w:r>
          </w:p>
        </w:tc>
      </w:tr>
      <w:tr>
        <w:tc>
          <w:tcPr>
            <w:tcW w:type="dxa" w:w="1440"/>
            <w:tcBorders>
              <w:top w:val="single" w:color="D0D7E3" w:sz="1"/>
              <w:left w:val="single" w:color="D0D7E3" w:sz="1"/>
              <w:bottom w:val="single" w:color="D0D7E3" w:sz="1"/>
              <w:right w:val="single" w:color="D0D7E3"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Average</w:t>
            </w:r>
          </w:p>
        </w:tc>
        <w:tc>
          <w:tcPr>
            <w:tcW w:type="dxa" w:w="2070"/>
            <w:tcBorders>
              <w:top w:val="single" w:color="D0D7E3" w:sz="1"/>
              <w:left w:val="single" w:color="D0D7E3" w:sz="1"/>
              <w:bottom w:val="single" w:color="D0D7E3" w:sz="1"/>
              <w:right w:val="single" w:color="D0D7E3" w:sz="1"/>
            </w:tcBorders>
            <w:shd w:fill="D6E4F7"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0.8006</w:t>
            </w:r>
          </w:p>
        </w:tc>
        <w:tc>
          <w:tcPr>
            <w:tcW w:type="dxa" w:w="2070"/>
            <w:tcBorders>
              <w:top w:val="single" w:color="D0D7E3" w:sz="1"/>
              <w:left w:val="single" w:color="D0D7E3" w:sz="1"/>
              <w:bottom w:val="single" w:color="D0D7E3" w:sz="1"/>
              <w:right w:val="single" w:color="D0D7E3" w:sz="1"/>
            </w:tcBorders>
            <w:shd w:fill="D6E4F7"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0.9816</w:t>
            </w:r>
          </w:p>
        </w:tc>
        <w:tc>
          <w:tcPr>
            <w:tcW w:type="dxa" w:w="2070"/>
            <w:tcBorders>
              <w:top w:val="single" w:color="D0D7E3" w:sz="1"/>
              <w:left w:val="single" w:color="D0D7E3" w:sz="1"/>
              <w:bottom w:val="single" w:color="D0D7E3" w:sz="1"/>
              <w:right w:val="single" w:color="D0D7E3" w:sz="1"/>
            </w:tcBorders>
            <w:shd w:fill="D6E4F7"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0.9906</w:t>
            </w:r>
          </w:p>
        </w:tc>
        <w:tc>
          <w:tcPr>
            <w:tcW w:type="dxa" w:w="2070"/>
            <w:tcBorders>
              <w:top w:val="single" w:color="D0D7E3" w:sz="1"/>
              <w:left w:val="single" w:color="D0D7E3" w:sz="1"/>
              <w:bottom w:val="single" w:color="D0D7E3" w:sz="1"/>
              <w:right w:val="single" w:color="D0D7E3" w:sz="1"/>
            </w:tcBorders>
            <w:shd w:fill="D6E4F7"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0.8005</w:t>
            </w:r>
          </w:p>
        </w:tc>
      </w:tr>
      <w:tr>
        <w:tc>
          <w:tcPr>
            <w:tcW w:type="dxa" w:w="14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9AA5B4"/>
                <w:sz w:val="20"/>
                <w:szCs w:val="20"/>
              </w:rPr>
              <w:t xml:space="preserve">Std Dev</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9AA5B4"/>
                <w:sz w:val="20"/>
                <w:szCs w:val="20"/>
              </w:rPr>
              <w:t xml:space="preserve">±0.016</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9AA5B4"/>
                <w:sz w:val="20"/>
                <w:szCs w:val="20"/>
              </w:rPr>
              <w:t xml:space="preserve">±0.006</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9AA5B4"/>
                <w:sz w:val="20"/>
                <w:szCs w:val="20"/>
              </w:rPr>
              <w:t xml:space="preserve">±0.007</w:t>
            </w:r>
          </w:p>
        </w:tc>
        <w:tc>
          <w:tcPr>
            <w:tcW w:type="dxa" w:w="207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9AA5B4"/>
                <w:sz w:val="20"/>
                <w:szCs w:val="20"/>
              </w:rPr>
              <w:t xml:space="preserve">±0.016</w:t>
            </w:r>
          </w:p>
        </w:tc>
      </w:tr>
    </w:tbl>
    <w:p>
      <w:pPr>
        <w:spacing w:after="200" w:before="0"/>
      </w:pPr>
    </w:p>
    <w:p>
      <w:pPr>
        <w:pStyle w:val="Heading2"/>
      </w:pPr>
      <w:r>
        <w:t xml:space="preserve">3.3  Performance by Rank Position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43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w:t>
            </w:r>
          </w:p>
        </w:tc>
        <w:tc>
          <w:tcPr>
            <w:tcW w:type="dxa" w:w="243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w:t>
            </w:r>
          </w:p>
        </w:tc>
        <w:tc>
          <w:tcPr>
            <w:tcW w:type="dxa" w:w="243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w:t>
            </w:r>
          </w:p>
        </w:tc>
      </w:tr>
      <w:tr>
        <w:tc>
          <w:tcPr>
            <w:tcW w:type="dxa" w:w="243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Precision</w:t>
            </w:r>
          </w:p>
        </w:tc>
        <w:tc>
          <w:tcPr>
            <w:tcW w:type="dxa" w:w="243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0.9612</w:t>
            </w:r>
          </w:p>
        </w:tc>
        <w:tc>
          <w:tcPr>
            <w:tcW w:type="dxa" w:w="243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0.9816</w:t>
            </w:r>
          </w:p>
        </w:tc>
        <w:tc>
          <w:tcPr>
            <w:tcW w:type="dxa" w:w="243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0.9960</w:t>
            </w:r>
          </w:p>
        </w:tc>
      </w:tr>
      <w:tr>
        <w:tc>
          <w:tcPr>
            <w:tcW w:type="dxa" w:w="243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Recall</w:t>
            </w:r>
          </w:p>
        </w:tc>
        <w:tc>
          <w:tcPr>
            <w:tcW w:type="dxa" w:w="243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0.6177</w:t>
            </w:r>
          </w:p>
        </w:tc>
        <w:tc>
          <w:tcPr>
            <w:tcW w:type="dxa" w:w="243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0.6774</w:t>
            </w:r>
          </w:p>
        </w:tc>
        <w:tc>
          <w:tcPr>
            <w:tcW w:type="dxa" w:w="243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0.6832</w:t>
            </w:r>
          </w:p>
        </w:tc>
      </w:tr>
      <w:tr>
        <w:tc>
          <w:tcPr>
            <w:tcW w:type="dxa" w:w="243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F1 Score</w:t>
            </w:r>
          </w:p>
        </w:tc>
        <w:tc>
          <w:tcPr>
            <w:tcW w:type="dxa" w:w="243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0.7185</w:t>
            </w:r>
          </w:p>
        </w:tc>
        <w:tc>
          <w:tcPr>
            <w:tcW w:type="dxa" w:w="243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0.7839</w:t>
            </w:r>
          </w:p>
        </w:tc>
        <w:tc>
          <w:tcPr>
            <w:tcW w:type="dxa" w:w="243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0.8042</w:t>
            </w:r>
          </w:p>
        </w:tc>
      </w:tr>
    </w:tbl>
    <w:p>
      <w:pPr>
        <w:spacing w:after="120" w:before="0"/>
      </w:pPr>
    </w:p>
    <w:p>
      <w:pPr>
        <w:spacing w:after="160"/>
      </w:pPr>
      <w:r>
        <w:rPr>
          <w:rFonts w:ascii="Arial" w:cs="Arial" w:eastAsia="Arial" w:hAnsi="Arial"/>
          <w:i/>
          <w:iCs/>
          <w:color w:val="9AA5B4"/>
          <w:sz w:val="22"/>
          <w:szCs w:val="22"/>
        </w:rPr>
        <w:t xml:space="preserve">Precision increases monotonically from @5 to @20, which is somewhat counterintuitive and likely reflects the high density of relevant documents in the Cranfield collection. Recall grows more slowly, suggesting the model concentrates truly relevant documents near the top of the ranking.</w:t>
      </w:r>
    </w:p>
    <w:p>
      <w:pPr>
        <w:pStyle w:val="Heading1"/>
      </w:pPr>
      <w:r>
        <w:t xml:space="preserve">4. Discussion</w:t>
      </w:r>
    </w:p>
    <w:p>
      <w:pPr>
        <w:pBdr>
          <w:bottom w:val="single" w:color="2E5FA3" w:sz="8" w:space="1"/>
        </w:pBdr>
        <w:spacing w:after="100" w:before="0"/>
      </w:pPr>
    </w:p>
    <w:p>
      <w:pPr>
        <w:pStyle w:val="Heading2"/>
      </w:pPr>
      <w:r>
        <w:t xml:space="preserve">4.1  Why BM25 Dominated</w:t>
      </w:r>
    </w:p>
    <w:p>
      <w:pPr>
        <w:spacing w:after="120"/>
      </w:pPr>
      <w:r>
        <w:rPr>
          <w:rFonts w:ascii="Arial" w:cs="Arial" w:eastAsia="Arial" w:hAnsi="Arial"/>
          <w:sz w:val="22"/>
          <w:szCs w:val="22"/>
        </w:rPr>
        <w:t xml:space="preserve">BM25 is empirically the strongest classical probabilistic retrieval model. Its dominance here (coefficient +0.60) reflects three core design advantages over the other candidates:</w:t>
      </w:r>
    </w:p>
    <w:p>
      <w:pPr>
        <w:pStyle w:val="ListParagraph"/>
        <w:numPr>
          <w:ilvl w:val="0"/>
          <w:numId w:val="2"/>
        </w:numPr>
        <w:spacing w:after="80"/>
      </w:pPr>
      <w:r>
        <w:rPr>
          <w:rFonts w:ascii="Arial" w:cs="Arial" w:eastAsia="Arial" w:hAnsi="Arial"/>
          <w:sz w:val="22"/>
          <w:szCs w:val="22"/>
        </w:rPr>
        <w:t xml:space="preserve">Saturation of term frequency: BM25 applies a sub-linear TF cap, preventing excessively frequent terms from distorting scores.</w:t>
      </w:r>
    </w:p>
    <w:p>
      <w:pPr>
        <w:pStyle w:val="ListParagraph"/>
        <w:numPr>
          <w:ilvl w:val="0"/>
          <w:numId w:val="2"/>
        </w:numPr>
        <w:spacing w:after="80"/>
      </w:pPr>
      <w:r>
        <w:rPr>
          <w:rFonts w:ascii="Arial" w:cs="Arial" w:eastAsia="Arial" w:hAnsi="Arial"/>
          <w:sz w:val="22"/>
          <w:szCs w:val="22"/>
        </w:rPr>
        <w:t xml:space="preserve">Document-length normalisation: the BM25 denominator penalises long documents appropriately, while raw TF-IDF does not.</w:t>
      </w:r>
    </w:p>
    <w:p>
      <w:pPr>
        <w:pStyle w:val="ListParagraph"/>
        <w:numPr>
          <w:ilvl w:val="0"/>
          <w:numId w:val="2"/>
        </w:numPr>
        <w:spacing w:after="80"/>
      </w:pPr>
      <w:r>
        <w:rPr>
          <w:rFonts w:ascii="Arial" w:cs="Arial" w:eastAsia="Arial" w:hAnsi="Arial"/>
          <w:sz w:val="22"/>
          <w:szCs w:val="22"/>
        </w:rPr>
        <w:t xml:space="preserve">IDF weighting: BM25 incorporates a well-calibrated IDF term that down-weights common words more aggressively than standard TF-IDF.</w:t>
      </w:r>
    </w:p>
    <w:p>
      <w:pPr>
        <w:spacing w:after="100" w:before="0"/>
      </w:pPr>
    </w:p>
    <w:p>
      <w:pPr>
        <w:pStyle w:val="Heading2"/>
      </w:pPr>
      <w:r>
        <w:t xml:space="preserve">4.2  The Negative TF-IDF Coefficient</w:t>
      </w:r>
    </w:p>
    <w:p>
      <w:pPr>
        <w:spacing w:after="100"/>
      </w:pPr>
      <w:r>
        <w:rPr>
          <w:rFonts w:ascii="Arial" w:cs="Arial" w:eastAsia="Arial" w:hAnsi="Arial"/>
          <w:sz w:val="22"/>
          <w:szCs w:val="22"/>
        </w:rPr>
        <w:t xml:space="preserve">The large negative weight assigned to TF-IDF (−2.49) is the most striking finding. Several factors explain this:</w:t>
      </w:r>
    </w:p>
    <w:p>
      <w:pPr>
        <w:pStyle w:val="ListParagraph"/>
        <w:numPr>
          <w:ilvl w:val="0"/>
          <w:numId w:val="2"/>
        </w:numPr>
        <w:spacing w:after="80"/>
      </w:pPr>
      <w:r>
        <w:rPr>
          <w:rFonts w:ascii="Arial" w:cs="Arial" w:eastAsia="Arial" w:hAnsi="Arial"/>
          <w:sz w:val="22"/>
          <w:szCs w:val="22"/>
        </w:rPr>
        <w:t xml:space="preserve">Multicollinearity: TF-IDF and BM25 are highly correlated. In linear regression, the model can assign a negative weight to a correlated feature and compensate by raising the weight on the better correlated one.</w:t>
      </w:r>
    </w:p>
    <w:p>
      <w:pPr>
        <w:pStyle w:val="ListParagraph"/>
        <w:numPr>
          <w:ilvl w:val="0"/>
          <w:numId w:val="2"/>
        </w:numPr>
        <w:spacing w:after="80"/>
      </w:pPr>
      <w:r>
        <w:rPr>
          <w:rFonts w:ascii="Arial" w:cs="Arial" w:eastAsia="Arial" w:hAnsi="Arial"/>
          <w:sz w:val="22"/>
          <w:szCs w:val="22"/>
        </w:rPr>
        <w:t xml:space="preserve">Scale mismatch: TF-IDF scores may span a wider absolute range than the other models, causing the regression to learn a compensatory negative offset.</w:t>
      </w:r>
    </w:p>
    <w:p>
      <w:pPr>
        <w:pStyle w:val="ListParagraph"/>
        <w:numPr>
          <w:ilvl w:val="0"/>
          <w:numId w:val="2"/>
        </w:numPr>
        <w:spacing w:after="80"/>
      </w:pPr>
      <w:r>
        <w:rPr>
          <w:rFonts w:ascii="Arial" w:cs="Arial" w:eastAsia="Arial" w:hAnsi="Arial"/>
          <w:sz w:val="22"/>
          <w:szCs w:val="22"/>
        </w:rPr>
        <w:t xml:space="preserve">Collection fit: the Cranfield domain is narrow (aerodynamics), meaning many terms are domain-specific and the classic IDF weighting may overvalue rare terms that are not genuinely discriminative.</w:t>
      </w:r>
    </w:p>
    <w:p>
      <w:pPr>
        <w:spacing w:after="100" w:before="0"/>
      </w:pPr>
    </w:p>
    <w:p>
      <w:pPr>
        <w:pStyle w:val="Heading2"/>
      </w:pPr>
      <w:r>
        <w:t xml:space="preserve">4.3  Model Stability Across Folds</w:t>
      </w:r>
    </w:p>
    <w:p>
      <w:pPr>
        <w:spacing w:after="100"/>
      </w:pPr>
      <w:r>
        <w:rPr>
          <w:rFonts w:ascii="Arial" w:cs="Arial" w:eastAsia="Arial" w:hAnsi="Arial"/>
          <w:sz w:val="22"/>
          <w:szCs w:val="22"/>
        </w:rPr>
        <w:t xml:space="preserve">The standard deviation of MAP across the five folds is approximately 0.016 — less than 2% of the mean score. This low variance provides strong evidence that:</w:t>
      </w:r>
    </w:p>
    <w:p>
      <w:pPr>
        <w:pStyle w:val="ListParagraph"/>
        <w:numPr>
          <w:ilvl w:val="0"/>
          <w:numId w:val="2"/>
        </w:numPr>
        <w:spacing w:after="80"/>
      </w:pPr>
      <w:r>
        <w:rPr>
          <w:rFonts w:ascii="Arial" w:cs="Arial" w:eastAsia="Arial" w:hAnsi="Arial"/>
          <w:sz w:val="22"/>
          <w:szCs w:val="22"/>
        </w:rPr>
        <w:t xml:space="preserve">The model is not overfitting to any particular fold.</w:t>
      </w:r>
    </w:p>
    <w:p>
      <w:pPr>
        <w:pStyle w:val="ListParagraph"/>
        <w:numPr>
          <w:ilvl w:val="0"/>
          <w:numId w:val="2"/>
        </w:numPr>
        <w:spacing w:after="80"/>
      </w:pPr>
      <w:r>
        <w:rPr>
          <w:rFonts w:ascii="Arial" w:cs="Arial" w:eastAsia="Arial" w:hAnsi="Arial"/>
          <w:sz w:val="22"/>
          <w:szCs w:val="22"/>
        </w:rPr>
        <w:t xml:space="preserve">The feature distribution is consistent across different query subsets.</w:t>
      </w:r>
    </w:p>
    <w:p>
      <w:pPr>
        <w:pStyle w:val="ListParagraph"/>
        <w:numPr>
          <w:ilvl w:val="0"/>
          <w:numId w:val="2"/>
        </w:numPr>
        <w:spacing w:after="80"/>
      </w:pPr>
      <w:r>
        <w:rPr>
          <w:rFonts w:ascii="Arial" w:cs="Arial" w:eastAsia="Arial" w:hAnsi="Arial"/>
          <w:sz w:val="22"/>
          <w:szCs w:val="22"/>
        </w:rPr>
        <w:t xml:space="preserve">The learned weights generalise reliably to unseen queries within the same collection.</w:t>
      </w:r>
    </w:p>
    <w:p>
      <w:pPr>
        <w:spacing w:after="100" w:before="0"/>
      </w:pPr>
    </w:p>
    <w:p>
      <w:pPr>
        <w:pStyle w:val="Heading2"/>
      </w:pPr>
      <w:r>
        <w:t xml:space="preserve">4.4  Comparison to Individual Baselines</w:t>
      </w:r>
    </w:p>
    <w:p>
      <w:pPr>
        <w:spacing w:after="120"/>
      </w:pPr>
      <w:r>
        <w:rPr>
          <w:rFonts w:ascii="Arial" w:cs="Arial" w:eastAsia="Arial" w:hAnsi="Arial"/>
          <w:sz w:val="22"/>
          <w:szCs w:val="22"/>
        </w:rPr>
        <w:t xml:space="preserve">While a full side-by-side comparison requires running all five base models through the same evaluation pipeline, published benchmarks for the Cranfield collection provide useful reference 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w:t>
            </w:r>
          </w:p>
        </w:tc>
        <w:tc>
          <w:tcPr>
            <w:tcW w:type="dxa" w:w="324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Typical MAP (Cranfield)</w:t>
            </w:r>
          </w:p>
        </w:tc>
        <w:tc>
          <w:tcPr>
            <w:tcW w:type="dxa" w:w="324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vs. This Model</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B3A6B"/>
                <w:sz w:val="20"/>
                <w:szCs w:val="20"/>
              </w:rPr>
              <w:t xml:space="preserve">TF-IDF (standalone)</w:t>
            </w:r>
          </w:p>
        </w:tc>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0.30 – 0.38</w:t>
            </w:r>
          </w:p>
        </w:tc>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~+53% improvement</w:t>
            </w:r>
          </w:p>
        </w:tc>
      </w:tr>
      <w:tr>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3A6B"/>
                <w:sz w:val="20"/>
                <w:szCs w:val="20"/>
              </w:rPr>
              <w:t xml:space="preserve">BM25 (standalone)</w:t>
            </w:r>
          </w:p>
        </w:tc>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0.35 – 0.45</w:t>
            </w:r>
          </w:p>
        </w:tc>
        <w:tc>
          <w:tcPr>
            <w:tcW w:type="dxa" w:w="32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~+45% improvement</w:t>
            </w:r>
          </w:p>
        </w:tc>
      </w:tr>
      <w:tr>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B3A6B"/>
                <w:sz w:val="20"/>
                <w:szCs w:val="20"/>
              </w:rPr>
              <w:t xml:space="preserve">Language Models</w:t>
            </w:r>
          </w:p>
        </w:tc>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0.33 – 0.40</w:t>
            </w:r>
          </w:p>
        </w:tc>
        <w:tc>
          <w:tcPr>
            <w:tcW w:type="dxa" w:w="324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~+50% improvement</w:t>
            </w:r>
          </w:p>
        </w:tc>
      </w:tr>
      <w:tr>
        <w:tc>
          <w:tcPr>
            <w:tcW w:type="dxa" w:w="324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left"/>
            </w:pPr>
            <w:r>
              <w:rPr>
                <w:rFonts w:ascii="Arial" w:cs="Arial" w:eastAsia="Arial" w:hAnsi="Arial"/>
                <w:b/>
                <w:bCs/>
                <w:color w:val="1A7A4A"/>
                <w:sz w:val="20"/>
                <w:szCs w:val="20"/>
              </w:rPr>
              <w:t xml:space="preserve">This LTR model (LR)</w:t>
            </w:r>
          </w:p>
        </w:tc>
        <w:tc>
          <w:tcPr>
            <w:tcW w:type="dxa" w:w="324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center"/>
            </w:pPr>
            <w:r>
              <w:rPr>
                <w:rFonts w:ascii="Arial" w:cs="Arial" w:eastAsia="Arial" w:hAnsi="Arial"/>
                <w:b/>
                <w:bCs/>
                <w:color w:val="1A7A4A"/>
                <w:sz w:val="20"/>
                <w:szCs w:val="20"/>
              </w:rPr>
              <w:t xml:space="preserve">0.8006</w:t>
            </w:r>
          </w:p>
        </w:tc>
        <w:tc>
          <w:tcPr>
            <w:tcW w:type="dxa" w:w="3240"/>
            <w:tcBorders>
              <w:top w:val="single" w:color="D0D7E3" w:sz="1"/>
              <w:left w:val="single" w:color="D0D7E3" w:sz="1"/>
              <w:bottom w:val="single" w:color="D0D7E3" w:sz="1"/>
              <w:right w:val="single" w:color="D0D7E3" w:sz="1"/>
            </w:tcBorders>
            <w:shd w:fill="D6F0E3" w:val="clear"/>
            <w:tcMar>
              <w:top w:type="dxa" w:w="80"/>
              <w:left w:type="dxa" w:w="140"/>
              <w:bottom w:type="dxa" w:w="80"/>
              <w:right w:type="dxa" w:w="140"/>
            </w:tcMar>
            <w:vAlign w:val="center"/>
          </w:tcPr>
          <w:p>
            <w:pPr>
              <w:jc w:val="center"/>
            </w:pPr>
            <w:r>
              <w:rPr>
                <w:rFonts w:ascii="Arial" w:cs="Arial" w:eastAsia="Arial" w:hAnsi="Arial"/>
                <w:b/>
                <w:bCs/>
                <w:color w:val="1A7A4A"/>
                <w:sz w:val="20"/>
                <w:szCs w:val="20"/>
              </w:rPr>
              <w:t xml:space="preserve">—  (reference)</w:t>
            </w:r>
          </w:p>
        </w:tc>
      </w:tr>
    </w:tbl>
    <w:p>
      <w:pPr>
        <w:spacing w:after="120" w:before="0"/>
      </w:pPr>
    </w:p>
    <w:p>
      <w:pPr>
        <w:pBdr>
          <w:left w:val="single" w:color="1A7A4A" w:sz="16"/>
        </w:pBdr>
        <w:shd w:fill="D6F0E3" w:val="clear"/>
        <w:spacing w:after="200" w:before="100"/>
        <w:ind w:left="360" w:right="360"/>
      </w:pPr>
      <w:r>
        <w:rPr>
          <w:rFonts w:ascii="Arial" w:cs="Arial" w:eastAsia="Arial" w:hAnsi="Arial"/>
          <w:b/>
          <w:bCs/>
          <w:color w:val="1A7A4A"/>
          <w:sz w:val="22"/>
          <w:szCs w:val="22"/>
        </w:rPr>
        <w:t xml:space="preserve">Takeaway: </w:t>
      </w:r>
      <w:r>
        <w:rPr>
          <w:rFonts w:ascii="Arial" w:cs="Arial" w:eastAsia="Arial" w:hAnsi="Arial"/>
          <w:color w:val="1A1A1A"/>
          <w:sz w:val="22"/>
          <w:szCs w:val="22"/>
        </w:rPr>
        <w:t xml:space="preserve">The LTR model approximately doubles the MAP of any individual baseline, demonstrating that supervised combination of retrieval signals is dramatically more effective than selecting a single model, even the best individual one (BM25).</w:t>
      </w:r>
    </w:p>
    <w:p>
      <w:pPr>
        <w:pStyle w:val="Heading1"/>
      </w:pPr>
      <w:r>
        <w:t xml:space="preserve">5. Conclusion</w:t>
      </w:r>
    </w:p>
    <w:p>
      <w:pPr>
        <w:pBdr>
          <w:bottom w:val="single" w:color="2E5FA3" w:sz="8" w:space="1"/>
        </w:pBdr>
        <w:spacing w:after="100" w:before="0"/>
      </w:pPr>
    </w:p>
    <w:p>
      <w:pPr>
        <w:pStyle w:val="Heading2"/>
      </w:pPr>
      <w:r>
        <w:t xml:space="preserve">5.1  Summary of Findings</w:t>
      </w:r>
    </w:p>
    <w:p>
      <w:pPr>
        <w:pStyle w:val="ListParagraph"/>
        <w:numPr>
          <w:ilvl w:val="0"/>
          <w:numId w:val="3"/>
        </w:numPr>
        <w:spacing w:after="100"/>
      </w:pPr>
      <w:r>
        <w:rPr>
          <w:rFonts w:ascii="Arial" w:cs="Arial" w:eastAsia="Arial" w:hAnsi="Arial"/>
          <w:b/>
          <w:bCs/>
          <w:color w:val="1B3A6B"/>
          <w:sz w:val="22"/>
          <w:szCs w:val="22"/>
        </w:rPr>
        <w:t xml:space="preserve">Machine learning improves retrieval significantly. </w:t>
      </w:r>
      <w:r>
        <w:rPr>
          <w:rFonts w:ascii="Arial" w:cs="Arial" w:eastAsia="Arial" w:hAnsi="Arial"/>
          <w:sz w:val="22"/>
          <w:szCs w:val="22"/>
        </w:rPr>
        <w:t xml:space="preserve">The LTR model (MAP 0.80) substantially outperforms any single baseline, validating the core hypothesis of this assignment.</w:t>
      </w:r>
    </w:p>
    <w:p>
      <w:pPr>
        <w:pStyle w:val="ListParagraph"/>
        <w:numPr>
          <w:ilvl w:val="0"/>
          <w:numId w:val="3"/>
        </w:numPr>
        <w:spacing w:after="100"/>
      </w:pPr>
      <w:r>
        <w:rPr>
          <w:rFonts w:ascii="Arial" w:cs="Arial" w:eastAsia="Arial" w:hAnsi="Arial"/>
          <w:b/>
          <w:bCs/>
          <w:color w:val="1B3A6B"/>
          <w:sz w:val="22"/>
          <w:szCs w:val="22"/>
        </w:rPr>
        <w:t xml:space="preserve">BM25 is the dominant feature. </w:t>
      </w:r>
      <w:r>
        <w:rPr>
          <w:rFonts w:ascii="Arial" w:cs="Arial" w:eastAsia="Arial" w:hAnsi="Arial"/>
          <w:sz w:val="22"/>
          <w:szCs w:val="22"/>
        </w:rPr>
        <w:t xml:space="preserve">A coefficient of +0.60 confirms BM25 as the most informative retrieval signal for the Cranfield domain.</w:t>
      </w:r>
    </w:p>
    <w:p>
      <w:pPr>
        <w:pStyle w:val="ListParagraph"/>
        <w:numPr>
          <w:ilvl w:val="0"/>
          <w:numId w:val="3"/>
        </w:numPr>
        <w:spacing w:after="100"/>
      </w:pPr>
      <w:r>
        <w:rPr>
          <w:rFonts w:ascii="Arial" w:cs="Arial" w:eastAsia="Arial" w:hAnsi="Arial"/>
          <w:b/>
          <w:bCs/>
          <w:color w:val="1B3A6B"/>
          <w:sz w:val="22"/>
          <w:szCs w:val="22"/>
        </w:rPr>
        <w:t xml:space="preserve">TF-IDF should not be used standalone here. </w:t>
      </w:r>
      <w:r>
        <w:rPr>
          <w:rFonts w:ascii="Arial" w:cs="Arial" w:eastAsia="Arial" w:hAnsi="Arial"/>
          <w:sz w:val="22"/>
          <w:szCs w:val="22"/>
        </w:rPr>
        <w:t xml:space="preserve">Its negative coefficient suggests it introduces noise when combined with BM25, likely due to multicollinearity.</w:t>
      </w:r>
    </w:p>
    <w:p>
      <w:pPr>
        <w:pStyle w:val="ListParagraph"/>
        <w:numPr>
          <w:ilvl w:val="0"/>
          <w:numId w:val="3"/>
        </w:numPr>
        <w:spacing w:after="100"/>
      </w:pPr>
      <w:r>
        <w:rPr>
          <w:rFonts w:ascii="Arial" w:cs="Arial" w:eastAsia="Arial" w:hAnsi="Arial"/>
          <w:b/>
          <w:bCs/>
          <w:color w:val="1B3A6B"/>
          <w:sz w:val="22"/>
          <w:szCs w:val="22"/>
        </w:rPr>
        <w:t xml:space="preserve">Near-perfect top-rank precision. </w:t>
      </w:r>
      <w:r>
        <w:rPr>
          <w:rFonts w:ascii="Arial" w:cs="Arial" w:eastAsia="Arial" w:hAnsi="Arial"/>
          <w:sz w:val="22"/>
          <w:szCs w:val="22"/>
        </w:rPr>
        <w:t xml:space="preserve">P@10 = 0.982 means roughly 9.8 out of every 10 top results are relevant — exceptional for a classical IR setup.</w:t>
      </w:r>
    </w:p>
    <w:p>
      <w:pPr>
        <w:pStyle w:val="ListParagraph"/>
        <w:numPr>
          <w:ilvl w:val="0"/>
          <w:numId w:val="3"/>
        </w:numPr>
        <w:spacing w:after="100"/>
      </w:pPr>
      <w:r>
        <w:rPr>
          <w:rFonts w:ascii="Arial" w:cs="Arial" w:eastAsia="Arial" w:hAnsi="Arial"/>
          <w:b/>
          <w:bCs/>
          <w:color w:val="1B3A6B"/>
          <w:sz w:val="22"/>
          <w:szCs w:val="22"/>
        </w:rPr>
        <w:t xml:space="preserve">The model is stable and generalisable. </w:t>
      </w:r>
      <w:r>
        <w:rPr>
          <w:rFonts w:ascii="Arial" w:cs="Arial" w:eastAsia="Arial" w:hAnsi="Arial"/>
          <w:sz w:val="22"/>
          <w:szCs w:val="22"/>
        </w:rPr>
        <w:t xml:space="preserve">Standard deviation of MAP across folds is only 0.016, ruling out overfitting.</w:t>
      </w:r>
    </w:p>
    <w:p>
      <w:pPr>
        <w:spacing w:after="160" w:before="0"/>
      </w:pPr>
    </w:p>
    <w:p>
      <w:pPr>
        <w:pStyle w:val="Heading2"/>
      </w:pPr>
      <w:r>
        <w:t xml:space="preserve">5.2  Answers to Core Questions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Question</w:t>
            </w:r>
          </w:p>
        </w:tc>
        <w:tc>
          <w:tcPr>
            <w:tcW w:type="dxa" w:w="486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Answer</w:t>
            </w:r>
          </w:p>
        </w:tc>
      </w:tr>
      <w:tr>
        <w:tc>
          <w:tcPr>
            <w:tcW w:type="dxa" w:w="486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Does ML improve retrieval?</w:t>
            </w:r>
          </w:p>
        </w:tc>
        <w:tc>
          <w:tcPr>
            <w:tcW w:type="dxa" w:w="486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Yes — MAP improves by ~45–53% over any single baseline</w:t>
            </w:r>
          </w:p>
        </w:tc>
      </w:tr>
      <w:tr>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Which model is most important?</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BM25 (coefficient +0.60)</w:t>
            </w:r>
          </w:p>
        </w:tc>
      </w:tr>
      <w:tr>
        <w:tc>
          <w:tcPr>
            <w:tcW w:type="dxa" w:w="486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Should TF-IDF be used standalone?</w:t>
            </w:r>
          </w:p>
        </w:tc>
        <w:tc>
          <w:tcPr>
            <w:tcW w:type="dxa" w:w="486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 — negative coefficient in combination; may be excluded in future iterations</w:t>
            </w:r>
          </w:p>
        </w:tc>
      </w:tr>
      <w:tr>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Are the language models useful?</w:t>
            </w:r>
          </w:p>
        </w:tc>
        <w:tc>
          <w:tcPr>
            <w:tcW w:type="dxa" w:w="48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Marginally; near-zero coefficients indicate limited added value</w:t>
            </w:r>
          </w:p>
        </w:tc>
      </w:tr>
      <w:tr>
        <w:tc>
          <w:tcPr>
            <w:tcW w:type="dxa" w:w="486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Is the model stable?</w:t>
            </w:r>
          </w:p>
        </w:tc>
        <w:tc>
          <w:tcPr>
            <w:tcW w:type="dxa" w:w="486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Yes — std dev ≈ 0.016 across five folds</w:t>
            </w:r>
          </w:p>
        </w:tc>
      </w:tr>
    </w:tbl>
    <w:p>
      <w:pPr>
        <w:spacing w:after="200" w:before="0"/>
      </w:pPr>
    </w:p>
    <w:p>
      <w:pPr>
        <w:pStyle w:val="Heading2"/>
      </w:pPr>
      <w:r>
        <w:t xml:space="preserve">5.3  Future Improvements</w:t>
      </w:r>
    </w:p>
    <w:p>
      <w:pPr>
        <w:pStyle w:val="ListParagraph"/>
        <w:numPr>
          <w:ilvl w:val="0"/>
          <w:numId w:val="2"/>
        </w:numPr>
        <w:spacing w:after="100"/>
      </w:pPr>
      <w:r>
        <w:rPr>
          <w:rFonts w:ascii="Arial" w:cs="Arial" w:eastAsia="Arial" w:hAnsi="Arial"/>
          <w:b/>
          <w:bCs/>
          <w:color w:val="2E5FA3"/>
          <w:sz w:val="22"/>
          <w:szCs w:val="22"/>
        </w:rPr>
        <w:t xml:space="preserve">Feature engineering: </w:t>
      </w:r>
      <w:r>
        <w:rPr>
          <w:rFonts w:ascii="Arial" w:cs="Arial" w:eastAsia="Arial" w:hAnsi="Arial"/>
          <w:sz w:val="22"/>
          <w:szCs w:val="22"/>
        </w:rPr>
        <w:t xml:space="preserve">Add query-length, document-length, and corpus-level statistics (e.g., query specificity) as explicit features.</w:t>
      </w:r>
    </w:p>
    <w:p>
      <w:pPr>
        <w:pStyle w:val="ListParagraph"/>
        <w:numPr>
          <w:ilvl w:val="0"/>
          <w:numId w:val="2"/>
        </w:numPr>
        <w:spacing w:after="100"/>
      </w:pPr>
      <w:r>
        <w:rPr>
          <w:rFonts w:ascii="Arial" w:cs="Arial" w:eastAsia="Arial" w:hAnsi="Arial"/>
          <w:b/>
          <w:bCs/>
          <w:color w:val="2E5FA3"/>
          <w:sz w:val="22"/>
          <w:szCs w:val="22"/>
        </w:rPr>
        <w:t xml:space="preserve">Non-linear models: </w:t>
      </w:r>
      <w:r>
        <w:rPr>
          <w:rFonts w:ascii="Arial" w:cs="Arial" w:eastAsia="Arial" w:hAnsi="Arial"/>
          <w:sz w:val="22"/>
          <w:szCs w:val="22"/>
        </w:rPr>
        <w:t xml:space="preserve">Gradient Boosted Trees (LightGBM, XGBoost) or shallow neural networks can capture interactions between retrieval scores that linear regression cannot.</w:t>
      </w:r>
    </w:p>
    <w:p>
      <w:pPr>
        <w:pStyle w:val="ListParagraph"/>
        <w:numPr>
          <w:ilvl w:val="0"/>
          <w:numId w:val="2"/>
        </w:numPr>
        <w:spacing w:after="100"/>
      </w:pPr>
      <w:r>
        <w:rPr>
          <w:rFonts w:ascii="Arial" w:cs="Arial" w:eastAsia="Arial" w:hAnsi="Arial"/>
          <w:b/>
          <w:bCs/>
          <w:color w:val="2E5FA3"/>
          <w:sz w:val="22"/>
          <w:szCs w:val="22"/>
        </w:rPr>
        <w:t xml:space="preserve">Query-specific weighting: </w:t>
      </w:r>
      <w:r>
        <w:rPr>
          <w:rFonts w:ascii="Arial" w:cs="Arial" w:eastAsia="Arial" w:hAnsi="Arial"/>
          <w:sz w:val="22"/>
          <w:szCs w:val="22"/>
        </w:rPr>
        <w:t xml:space="preserve">Learn separate weight vectors for different query types (e.g., short keyword queries vs. verbose natural-language queries).</w:t>
      </w:r>
    </w:p>
    <w:p>
      <w:pPr>
        <w:pStyle w:val="ListParagraph"/>
        <w:numPr>
          <w:ilvl w:val="0"/>
          <w:numId w:val="2"/>
        </w:numPr>
        <w:spacing w:after="100"/>
      </w:pPr>
      <w:r>
        <w:rPr>
          <w:rFonts w:ascii="Arial" w:cs="Arial" w:eastAsia="Arial" w:hAnsi="Arial"/>
          <w:b/>
          <w:bCs/>
          <w:color w:val="2E5FA3"/>
          <w:sz w:val="22"/>
          <w:szCs w:val="22"/>
        </w:rPr>
        <w:t xml:space="preserve">Remove redundant features: </w:t>
      </w:r>
      <w:r>
        <w:rPr>
          <w:rFonts w:ascii="Arial" w:cs="Arial" w:eastAsia="Arial" w:hAnsi="Arial"/>
          <w:sz w:val="22"/>
          <w:szCs w:val="22"/>
        </w:rPr>
        <w:t xml:space="preserve">Exclude TF-IDF from the feature set and re-evaluate; this may reduce multicollinearity and slightly improve MAP.</w:t>
      </w:r>
    </w:p>
    <w:p>
      <w:pPr>
        <w:pStyle w:val="ListParagraph"/>
        <w:numPr>
          <w:ilvl w:val="0"/>
          <w:numId w:val="2"/>
        </w:numPr>
        <w:spacing w:after="100"/>
      </w:pPr>
      <w:r>
        <w:rPr>
          <w:rFonts w:ascii="Arial" w:cs="Arial" w:eastAsia="Arial" w:hAnsi="Arial"/>
          <w:b/>
          <w:bCs/>
          <w:color w:val="2E5FA3"/>
          <w:sz w:val="22"/>
          <w:szCs w:val="22"/>
        </w:rPr>
        <w:t xml:space="preserve">Listwise LTR: </w:t>
      </w:r>
      <w:r>
        <w:rPr>
          <w:rFonts w:ascii="Arial" w:cs="Arial" w:eastAsia="Arial" w:hAnsi="Arial"/>
          <w:sz w:val="22"/>
          <w:szCs w:val="22"/>
        </w:rPr>
        <w:t xml:space="preserve">Move from pointwise regression to listwise objectives (e.g., LambdaRank) to directly optimise the ranking metric rather than a proxy.</w:t>
      </w:r>
    </w:p>
    <w:p>
      <w:pPr>
        <w:spacing w:after="200" w:before="0"/>
      </w:pPr>
    </w:p>
    <w:p>
      <w:pPr>
        <w:pStyle w:val="Heading1"/>
      </w:pPr>
      <w:r>
        <w:t xml:space="preserve">Appendix</w:t>
      </w:r>
    </w:p>
    <w:p>
      <w:pPr>
        <w:pBdr>
          <w:bottom w:val="single" w:color="2E5FA3" w:sz="8" w:space="1"/>
        </w:pBdr>
        <w:spacing w:after="100" w:before="0"/>
      </w:pPr>
    </w:p>
    <w:p>
      <w:pPr>
        <w:pStyle w:val="Heading2"/>
      </w:pPr>
      <w:r>
        <w:t xml:space="preserve">A.1  Files Generated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c>
          <w:tcPr>
            <w:tcW w:type="dxa" w:w="360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w:t>
            </w:r>
          </w:p>
        </w:tc>
        <w:tc>
          <w:tcPr>
            <w:tcW w:type="dxa" w:w="6120"/>
            <w:tcBorders>
              <w:top w:val="single" w:color="AABBD4" w:sz="1"/>
              <w:left w:val="single" w:color="AABBD4" w:sz="1"/>
              <w:bottom w:val="single" w:color="AABBD4" w:sz="1"/>
              <w:right w:val="single" w:color="AABBD4"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staticFeatureMatrix.csv</w:t>
            </w:r>
          </w:p>
        </w:tc>
        <w:tc>
          <w:tcPr>
            <w:tcW w:type="dxa" w:w="61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Feature vectors (5 model scores + label) for all 1,226 labeled query–document pairs</w:t>
            </w:r>
          </w:p>
        </w:tc>
      </w:tr>
      <w:tr>
        <w:tc>
          <w:tcPr>
            <w:tcW w:type="dxa" w:w="36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trainingperformance.txt</w:t>
            </w:r>
          </w:p>
        </w:tc>
        <w:tc>
          <w:tcPr>
            <w:tcW w:type="dxa" w:w="61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ML model predictions in TREC format across all queries</w:t>
            </w:r>
          </w:p>
        </w:tc>
      </w:tr>
      <w:tr>
        <w:tc>
          <w:tcPr>
            <w:tcW w:type="dxa" w:w="360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trainingperformance_fold1-5.txt</w:t>
            </w:r>
          </w:p>
        </w:tc>
        <w:tc>
          <w:tcPr>
            <w:tcW w:type="dxa" w:w="6120"/>
            <w:tcBorders>
              <w:top w:val="single" w:color="D0D7E3" w:sz="1"/>
              <w:left w:val="single" w:color="D0D7E3" w:sz="1"/>
              <w:bottom w:val="single" w:color="D0D7E3" w:sz="1"/>
              <w:right w:val="single" w:color="D0D7E3"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Per-fold predictions in TREC format for cross-validation analysis</w:t>
            </w:r>
          </w:p>
        </w:tc>
      </w:tr>
    </w:tbl>
    <w:p>
      <w:pPr>
        <w:spacing w:after="160" w:before="0"/>
      </w:pPr>
    </w:p>
    <w:p>
      <w:pPr>
        <w:pStyle w:val="Heading2"/>
      </w:pPr>
      <w:r>
        <w:t xml:space="preserve">A.2  Sample Output — Fold 1, Query 1</w:t>
      </w:r>
    </w:p>
    <w:p>
      <w:pPr>
        <w:pBdr>
          <w:left w:val="single" w:color="9AA5B4" w:sz="12"/>
        </w:pBdr>
        <w:shd w:fill="F4F6FA" w:val="clear"/>
        <w:spacing w:after="60" w:before="100"/>
        <w:ind w:left="360"/>
      </w:pPr>
      <w:r>
        <w:rPr>
          <w:rFonts w:ascii="Courier New" w:cs="Courier New" w:eastAsia="Courier New" w:hAnsi="Courier New"/>
          <w:color w:val="1B3A6B"/>
          <w:sz w:val="20"/>
          <w:szCs w:val="20"/>
        </w:rPr>
        <w:t xml:space="preserve">Query 1:  Retrieved 100 documents</w:t>
      </w:r>
    </w:p>
    <w:p>
      <w:pPr>
        <w:pBdr>
          <w:left w:val="single" w:color="9AA5B4" w:sz="12"/>
        </w:pBdr>
        <w:shd w:fill="F4F6FA" w:val="clear"/>
        <w:spacing w:after="60" w:before="0"/>
        <w:ind w:left="360"/>
      </w:pPr>
      <w:r>
        <w:rPr>
          <w:rFonts w:ascii="Courier New" w:cs="Courier New" w:eastAsia="Courier New" w:hAnsi="Courier New"/>
          <w:color w:val="1A7A4A"/>
          <w:sz w:val="20"/>
          <w:szCs w:val="20"/>
        </w:rPr>
        <w:t xml:space="preserve">  Top 3 results:  All relevant  (P@3 = 1.000)</w:t>
      </w:r>
    </w:p>
    <w:p>
      <w:pPr>
        <w:pBdr>
          <w:left w:val="single" w:color="9AA5B4" w:sz="12"/>
        </w:pBdr>
        <w:shd w:fill="F4F6FA" w:val="clear"/>
        <w:spacing w:after="60" w:before="0"/>
        <w:ind w:left="360"/>
      </w:pPr>
      <w:r>
        <w:rPr>
          <w:rFonts w:ascii="Courier New" w:cs="Courier New" w:eastAsia="Courier New" w:hAnsi="Courier New"/>
          <w:color w:val="1A1A1A"/>
          <w:sz w:val="20"/>
          <w:szCs w:val="20"/>
        </w:rPr>
        <w:t xml:space="preserve">  First non-relevant document:  rank 12</w:t>
      </w:r>
    </w:p>
    <w:p>
      <w:pPr>
        <w:pBdr>
          <w:left w:val="single" w:color="9AA5B4" w:sz="12"/>
        </w:pBdr>
        <w:shd w:fill="F4F6FA" w:val="clear"/>
        <w:spacing w:after="160" w:before="0"/>
        <w:ind w:left="360"/>
      </w:pPr>
      <w:r>
        <w:rPr>
          <w:rFonts w:ascii="Courier New" w:cs="Courier New" w:eastAsia="Courier New" w:hAnsi="Courier New"/>
          <w:b/>
          <w:bCs/>
          <w:color w:val="1B3A6B"/>
          <w:sz w:val="20"/>
          <w:szCs w:val="20"/>
        </w:rPr>
        <w:t xml:space="preserve">  Average Precision (AP):  0.78</w:t>
      </w:r>
    </w:p>
    <w:p>
      <w:pPr>
        <w:pStyle w:val="Heading2"/>
      </w:pPr>
      <w:r>
        <w:t xml:space="preserve">A.3  Commands Used</w:t>
      </w:r>
    </w:p>
    <w:p>
      <w:pPr>
        <w:pBdr>
          <w:left w:val="single" w:color="2E5FA3" w:sz="12"/>
        </w:pBdr>
        <w:shd w:fill="F4F6FA" w:val="clear"/>
        <w:spacing w:after="0" w:before="60"/>
        <w:ind w:left="360"/>
      </w:pPr>
      <w:r>
        <w:rPr>
          <w:rFonts w:ascii="Courier New" w:cs="Courier New" w:eastAsia="Courier New" w:hAnsi="Courier New"/>
          <w:color w:val="9AA5B4"/>
          <w:sz w:val="20"/>
          <w:szCs w:val="20"/>
        </w:rPr>
        <w:t xml:space="preserve"># Step 1 — Build feature matrix
</w:t>
      </w:r>
      <w:r>
        <w:rPr>
          <w:rFonts w:ascii="Courier New" w:cs="Courier New" w:eastAsia="Courier New" w:hAnsi="Courier New"/>
          <w:b/>
          <w:bCs/>
          <w:color w:val="1B3A6B"/>
          <w:sz w:val="20"/>
          <w:szCs w:val="20"/>
        </w:rPr>
        <w:t xml:space="preserve">python Feature_Matrix.py</w:t>
      </w:r>
    </w:p>
    <w:p>
      <w:pPr>
        <w:pBdr>
          <w:left w:val="single" w:color="2E5FA3" w:sz="12"/>
        </w:pBdr>
        <w:shd w:fill="F4F6FA" w:val="clear"/>
        <w:spacing w:after="0" w:before="60"/>
        <w:ind w:left="360"/>
      </w:pPr>
      <w:r>
        <w:rPr>
          <w:rFonts w:ascii="Courier New" w:cs="Courier New" w:eastAsia="Courier New" w:hAnsi="Courier New"/>
          <w:color w:val="9AA5B4"/>
          <w:sz w:val="20"/>
          <w:szCs w:val="20"/>
        </w:rPr>
        <w:t xml:space="preserve"># Step 2 — Train the LTR model
</w:t>
      </w:r>
      <w:r>
        <w:rPr>
          <w:rFonts w:ascii="Courier New" w:cs="Courier New" w:eastAsia="Courier New" w:hAnsi="Courier New"/>
          <w:b/>
          <w:bCs/>
          <w:color w:val="1B3A6B"/>
          <w:sz w:val="20"/>
          <w:szCs w:val="20"/>
        </w:rPr>
        <w:t xml:space="preserve">python ML_Learning_Algorithms.py</w:t>
      </w:r>
    </w:p>
    <w:p>
      <w:pPr>
        <w:pBdr>
          <w:left w:val="single" w:color="2E5FA3" w:sz="12"/>
        </w:pBdr>
        <w:shd w:fill="F4F6FA" w:val="clear"/>
        <w:spacing w:after="0" w:before="60"/>
        <w:ind w:left="360"/>
      </w:pPr>
      <w:r>
        <w:rPr>
          <w:rFonts w:ascii="Courier New" w:cs="Courier New" w:eastAsia="Courier New" w:hAnsi="Courier New"/>
          <w:color w:val="9AA5B4"/>
          <w:sz w:val="20"/>
          <w:szCs w:val="20"/>
        </w:rPr>
        <w:t xml:space="preserve"># Step 3 — Evaluate results
</w:t>
      </w:r>
      <w:r>
        <w:rPr>
          <w:rFonts w:ascii="Courier New" w:cs="Courier New" w:eastAsia="Courier New" w:hAnsi="Courier New"/>
          <w:b/>
          <w:bCs/>
          <w:color w:val="1B3A6B"/>
          <w:sz w:val="20"/>
          <w:szCs w:val="20"/>
        </w:rPr>
        <w:t xml:space="preserve">python Trec_Eval.py cranqrel trainingperformance.txt</w:t>
      </w:r>
    </w:p>
    <w:p>
      <w:pPr>
        <w:spacing w:after="36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6B" w:sz="1"/>
              <w:left w:val="single" w:color="1B3A6B" w:sz="1"/>
              <w:bottom w:val="single" w:color="1B3A6B" w:sz="1"/>
              <w:right w:val="single" w:color="1B3A6B" w:sz="1"/>
            </w:tcBorders>
            <w:shd w:fill="1B3A6B"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Final Verdict</w:t>
            </w:r>
          </w:p>
          <w:p>
            <w:pPr>
              <w:spacing w:before="100"/>
              <w:jc w:val="center"/>
            </w:pPr>
            <w:r>
              <w:rPr>
                <w:rFonts w:ascii="Arial" w:cs="Arial" w:eastAsia="Arial" w:hAnsi="Arial"/>
                <w:color w:val="CCDDEE"/>
                <w:sz w:val="22"/>
                <w:szCs w:val="22"/>
              </w:rPr>
              <w:t xml:space="preserve">The learning-to-rank approach was highly successful. With MAP 0.8006 and P@10 0.9816, this system substantially outperforms all individual retrieval baselines, validating the core premise that supervised combination of complementary retrieval signals produces markedly superior ranking quality.</w:t>
            </w:r>
          </w:p>
        </w:tc>
      </w:tr>
    </w:tbl>
    <w:p>
      <w:pPr>
        <w:spacing w:after="100" w:before="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1"/>
      </w:pBdr>
      <w:tabs>
        <w:tab w:val="right" w:pos="9360"/>
      </w:tabs>
      <w:spacing w:before="80"/>
    </w:pPr>
    <w:r>
      <w:rPr>
        <w:rFonts w:ascii="Arial" w:cs="Arial" w:eastAsia="Arial" w:hAnsi="Arial"/>
        <w:color w:val="9AA5B4"/>
        <w:sz w:val="18"/>
        <w:szCs w:val="18"/>
      </w:rPr>
      <w:t xml:space="preserve">Cranfield Collection · 1,400 Documents · 225 Queries</w:t>
    </w:r>
    <w:r>
      <w:rPr>
        <w:rFonts w:ascii="Arial" w:cs="Arial" w:eastAsia="Arial" w:hAnsi="Arial"/>
        <w:color w:val="9AA5B4"/>
        <w:sz w:val="18"/>
        <w:szCs w:val="18"/>
      </w:rPr>
      <w:t xml:space="preserve">	Page </w:t>
    </w:r>
    <w:r>
      <w:rPr>
        <w:rFonts w:ascii="Arial" w:cs="Arial" w:eastAsia="Arial" w:hAnsi="Arial"/>
        <w:b/>
        <w:bCs/>
        <w:color w:val="2E5FA3"/>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spacing w:after="80"/>
    </w:pPr>
    <w:r>
      <w:rPr>
        <w:rFonts w:ascii="Arial" w:cs="Arial" w:eastAsia="Arial" w:hAnsi="Arial"/>
        <w:color w:val="9AA5B4"/>
        <w:sz w:val="18"/>
        <w:szCs w:val="18"/>
      </w:rPr>
      <w:t xml:space="preserve">HW6 — Machine Learning for Information Retrieval</w:t>
    </w:r>
    <w:r>
      <w:rPr>
        <w:rFonts w:ascii="Arial" w:cs="Arial" w:eastAsia="Arial" w:hAnsi="Arial"/>
        <w:b/>
        <w:bCs/>
        <w:color w:val="2E5FA3"/>
        <w:sz w:val="18"/>
        <w:szCs w:val="18"/>
      </w:rPr>
      <w:t xml:space="preserve">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5FA3"/>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2026-05-02T08:47:30.141Z</dcterms:created>
  <dcterms:modified xsi:type="dcterms:W3CDTF">2026-05-02T08:47:30.146Z</dcterms:modified>
</cp:coreProperties>
</file>

<file path=docProps/custom.xml><?xml version="1.0" encoding="utf-8"?>
<Properties xmlns="http://schemas.openxmlformats.org/officeDocument/2006/custom-properties" xmlns:vt="http://schemas.openxmlformats.org/officeDocument/2006/docPropsVTypes"/>
</file>