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Documentation: Early Brain Tumor Detection</w:t>
      </w:r>
    </w:p>
    <w:p>
      <w:pPr>
        <w:jc w:val="center"/>
      </w:pPr>
      <w:r>
        <w:t>A comprehensive technical report covering the dataset, architecture, frontend, backend, models, and accuracy metrics.</w:t>
      </w:r>
    </w:p>
    <w:p>
      <w:r>
        <w:br w:type="page"/>
      </w:r>
    </w:p>
    <w:p>
      <w:pPr>
        <w:pStyle w:val="Heading1"/>
      </w:pPr>
      <w:r>
        <w:rPr>
          <w:color w:val="003366"/>
        </w:rPr>
        <w:t>1. Project Overview</w:t>
      </w:r>
    </w:p>
    <w:p>
      <w:r>
        <w:t>The 'Early Brain Tumor Detections in Human Brain' project is an end-to-end, AI-powered web application designed to classify MRI scans into four distinct categories: Glioma, Meningioma, Pituitary tumor, or No Tumor. The system provides a seamless user experience for uploading scans and instantly receiving diagnostic predictions alongside Grad-CAM heatmaps that visually explain the AI's decision process.</w:t>
      </w:r>
    </w:p>
    <w:p>
      <w:pPr>
        <w:pStyle w:val="Heading1"/>
      </w:pPr>
      <w:r>
        <w:rPr>
          <w:color w:val="003366"/>
        </w:rPr>
        <w:t>2. Dataset Details</w:t>
      </w:r>
    </w:p>
    <w:p>
      <w:r>
        <w:t>The model was trained on a comprehensive dataset of MRI brain scans, totaling 7,200 images, meticulously split across training, validation, and testing sets to ensure generalization.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Class / Tumor Type</w:t>
            </w:r>
          </w:p>
        </w:tc>
        <w:tc>
          <w:tcPr>
            <w:tcW w:type="dxa" w:w="2160"/>
          </w:tcPr>
          <w:p>
            <w:r>
              <w:t>Training Set</w:t>
            </w:r>
          </w:p>
        </w:tc>
        <w:tc>
          <w:tcPr>
            <w:tcW w:type="dxa" w:w="2160"/>
          </w:tcPr>
          <w:p>
            <w:r>
              <w:t>Validation Set</w:t>
            </w:r>
          </w:p>
        </w:tc>
        <w:tc>
          <w:tcPr>
            <w:tcW w:type="dxa" w:w="2160"/>
          </w:tcPr>
          <w:p>
            <w:r>
              <w:t>Testing Set</w:t>
            </w:r>
          </w:p>
        </w:tc>
      </w:tr>
      <w:tr>
        <w:tc>
          <w:tcPr>
            <w:tcW w:type="dxa" w:w="2160"/>
          </w:tcPr>
          <w:p>
            <w:r>
              <w:t>Glioma</w:t>
            </w:r>
          </w:p>
        </w:tc>
        <w:tc>
          <w:tcPr>
            <w:tcW w:type="dxa" w:w="2160"/>
          </w:tcPr>
          <w:p>
            <w:r>
              <w:t>1321</w:t>
            </w:r>
          </w:p>
        </w:tc>
        <w:tc>
          <w:tcPr>
            <w:tcW w:type="dxa" w:w="2160"/>
          </w:tcPr>
          <w:p>
            <w:r>
              <w:t>300</w:t>
            </w:r>
          </w:p>
        </w:tc>
        <w:tc>
          <w:tcPr>
            <w:tcW w:type="dxa" w:w="2160"/>
          </w:tcPr>
          <w:p>
            <w:r>
              <w:t>400</w:t>
            </w:r>
          </w:p>
        </w:tc>
      </w:tr>
      <w:tr>
        <w:tc>
          <w:tcPr>
            <w:tcW w:type="dxa" w:w="2160"/>
          </w:tcPr>
          <w:p>
            <w:r>
              <w:t>Meningioma</w:t>
            </w:r>
          </w:p>
        </w:tc>
        <w:tc>
          <w:tcPr>
            <w:tcW w:type="dxa" w:w="2160"/>
          </w:tcPr>
          <w:p>
            <w:r>
              <w:t>1339</w:t>
            </w:r>
          </w:p>
        </w:tc>
        <w:tc>
          <w:tcPr>
            <w:tcW w:type="dxa" w:w="2160"/>
          </w:tcPr>
          <w:p>
            <w:r>
              <w:t>300</w:t>
            </w:r>
          </w:p>
        </w:tc>
        <w:tc>
          <w:tcPr>
            <w:tcW w:type="dxa" w:w="2160"/>
          </w:tcPr>
          <w:p>
            <w:r>
              <w:t>400</w:t>
            </w:r>
          </w:p>
        </w:tc>
      </w:tr>
      <w:tr>
        <w:tc>
          <w:tcPr>
            <w:tcW w:type="dxa" w:w="2160"/>
          </w:tcPr>
          <w:p>
            <w:r>
              <w:t>No Tumor</w:t>
            </w:r>
          </w:p>
        </w:tc>
        <w:tc>
          <w:tcPr>
            <w:tcW w:type="dxa" w:w="2160"/>
          </w:tcPr>
          <w:p>
            <w:r>
              <w:t>1595</w:t>
            </w:r>
          </w:p>
        </w:tc>
        <w:tc>
          <w:tcPr>
            <w:tcW w:type="dxa" w:w="2160"/>
          </w:tcPr>
          <w:p>
            <w:r>
              <w:t>395</w:t>
            </w:r>
          </w:p>
        </w:tc>
        <w:tc>
          <w:tcPr>
            <w:tcW w:type="dxa" w:w="2160"/>
          </w:tcPr>
          <w:p>
            <w:r>
              <w:t>400</w:t>
            </w:r>
          </w:p>
        </w:tc>
      </w:tr>
      <w:tr>
        <w:tc>
          <w:tcPr>
            <w:tcW w:type="dxa" w:w="2160"/>
          </w:tcPr>
          <w:p>
            <w:r>
              <w:t>Pituitary</w:t>
            </w:r>
          </w:p>
        </w:tc>
        <w:tc>
          <w:tcPr>
            <w:tcW w:type="dxa" w:w="2160"/>
          </w:tcPr>
          <w:p>
            <w:r>
              <w:t>1457</w:t>
            </w:r>
          </w:p>
        </w:tc>
        <w:tc>
          <w:tcPr>
            <w:tcW w:type="dxa" w:w="2160"/>
          </w:tcPr>
          <w:p>
            <w:r>
              <w:t>300</w:t>
            </w:r>
          </w:p>
        </w:tc>
        <w:tc>
          <w:tcPr>
            <w:tcW w:type="dxa" w:w="2160"/>
          </w:tcPr>
          <w:p>
            <w:r>
              <w:t>400</w:t>
            </w:r>
          </w:p>
        </w:tc>
      </w:tr>
    </w:tbl>
    <w:p>
      <w:r>
        <w:br/>
        <w:t>Data Augmentation Applied:</w:t>
      </w:r>
    </w:p>
    <w:p>
      <w:pPr>
        <w:pStyle w:val="ListBullet"/>
      </w:pPr>
      <w:r>
        <w:t>To prevent overfitting, the dataset was artificially expanded during training using real-time data augmentation techniques:</w:t>
      </w:r>
    </w:p>
    <w:p>
      <w:pPr>
        <w:pStyle w:val="ListBullet"/>
      </w:pPr>
      <w:r>
        <w:t>Rescaling: 1./255 pixel normalization</w:t>
      </w:r>
    </w:p>
    <w:p>
      <w:pPr>
        <w:pStyle w:val="ListBullet"/>
      </w:pPr>
      <w:r>
        <w:t>Rotation: ±20 degrees</w:t>
      </w:r>
    </w:p>
    <w:p>
      <w:pPr>
        <w:pStyle w:val="ListBullet"/>
      </w:pPr>
      <w:r>
        <w:t>Width/Height Shifting: ±10%</w:t>
      </w:r>
    </w:p>
    <w:p>
      <w:pPr>
        <w:pStyle w:val="ListBullet"/>
      </w:pPr>
      <w:r>
        <w:t>Horizontal Flipping: Enabled</w:t>
      </w:r>
    </w:p>
    <w:p>
      <w:pPr>
        <w:pStyle w:val="ListBullet"/>
      </w:pPr>
      <w:r>
        <w:t>Zoom Range: ±10%</w:t>
      </w:r>
    </w:p>
    <w:p>
      <w:pPr>
        <w:pStyle w:val="Heading1"/>
      </w:pPr>
      <w:r>
        <w:rPr>
          <w:color w:val="003366"/>
        </w:rPr>
        <w:t>3. AI Models &amp; Architecture</w:t>
      </w:r>
    </w:p>
    <w:p>
      <w:r>
        <w:t>The core of the detection system relies on deep learning convolutional neural networks (CNNs), specifically leveraging transfer learning for highly robust feature extraction.</w:t>
      </w:r>
    </w:p>
    <w:p>
      <w:pPr>
        <w:pStyle w:val="Heading2"/>
      </w:pPr>
      <w:r>
        <w:rPr>
          <w:color w:val="003366"/>
        </w:rPr>
        <w:t>3.1 EfficientNetB0 (Fine-Tuned) - 93% Accuracy</w:t>
      </w:r>
    </w:p>
    <w:p>
      <w:r>
        <w:t>The primary model architecture utilizes EfficientNetB0, known for its optimal balance of parameters and high accuracy. During fine-tuning, the top 30 layers were unfrozen, allowing the model to adapt highly specific textural gradients distinct to human MRI scans.</w:t>
      </w:r>
    </w:p>
    <w:p>
      <w:pPr>
        <w:pStyle w:val="ListBullet"/>
      </w:pPr>
      <w:r>
        <w:t>Input Shape: 224x224x3 (RGB MRI Scans)</w:t>
      </w:r>
    </w:p>
    <w:p>
      <w:pPr>
        <w:pStyle w:val="ListBullet"/>
      </w:pPr>
      <w:r>
        <w:t>Optimizer: Adam (Learning Rate = 1e-4)</w:t>
      </w:r>
    </w:p>
    <w:p>
      <w:pPr>
        <w:pStyle w:val="ListBullet"/>
      </w:pPr>
      <w:r>
        <w:t>Loss Function: Categorical Crossentropy</w:t>
      </w:r>
    </w:p>
    <w:p>
      <w:pPr>
        <w:pStyle w:val="ListBullet"/>
      </w:pPr>
      <w:r>
        <w:t>Regularization: GlobalAveragePooling2D -&gt; Dense(256) -&gt; Dropout(0.4)</w:t>
      </w:r>
    </w:p>
    <w:p>
      <w:pPr>
        <w:pStyle w:val="ListBullet"/>
      </w:pPr>
      <w:r>
        <w:t>Early Stopping: Monitored validation loss (Patience = 7)</w:t>
      </w:r>
    </w:p>
    <w:p>
      <w:pPr>
        <w:pStyle w:val="Heading2"/>
      </w:pPr>
      <w:r>
        <w:rPr>
          <w:color w:val="003366"/>
        </w:rPr>
        <w:t>3.2 Grad-CAM Heatmap Generation</w:t>
      </w:r>
    </w:p>
    <w:p>
      <w:r>
        <w:t>A critical component for medical AI is Explainability. We implemented Gradient-weighted Class Activation Mapping (Grad-CAM). The model is exported to ONNX format retaining both the prediction vector and the final spatial convolutional feature map. By calculating the gradients of the target class with respect to the feature map, the backend accurately highlights the regions of the MRI scan containing the tumor.</w:t>
      </w:r>
    </w:p>
    <w:p>
      <w:pPr>
        <w:pStyle w:val="Heading1"/>
      </w:pPr>
      <w:r>
        <w:rPr>
          <w:color w:val="003366"/>
        </w:rPr>
        <w:t>4. Model Performance &amp; Evaluation</w:t>
      </w:r>
    </w:p>
    <w:p>
      <w:r>
        <w:t>Following fine-tuning, the model was evaluated blindly on the 1,600 image Testing Set. The results yielded an exceptional overall accuracy of 93%.</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Precision</w:t>
            </w:r>
          </w:p>
        </w:tc>
        <w:tc>
          <w:tcPr>
            <w:tcW w:type="dxa" w:w="2160"/>
          </w:tcPr>
          <w:p>
            <w:r>
              <w:t>Recall</w:t>
            </w:r>
          </w:p>
        </w:tc>
        <w:tc>
          <w:tcPr>
            <w:tcW w:type="dxa" w:w="2160"/>
          </w:tcPr>
          <w:p>
            <w:r>
              <w:t>F1-Score</w:t>
            </w:r>
          </w:p>
        </w:tc>
      </w:tr>
      <w:tr>
        <w:tc>
          <w:tcPr>
            <w:tcW w:type="dxa" w:w="2160"/>
          </w:tcPr>
          <w:p>
            <w:r>
              <w:t>Glioma</w:t>
            </w:r>
          </w:p>
        </w:tc>
        <w:tc>
          <w:tcPr>
            <w:tcW w:type="dxa" w:w="2160"/>
          </w:tcPr>
          <w:p>
            <w:r>
              <w:t>98%</w:t>
            </w:r>
          </w:p>
        </w:tc>
        <w:tc>
          <w:tcPr>
            <w:tcW w:type="dxa" w:w="2160"/>
          </w:tcPr>
          <w:p>
            <w:r>
              <w:t>80%</w:t>
            </w:r>
          </w:p>
        </w:tc>
        <w:tc>
          <w:tcPr>
            <w:tcW w:type="dxa" w:w="2160"/>
          </w:tcPr>
          <w:p>
            <w:r>
              <w:t>0.88</w:t>
            </w:r>
          </w:p>
        </w:tc>
      </w:tr>
      <w:tr>
        <w:tc>
          <w:tcPr>
            <w:tcW w:type="dxa" w:w="2160"/>
          </w:tcPr>
          <w:p>
            <w:r>
              <w:t>Meningioma</w:t>
            </w:r>
          </w:p>
        </w:tc>
        <w:tc>
          <w:tcPr>
            <w:tcW w:type="dxa" w:w="2160"/>
          </w:tcPr>
          <w:p>
            <w:r>
              <w:t>89%</w:t>
            </w:r>
          </w:p>
        </w:tc>
        <w:tc>
          <w:tcPr>
            <w:tcW w:type="dxa" w:w="2160"/>
          </w:tcPr>
          <w:p>
            <w:r>
              <w:t>93%</w:t>
            </w:r>
          </w:p>
        </w:tc>
        <w:tc>
          <w:tcPr>
            <w:tcW w:type="dxa" w:w="2160"/>
          </w:tcPr>
          <w:p>
            <w:r>
              <w:t>0.91</w:t>
            </w:r>
          </w:p>
        </w:tc>
      </w:tr>
      <w:tr>
        <w:tc>
          <w:tcPr>
            <w:tcW w:type="dxa" w:w="2160"/>
          </w:tcPr>
          <w:p>
            <w:r>
              <w:t>No Tumor</w:t>
            </w:r>
          </w:p>
        </w:tc>
        <w:tc>
          <w:tcPr>
            <w:tcW w:type="dxa" w:w="2160"/>
          </w:tcPr>
          <w:p>
            <w:r>
              <w:t>92%</w:t>
            </w:r>
          </w:p>
        </w:tc>
        <w:tc>
          <w:tcPr>
            <w:tcW w:type="dxa" w:w="2160"/>
          </w:tcPr>
          <w:p>
            <w:r>
              <w:t>100%</w:t>
            </w:r>
          </w:p>
        </w:tc>
        <w:tc>
          <w:tcPr>
            <w:tcW w:type="dxa" w:w="2160"/>
          </w:tcPr>
          <w:p>
            <w:r>
              <w:t>0.96</w:t>
            </w:r>
          </w:p>
        </w:tc>
      </w:tr>
      <w:tr>
        <w:tc>
          <w:tcPr>
            <w:tcW w:type="dxa" w:w="2160"/>
          </w:tcPr>
          <w:p>
            <w:r>
              <w:t>Pituitary</w:t>
            </w:r>
          </w:p>
        </w:tc>
        <w:tc>
          <w:tcPr>
            <w:tcW w:type="dxa" w:w="2160"/>
          </w:tcPr>
          <w:p>
            <w:r>
              <w:t>96%</w:t>
            </w:r>
          </w:p>
        </w:tc>
        <w:tc>
          <w:tcPr>
            <w:tcW w:type="dxa" w:w="2160"/>
          </w:tcPr>
          <w:p>
            <w:r>
              <w:t>100%</w:t>
            </w:r>
          </w:p>
        </w:tc>
        <w:tc>
          <w:tcPr>
            <w:tcW w:type="dxa" w:w="2160"/>
          </w:tcPr>
          <w:p>
            <w:r>
              <w:t>0.98</w:t>
            </w:r>
          </w:p>
        </w:tc>
      </w:tr>
    </w:tbl>
    <w:p>
      <w:r>
        <w:br/>
        <w:t>Key Insights:</w:t>
      </w:r>
    </w:p>
    <w:p>
      <w:pPr>
        <w:pStyle w:val="ListBullet"/>
      </w:pPr>
      <w:r>
        <w:t>100% Recall for 'No Tumor': The model successfully avoids false negatives for healthy patients.</w:t>
      </w:r>
    </w:p>
    <w:p>
      <w:pPr>
        <w:pStyle w:val="ListBullet"/>
      </w:pPr>
      <w:r>
        <w:t>98% Precision for Glioma: Extremely high confidence when classifying a scan as a Glioma.</w:t>
      </w:r>
    </w:p>
    <w:p>
      <w:pPr>
        <w:pStyle w:val="Heading1"/>
      </w:pPr>
      <w:r>
        <w:rPr>
          <w:color w:val="003366"/>
        </w:rPr>
        <w:t>5. Backend API &amp; Infrastructure</w:t>
      </w:r>
    </w:p>
    <w:p>
      <w:r>
        <w:t>The backend is developed in Python using the FastAPI framework. It handles incoming image payloads, processes them via ONNXRuntime, generates the prediction, computes the Grad-CAM heatmap using OpenCV, and responds with JSON data and the base64-encoded visual.</w:t>
      </w:r>
    </w:p>
    <w:p>
      <w:pPr>
        <w:pStyle w:val="ListBullet"/>
      </w:pPr>
      <w:r>
        <w:t>Framework: FastAPI, Uvicorn</w:t>
      </w:r>
    </w:p>
    <w:p>
      <w:pPr>
        <w:pStyle w:val="ListBullet"/>
      </w:pPr>
      <w:r>
        <w:t>Inference Engine: ONNXRuntime (Extremely fast CPU/GPU inferences)</w:t>
      </w:r>
    </w:p>
    <w:p>
      <w:pPr>
        <w:pStyle w:val="ListBullet"/>
      </w:pPr>
      <w:r>
        <w:t>Hosting: Render Platform (Automated CI/CD from GitHub)</w:t>
      </w:r>
    </w:p>
    <w:p>
      <w:pPr>
        <w:pStyle w:val="ListBullet"/>
      </w:pPr>
      <w:r>
        <w:t>Key Endpoints: /health (Status Check), /predict (Main Inference Engine)</w:t>
      </w:r>
    </w:p>
    <w:p>
      <w:pPr>
        <w:pStyle w:val="Heading1"/>
      </w:pPr>
      <w:r>
        <w:rPr>
          <w:color w:val="003366"/>
        </w:rPr>
        <w:t>6. Frontend Web Interface</w:t>
      </w:r>
    </w:p>
    <w:p>
      <w:r>
        <w:t>The frontend is a single-page application (SPA) offering a stunning, premium medical-tech UI. It features glassmorphism, fluid animations, and a seamless drag-and-drop experience.</w:t>
      </w:r>
    </w:p>
    <w:p>
      <w:pPr>
        <w:pStyle w:val="ListBullet"/>
      </w:pPr>
      <w:r>
        <w:t>Core Stack: React (Vite), React Router</w:t>
      </w:r>
    </w:p>
    <w:p>
      <w:pPr>
        <w:pStyle w:val="ListBullet"/>
      </w:pPr>
      <w:r>
        <w:t>Styling: Vanilla CSS with Custom Design System Variables</w:t>
      </w:r>
    </w:p>
    <w:p>
      <w:pPr>
        <w:pStyle w:val="ListBullet"/>
      </w:pPr>
      <w:r>
        <w:t>Analytics: Chart.js &amp; react-chartjs-2 for confidence visualizations</w:t>
      </w:r>
    </w:p>
    <w:p>
      <w:pPr>
        <w:pStyle w:val="ListBullet"/>
      </w:pPr>
      <w:r>
        <w:t>Interaction: react-dropzone for robust image uploading</w:t>
      </w:r>
    </w:p>
    <w:p>
      <w:pPr>
        <w:pStyle w:val="ListBullet"/>
      </w:pPr>
      <w:r>
        <w:t>Hosting: Vercel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