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1A3C6E"/>
          <w:sz w:val="64"/>
        </w:rPr>
        <w:t>MODÈLE ÉCONOMIQUE</w:t>
      </w:r>
    </w:p>
    <w:p>
      <w:pPr>
        <w:jc w:val="center"/>
      </w:pPr>
      <w:r>
        <w:rPr>
          <w:b/>
          <w:color w:val="2E6BA4"/>
          <w:sz w:val="48"/>
        </w:rPr>
        <w:t>Digital School</w:t>
      </w:r>
    </w:p>
    <w:p/>
    <w:p>
      <w:pPr>
        <w:jc w:val="center"/>
      </w:pPr>
      <w:r>
        <w:rPr>
          <w:color w:val="333333"/>
          <w:sz w:val="28"/>
        </w:rPr>
        <w:t>Plateforme SaaS de gestion scolaire intégrée</w:t>
        <w:br/>
        <w:t>pour les écoles de la RDC et d'Afrique francophone</w:t>
      </w:r>
    </w:p>
    <w:p>
      <w:r>
        <w:br/>
        <w:br/>
        <w:br/>
        <w:br/>
      </w:r>
    </w:p>
    <w:p>
      <w:pPr>
        <w:jc w:val="center"/>
      </w:pPr>
      <w:r>
        <w:rPr>
          <w:i/>
          <w:color w:val="888888"/>
          <w:sz w:val="22"/>
        </w:rPr>
        <w:t>Document confidentiel — Août 2026</w:t>
      </w:r>
    </w:p>
    <w:p>
      <w:r>
        <w:br w:type="page"/>
      </w:r>
    </w:p>
    <w:p>
      <w:pPr>
        <w:pStyle w:val="Heading1"/>
      </w:pPr>
      <w:r>
        <w:rPr>
          <w:color w:val="1A3C6E"/>
        </w:rPr>
        <w:t>Table des matières</w:t>
      </w:r>
    </w:p>
    <w:p>
      <w:r>
        <w:rPr>
          <w:color w:val="1A3C6E"/>
          <w:sz w:val="24"/>
        </w:rPr>
        <w:t>1. Présentation du Produit</w:t>
      </w:r>
    </w:p>
    <w:p>
      <w:r>
        <w:rPr>
          <w:color w:val="1A3C6E"/>
          <w:sz w:val="24"/>
        </w:rPr>
        <w:t>2. Marché Cible</w:t>
      </w:r>
    </w:p>
    <w:p>
      <w:r>
        <w:rPr>
          <w:color w:val="1A3C6E"/>
          <w:sz w:val="24"/>
        </w:rPr>
        <w:t>3. Modèle de Revenus</w:t>
      </w:r>
    </w:p>
    <w:p>
      <w:r>
        <w:rPr>
          <w:color w:val="1A3C6E"/>
          <w:sz w:val="24"/>
        </w:rPr>
        <w:t>4. Projections Financières</w:t>
      </w:r>
    </w:p>
    <w:p>
      <w:r>
        <w:rPr>
          <w:color w:val="1A3C6E"/>
          <w:sz w:val="24"/>
        </w:rPr>
        <w:t>5. Stratégie de Commercialisation</w:t>
      </w:r>
    </w:p>
    <w:p>
      <w:r>
        <w:rPr>
          <w:color w:val="1A3C6E"/>
          <w:sz w:val="24"/>
        </w:rPr>
        <w:t>6. Avantages Concurrentiels</w:t>
      </w:r>
    </w:p>
    <w:p>
      <w:r>
        <w:rPr>
          <w:color w:val="1A3C6E"/>
          <w:sz w:val="24"/>
        </w:rPr>
        <w:t>7. Indicateurs Clés de Performance (KPIs)</w:t>
      </w:r>
    </w:p>
    <w:p>
      <w:r>
        <w:rPr>
          <w:color w:val="1A3C6E"/>
          <w:sz w:val="24"/>
        </w:rPr>
        <w:t>8. Risques &amp; Mitigation</w:t>
      </w:r>
    </w:p>
    <w:p>
      <w:r>
        <w:rPr>
          <w:color w:val="1A3C6E"/>
          <w:sz w:val="24"/>
        </w:rPr>
        <w:t>9. Roadmap Produit</w:t>
      </w:r>
    </w:p>
    <w:p>
      <w:r>
        <w:rPr>
          <w:color w:val="1A3C6E"/>
          <w:sz w:val="24"/>
        </w:rPr>
        <w:t>10. Synthèse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Présentation du Produit</w:t>
      </w:r>
    </w:p>
    <w:p>
      <w:r>
        <w:t>Digital School est une plateforme web complète de gestion scolaire qui couvre 5 domaines fonctionnels majeurs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370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Fonctionnalités clés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📋 Inscription</w:t>
            </w:r>
          </w:p>
        </w:tc>
        <w:tc>
          <w:tcPr>
            <w:tcW w:type="dxa" w:w="7370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Gestion des écoles (publiques, privées, conventionnées), élèves, tuteurs, classes, sections, cycles (maternelle → humanités), inscriptions annuelles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💰 Finances</w:t>
            </w:r>
          </w:p>
        </w:tc>
        <w:tc>
          <w:tcPr>
            <w:tcW w:type="dxa" w:w="7370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Frais scolaires, paiements multi-devises (CDF/USD), taux de change, reçus, notifications WhatsApp automatiques, comptabilité OHADA intégrée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👥 GRH</w:t>
            </w:r>
          </w:p>
        </w:tc>
        <w:tc>
          <w:tcPr>
            <w:tcW w:type="dxa" w:w="7370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Personnel, contrats (CDI/CDD/stage), congés, présences du personnel, paie avec primes/déductions, fiches de paie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📚 Pédagogie</w:t>
            </w:r>
          </w:p>
        </w:tc>
        <w:tc>
          <w:tcPr>
            <w:tcW w:type="dxa" w:w="7370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Matières, affectation enseignants, travaux cotés, notes, bulletins RDC officiels, présences élèves, cours en ligne (vidéo/lecture/exercice), progression élèves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💬 Communication</w:t>
            </w:r>
          </w:p>
        </w:tc>
        <w:tc>
          <w:tcPr>
            <w:tcW w:type="dxa" w:w="7370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Conversations parent↔enseignant, messagerie direction→parents (ciblage par classe/section/école), suivi de lecture</w:t>
            </w:r>
          </w:p>
        </w:tc>
      </w:tr>
    </w:tbl>
    <w:p/>
    <w:p>
      <w:pPr>
        <w:pStyle w:val="Heading2"/>
      </w:pPr>
      <w:r>
        <w:rPr>
          <w:color w:val="1A3C6E"/>
        </w:rPr>
        <w:t>Portails utilisateurs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6803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Accès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Manager</w:t>
            </w:r>
          </w:p>
        </w:tc>
        <w:tc>
          <w:tcPr>
            <w:tcW w:type="dxa" w:w="6803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Super-admin multi-écoles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Directeur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Administration complète d'une école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Trésorier / Caissier</w:t>
            </w:r>
          </w:p>
        </w:tc>
        <w:tc>
          <w:tcPr>
            <w:tcW w:type="dxa" w:w="6803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Gestion financière et encaissements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Enseignant / Professeur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Notes, présences, cours en ligne, messagerie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Parent</w:t>
            </w:r>
          </w:p>
        </w:tc>
        <w:tc>
          <w:tcPr>
            <w:tcW w:type="dxa" w:w="6803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Suivi enfant, bulletins, paiements, messagerie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Élève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Cours en ligne, résultats, progression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2. Marché Cible</w:t>
      </w:r>
    </w:p>
    <w:p>
      <w:pPr>
        <w:pStyle w:val="Heading2"/>
      </w:pPr>
      <w:r>
        <w:rPr>
          <w:color w:val="1A3C6E"/>
        </w:rPr>
        <w:t>2.1 Marché primaire — RDC 🇨🇩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268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Taille estimée</w:t>
            </w:r>
          </w:p>
        </w:tc>
        <w:tc>
          <w:tcPr>
            <w:tcW w:type="dxa" w:w="45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Potentiel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Écoles privées</w:t>
            </w:r>
          </w:p>
        </w:tc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~18 000</w:t>
            </w:r>
          </w:p>
        </w:tc>
        <w:tc>
          <w:tcPr>
            <w:tcW w:type="dxa" w:w="45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⭐⭐⭐⭐⭐ Prioritaire — budget IT disponible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Écoles conventionnées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~32 000</w:t>
            </w:r>
          </w:p>
        </w:tc>
        <w:tc>
          <w:tcPr>
            <w:tcW w:type="dxa" w:w="45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⭐⭐⭐⭐ Fort potentiel — subventions possibles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Écoles publiques</w:t>
            </w:r>
          </w:p>
        </w:tc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~51 000</w:t>
            </w:r>
          </w:p>
        </w:tc>
        <w:tc>
          <w:tcPr>
            <w:tcW w:type="dxa" w:w="45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 Moyen terme — via partenariats EPSP/MINEDU</w:t>
            </w:r>
          </w:p>
        </w:tc>
      </w:tr>
    </w:tbl>
    <w:p/>
    <w:p>
      <w:r>
        <w:rPr>
          <w:i/>
          <w:color w:val="2E6BA4"/>
          <w:sz w:val="18"/>
        </w:rPr>
        <w:t>📌 Marché adressable total RDC : +100 000 établissements scolaires. Digital School est déjà conçu avec les spécificités RDC (bulletins MEPST, OHADA, devises CDF/USD, indicatif 243).</w:t>
      </w:r>
    </w:p>
    <w:p>
      <w:pPr>
        <w:pStyle w:val="Heading2"/>
      </w:pPr>
      <w:r>
        <w:rPr>
          <w:color w:val="1A3C6E"/>
        </w:rPr>
        <w:t>2.2 Marché secondaire — Afrique francophone 🌍</w:t>
      </w:r>
    </w:p>
    <w:p>
      <w:r>
        <w:t>Congo-Brazzaville, Cameroun, Côte d'Ivoire, Sénégal, Burkina Faso, Mali, Burundi, Rwanda (francophone).</w:t>
      </w:r>
    </w:p>
    <w:p>
      <w:r>
        <w:t>Estimation : +500 000 écoles privées et conventionnées dans la zone OHADA.</w:t>
      </w:r>
    </w:p>
    <w:p>
      <w:pPr>
        <w:pStyle w:val="Heading2"/>
      </w:pPr>
      <w:r>
        <w:rPr>
          <w:color w:val="1A3C6E"/>
        </w:rPr>
        <w:t>2.3 Persona clients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118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368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Motivation principale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Directeur d'école privée</w:t>
            </w:r>
          </w:p>
        </w:tc>
        <w:tc>
          <w:tcPr>
            <w:tcW w:type="dxa" w:w="311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200–1500 élèves, gestion papier/Excel</w:t>
            </w:r>
          </w:p>
        </w:tc>
        <w:tc>
          <w:tcPr>
            <w:tcW w:type="dxa" w:w="368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Moderniser, réduire les erreurs, gagner du temps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Réseau d'écoles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3–50 établissements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Centraliser, standardiser, piloter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ONG / Bailleur</w:t>
            </w:r>
          </w:p>
        </w:tc>
        <w:tc>
          <w:tcPr>
            <w:tcW w:type="dxa" w:w="311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Finance des écoles en zone rurale</w:t>
            </w:r>
          </w:p>
        </w:tc>
        <w:tc>
          <w:tcPr>
            <w:tcW w:type="dxa" w:w="368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Traçabilité financière, reporting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Ministère / Coordination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Supervision provinciale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Données agrégées, conformité MEPST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3. Modèle de Revenus</w:t>
      </w:r>
    </w:p>
    <w:p>
      <w:pPr>
        <w:pStyle w:val="Heading2"/>
      </w:pPr>
      <w:r>
        <w:rPr>
          <w:color w:val="1A3C6E"/>
        </w:rPr>
        <w:t>3.1 Forfaits École — Abonnement SaaS</w:t>
      </w:r>
    </w:p>
    <w:p>
      <w:r>
        <w:t>Le tarif est basé sur le nombre d'élèves inscrits, ce qui aligne le prix sur la taille réelle de l'école.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701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Élèves</w:t>
            </w:r>
          </w:p>
        </w:tc>
        <w:tc>
          <w:tcPr>
            <w:tcW w:type="dxa" w:w="1984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Prix/mois (USD)</w:t>
            </w:r>
          </w:p>
        </w:tc>
        <w:tc>
          <w:tcPr>
            <w:tcW w:type="dxa" w:w="1984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Prix/an (USD)</w:t>
            </w:r>
          </w:p>
        </w:tc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Modules inclus</w:t>
            </w:r>
          </w:p>
        </w:tc>
      </w:tr>
      <w:tr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Starter</w:t>
            </w:r>
          </w:p>
        </w:tc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 – 150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150 (−17%)</w:t>
            </w:r>
          </w:p>
        </w:tc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Inscription + Finances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Standard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151 – 500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35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360 (−14%)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Inscription + Finances + GRH</w:t>
            </w:r>
          </w:p>
        </w:tc>
      </w:tr>
      <w:tr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Premium</w:t>
            </w:r>
          </w:p>
        </w:tc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501 – 1 500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65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660 (−15%)</w:t>
            </w:r>
          </w:p>
        </w:tc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Tous les modules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Enterprise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1 500+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Sur devis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Sur devis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Tous + support dédié</w:t>
            </w:r>
          </w:p>
        </w:tc>
      </w:tr>
    </w:tbl>
    <w:p/>
    <w:p>
      <w:r>
        <w:rPr>
          <w:i/>
          <w:color w:val="2E6BA4"/>
          <w:sz w:val="18"/>
        </w:rPr>
        <w:t>💡 Facturation annuelle avec réduction de ~15% pour sécuriser le revenu récurrent et réduire le churn.</w:t>
      </w:r>
    </w:p>
    <w:p>
      <w:pPr>
        <w:pStyle w:val="Heading2"/>
      </w:pPr>
      <w:r>
        <w:rPr>
          <w:color w:val="1A3C6E"/>
        </w:rPr>
        <w:t>3.2 Forfait Réseau (multi-écoles)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Formule</w:t>
            </w:r>
          </w:p>
        </w:tc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Prix/école/mois</w:t>
            </w:r>
          </w:p>
        </w:tc>
        <w:tc>
          <w:tcPr>
            <w:tcW w:type="dxa" w:w="45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Avantage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 – 10 écoles</w:t>
            </w:r>
          </w:p>
        </w:tc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−20% sur le plan applicable</w:t>
            </w:r>
          </w:p>
        </w:tc>
        <w:tc>
          <w:tcPr>
            <w:tcW w:type="dxa" w:w="45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Console d'administration centralisée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11 – 50 écoles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−30% sur le plan applicable</w:t>
            </w:r>
          </w:p>
        </w:tc>
        <w:tc>
          <w:tcPr>
            <w:tcW w:type="dxa" w:w="45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API de reporting + account manager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50+ écoles</w:t>
            </w:r>
          </w:p>
        </w:tc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Sur mesure</w:t>
            </w:r>
          </w:p>
        </w:tc>
        <w:tc>
          <w:tcPr>
            <w:tcW w:type="dxa" w:w="45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Personnalisations, SLA garanti</w:t>
            </w:r>
          </w:p>
        </w:tc>
      </w:tr>
    </w:tbl>
    <w:p>
      <w:pPr>
        <w:pStyle w:val="Heading2"/>
      </w:pPr>
      <w:r>
        <w:rPr>
          <w:color w:val="1A3C6E"/>
        </w:rPr>
        <w:t>3.3 Modules complémentaires (Add-ons)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Add-on</w:t>
            </w:r>
          </w:p>
        </w:tc>
        <w:tc>
          <w:tcPr>
            <w:tcW w:type="dxa" w:w="1984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Prix/mois (USD)</w:t>
            </w:r>
          </w:p>
        </w:tc>
        <w:tc>
          <w:tcPr>
            <w:tcW w:type="dxa" w:w="4819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📲 WhatsApp Notifications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5 – 15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Envoi automatique des reçus de paiement aux parents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📖 Cours en ligne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10 – 25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E-learning : cours vidéo, chapitres, leçons, suivi de progression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📊 Comptabilité OHADA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10 – 20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Plan comptable, journaux, écritures automatiques, pièces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📱 Portail Parents/Élèves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5 – 10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Auto-inscription parents et élèves, suivi en temps réel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💬 Messagerie avancée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Communication direction, suivi de lecture, ciblage multi-niveaux</w:t>
            </w:r>
          </w:p>
        </w:tc>
      </w:tr>
    </w:tbl>
    <w:p>
      <w:pPr>
        <w:pStyle w:val="Heading2"/>
      </w:pPr>
      <w:r>
        <w:rPr>
          <w:color w:val="1A3C6E"/>
        </w:rPr>
        <w:t>3.4 Revenus complémentaires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Modèle</w:t>
            </w:r>
          </w:p>
        </w:tc>
        <w:tc>
          <w:tcPr>
            <w:tcW w:type="dxa" w:w="3969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Potentiel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Frais de mise en service</w:t>
            </w:r>
          </w:p>
        </w:tc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50 – 200 USD (one-time)</w:t>
            </w:r>
          </w:p>
        </w:tc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Configuration initiale, import de données, formation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Formation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20 – 50 USD/session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Webinaires, formation sur site, certification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Support prioritaire</w:t>
            </w:r>
          </w:p>
        </w:tc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10 – 30 USD/mois</w:t>
            </w:r>
          </w:p>
        </w:tc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Temps de réponse garanti &lt; 4h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Personnalisation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Sur devis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Modules sur mesure, intégrations spécifiques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API &amp; Intégrations</w:t>
            </w:r>
          </w:p>
        </w:tc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15 – 50 USD/mois</w:t>
            </w:r>
          </w:p>
        </w:tc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Connexion avec Mobile Money, services tiers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4. Projections Financières</w:t>
      </w:r>
    </w:p>
    <w:p>
      <w:pPr>
        <w:pStyle w:val="Heading2"/>
      </w:pPr>
      <w:r>
        <w:rPr>
          <w:color w:val="1A3C6E"/>
        </w:rPr>
        <w:t>4.1 Hypothèses de croissance (3 ans)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1984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Année 1</w:t>
            </w:r>
          </w:p>
        </w:tc>
        <w:tc>
          <w:tcPr>
            <w:tcW w:type="dxa" w:w="1984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Année 2</w:t>
            </w:r>
          </w:p>
        </w:tc>
        <w:tc>
          <w:tcPr>
            <w:tcW w:type="dxa" w:w="1984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Année 3</w:t>
            </w:r>
          </w:p>
        </w:tc>
      </w:tr>
      <w:tr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Écoles clientes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120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400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ARPU mensuel (revenu moyen/école)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35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45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55 USD</w:t>
            </w:r>
          </w:p>
        </w:tc>
      </w:tr>
      <w:tr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MRR (Monthly Recurring Revenue)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1 050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5 400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22 000 USD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ARR (Annual Recurring Revenue)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12 600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64 800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264 000 USD</w:t>
            </w:r>
          </w:p>
        </w:tc>
      </w:tr>
      <w:tr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Revenus services (setup + formation)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3 000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12 000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30 000 USD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Revenu total annuel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15 600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76 800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294 000 USD</w:t>
            </w:r>
          </w:p>
        </w:tc>
      </w:tr>
    </w:tbl>
    <w:p/>
    <w:p>
      <w:pPr>
        <w:pStyle w:val="Heading2"/>
      </w:pPr>
      <w:r>
        <w:rPr>
          <w:color w:val="1A3C6E"/>
        </w:rPr>
        <w:t>4.2 Coûts estimés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1984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Année 1</w:t>
            </w:r>
          </w:p>
        </w:tc>
        <w:tc>
          <w:tcPr>
            <w:tcW w:type="dxa" w:w="1984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Année 2</w:t>
            </w:r>
          </w:p>
        </w:tc>
        <w:tc>
          <w:tcPr>
            <w:tcW w:type="dxa" w:w="1984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Année 3</w:t>
            </w:r>
          </w:p>
        </w:tc>
      </w:tr>
      <w:tr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Hébergement cloud (VPS/AWS)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1 200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3 600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9 600 USD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Équipe dev (2 personnes)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7 200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14 400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28 800 USD</w:t>
            </w:r>
          </w:p>
        </w:tc>
      </w:tr>
      <w:tr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Commercial / Support (1-2 pers.)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3 600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9 600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19 200 USD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Marketing digital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1 200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4 800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12 000 USD</w:t>
            </w:r>
          </w:p>
        </w:tc>
      </w:tr>
      <w:tr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WhatsApp API (coûts variables)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600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2 400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7 200 USD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Divers (juridique, déplacements)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1 200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2 400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4 800 USD</w:t>
            </w:r>
          </w:p>
        </w:tc>
      </w:tr>
      <w:tr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Total coûts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15 000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37 200 USD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81 600 USD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Résultat net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+600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+39 600 USD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+212 400 USD</w:t>
            </w:r>
          </w:p>
        </w:tc>
      </w:tr>
      <w:tr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Marge nette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~4%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~52%</w:t>
            </w:r>
          </w:p>
        </w:tc>
        <w:tc>
          <w:tcPr>
            <w:tcW w:type="dxa" w:w="1984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~72%</w:t>
            </w:r>
          </w:p>
        </w:tc>
      </w:tr>
    </w:tbl>
    <w:p/>
    <w:p>
      <w:r>
        <w:rPr>
          <w:i/>
          <w:color w:val="2E6BA4"/>
          <w:sz w:val="18"/>
        </w:rPr>
        <w:t>📌 Les coûts sont estimés pour le contexte RDC (salaires locaux). L'atteinte du point mort est réaliste dès la fin de l'année 1 avec seulement ~30 écoles clientes.</w:t>
      </w:r>
    </w:p>
    <w:p>
      <w:r>
        <w:br w:type="page"/>
      </w:r>
    </w:p>
    <w:p>
      <w:pPr>
        <w:pStyle w:val="Heading1"/>
      </w:pPr>
      <w:r>
        <w:rPr>
          <w:color w:val="1A3C6E"/>
        </w:rPr>
        <w:t>5. Stratégie de Commercialisation</w:t>
      </w:r>
    </w:p>
    <w:p>
      <w:pPr>
        <w:pStyle w:val="Heading2"/>
      </w:pPr>
      <w:r>
        <w:rPr>
          <w:color w:val="1A3C6E"/>
        </w:rPr>
        <w:t>5.1 Phase 1 — Lancement (Mois 1–6)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370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Pilote gratuit</w:t>
            </w:r>
          </w:p>
        </w:tc>
        <w:tc>
          <w:tcPr>
            <w:tcW w:type="dxa" w:w="7370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5–10 écoles partenaires à Kinshasa, 3 mois gratuits en échange de feedback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Freemium limité</w:t>
            </w:r>
          </w:p>
        </w:tc>
        <w:tc>
          <w:tcPr>
            <w:tcW w:type="dxa" w:w="7370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Plan gratuit : 1 école, 50 élèves max, module Inscription seul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Démo en ligne</w:t>
            </w:r>
          </w:p>
        </w:tc>
        <w:tc>
          <w:tcPr>
            <w:tcW w:type="dxa" w:w="7370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Vidéo de démonstration sur le site + démo live sur rendez-vous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Présence terrain</w:t>
            </w:r>
          </w:p>
        </w:tc>
        <w:tc>
          <w:tcPr>
            <w:tcW w:type="dxa" w:w="7370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Visites directes dans les écoles privées, pitch aux directeurs</w:t>
            </w:r>
          </w:p>
        </w:tc>
      </w:tr>
    </w:tbl>
    <w:p>
      <w:pPr>
        <w:pStyle w:val="Heading2"/>
      </w:pPr>
      <w:r>
        <w:rPr>
          <w:color w:val="1A3C6E"/>
        </w:rPr>
        <w:t>5.2 Phase 2 — Expansion (Mois 7–18)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6803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Stratégie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Bouche-à-oreille</w:t>
            </w:r>
          </w:p>
        </w:tc>
        <w:tc>
          <w:tcPr>
            <w:tcW w:type="dxa" w:w="6803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Programme de parrainage : 1 mois offert par école référée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Réseaux sociaux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Facebook (dominant en RDC), WhatsApp Business, TikTok éducation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Partenariats stratégiques</w:t>
            </w:r>
          </w:p>
        </w:tc>
        <w:tc>
          <w:tcPr>
            <w:tcW w:type="dxa" w:w="6803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Coordinations d'écoles privées, associations de parents, EPSP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Agents commerciaux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Réseau de revendeurs/agents dans les grandes villes (Lubumbashi, Goma, Bukavu, Mbuji-Mayi)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Webinaires gratuits</w:t>
            </w:r>
          </w:p>
        </w:tc>
        <w:tc>
          <w:tcPr>
            <w:tcW w:type="dxa" w:w="6803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« Comment digitaliser la gestion de votre école en 1 semaine »</w:t>
            </w:r>
          </w:p>
        </w:tc>
      </w:tr>
    </w:tbl>
    <w:p>
      <w:pPr>
        <w:pStyle w:val="Heading2"/>
      </w:pPr>
      <w:r>
        <w:rPr>
          <w:color w:val="1A3C6E"/>
        </w:rPr>
        <w:t>5.3 Phase 3 — Régionalisation (Mois 19–36)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803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Expansion géographique</w:t>
            </w:r>
          </w:p>
        </w:tc>
        <w:tc>
          <w:tcPr>
            <w:tcW w:type="dxa" w:w="6803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Congo-Brazza, Cameroun, Côte d'Ivoire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Adaptation locale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Devises locales, formats de bulletin, réglementations</w:t>
            </w:r>
          </w:p>
        </w:tc>
      </w:tr>
      <w:tr>
        <w:tc>
          <w:tcPr>
            <w:tcW w:type="dxa" w:w="28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Marketplace de modules</w:t>
            </w:r>
          </w:p>
        </w:tc>
        <w:tc>
          <w:tcPr>
            <w:tcW w:type="dxa" w:w="6803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Modules communautaires créés par des développeurs tiers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Programme revendeurs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Commission 20% pour les intégrateurs locaux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6. Avantages Concurrentiels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Avantage</w:t>
            </w:r>
          </w:p>
        </w:tc>
        <w:tc>
          <w:tcPr>
            <w:tcW w:type="dxa" w:w="6236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40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Spécificité RDC</w:t>
            </w:r>
          </w:p>
        </w:tc>
        <w:tc>
          <w:tcPr>
            <w:tcW w:type="dxa" w:w="6236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Bulletins conformes MEPST, cycles maternelle → humanités, devises locales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Comptabilité OHADA intégrée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Pas besoin d'un logiciel comptable séparé</w:t>
            </w:r>
          </w:p>
        </w:tc>
      </w:tr>
      <w:tr>
        <w:tc>
          <w:tcPr>
            <w:tcW w:type="dxa" w:w="340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WhatsApp natif</w:t>
            </w:r>
          </w:p>
        </w:tc>
        <w:tc>
          <w:tcPr>
            <w:tcW w:type="dxa" w:w="6236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Reçus de paiement instantanés sur le canal #1 en RDC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Multi-devises avec taux de change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Gestion fluide CDF ↔ USD, réalité quotidienne des écoles congolaises</w:t>
            </w:r>
          </w:p>
        </w:tc>
      </w:tr>
      <w:tr>
        <w:tc>
          <w:tcPr>
            <w:tcW w:type="dxa" w:w="340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Tout-en-un</w:t>
            </w:r>
          </w:p>
        </w:tc>
        <w:tc>
          <w:tcPr>
            <w:tcW w:type="dxa" w:w="6236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Inscription + Finances + GRH + Pédagogie + Communication = 1 seul outil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E-learning intégré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Cours en ligne avec suivi de progression, rare chez les concurrents</w:t>
            </w:r>
          </w:p>
        </w:tc>
      </w:tr>
      <w:tr>
        <w:tc>
          <w:tcPr>
            <w:tcW w:type="dxa" w:w="340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Portails multi-profils</w:t>
            </w:r>
          </w:p>
        </w:tc>
        <w:tc>
          <w:tcPr>
            <w:tcW w:type="dxa" w:w="6236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Parents, élèves, enseignants : chacun a son accès dédié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7. Indicateurs Clés de Performance (KPIs)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type="dxa" w:w="4252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118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Objectif Année 1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Acquisition</w:t>
            </w:r>
          </w:p>
        </w:tc>
        <w:tc>
          <w:tcPr>
            <w:tcW w:type="dxa" w:w="425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Nombre d'écoles actives</w:t>
            </w:r>
          </w:p>
        </w:tc>
        <w:tc>
          <w:tcPr>
            <w:tcW w:type="dxa" w:w="311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30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Acquisition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Taux de conversion freemium → payant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&gt; 25%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Revenus</w:t>
            </w:r>
          </w:p>
        </w:tc>
        <w:tc>
          <w:tcPr>
            <w:tcW w:type="dxa" w:w="425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MRR en fin d'année</w:t>
            </w:r>
          </w:p>
        </w:tc>
        <w:tc>
          <w:tcPr>
            <w:tcW w:type="dxa" w:w="311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&gt; 1 000 USD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Revenus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ARPU (revenu moyen par école)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&gt; 35 USD/mois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Rétention</w:t>
            </w:r>
          </w:p>
        </w:tc>
        <w:tc>
          <w:tcPr>
            <w:tcW w:type="dxa" w:w="425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Taux de rétention annuel</w:t>
            </w:r>
          </w:p>
        </w:tc>
        <w:tc>
          <w:tcPr>
            <w:tcW w:type="dxa" w:w="311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&gt; 85%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Rétention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Churn mensuel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&lt; 3%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Engagement</w:t>
            </w:r>
          </w:p>
        </w:tc>
        <w:tc>
          <w:tcPr>
            <w:tcW w:type="dxa" w:w="425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NPS (Net Promoter Score)</w:t>
            </w:r>
          </w:p>
        </w:tc>
        <w:tc>
          <w:tcPr>
            <w:tcW w:type="dxa" w:w="311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&gt; 40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Opérations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Temps de déploiement d'une école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&lt; 48h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Opérations</w:t>
            </w:r>
          </w:p>
        </w:tc>
        <w:tc>
          <w:tcPr>
            <w:tcW w:type="dxa" w:w="425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Tickets support/mois/école</w:t>
            </w:r>
          </w:p>
        </w:tc>
        <w:tc>
          <w:tcPr>
            <w:tcW w:type="dxa" w:w="3118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&lt; 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8. Risques &amp; Mitigation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Risque</w:t>
            </w:r>
          </w:p>
        </w:tc>
        <w:tc>
          <w:tcPr>
            <w:tcW w:type="dxa" w:w="1701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Probabilité</w:t>
            </w:r>
          </w:p>
        </w:tc>
        <w:tc>
          <w:tcPr>
            <w:tcW w:type="dxa" w:w="1417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969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55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Faible connectivité Internet</w:t>
            </w:r>
          </w:p>
        </w:tc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Élevée</w:t>
            </w:r>
          </w:p>
        </w:tc>
        <w:tc>
          <w:tcPr>
            <w:tcW w:type="dxa" w:w="1417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Moyen</w:t>
            </w:r>
          </w:p>
        </w:tc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Mode hors-ligne progressif, PWA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Résistance au changement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Élevée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Fort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Formation gratuite, accompagnement terrain, pilote gratuit</w:t>
            </w:r>
          </w:p>
        </w:tc>
      </w:tr>
      <w:tr>
        <w:tc>
          <w:tcPr>
            <w:tcW w:type="dxa" w:w="255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Capacité de paiement</w:t>
            </w:r>
          </w:p>
        </w:tc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Moyenne</w:t>
            </w:r>
          </w:p>
        </w:tc>
        <w:tc>
          <w:tcPr>
            <w:tcW w:type="dxa" w:w="1417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Fort</w:t>
            </w:r>
          </w:p>
        </w:tc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Tarifs adaptés, paiement Mobile Money, facturation trimestrielle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Concurrence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Faible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Moyen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Spécialisation RDC, intégration OHADA unique</w:t>
            </w:r>
          </w:p>
        </w:tc>
      </w:tr>
      <w:tr>
        <w:tc>
          <w:tcPr>
            <w:tcW w:type="dxa" w:w="255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Réglementation données</w:t>
            </w:r>
          </w:p>
        </w:tc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Faible</w:t>
            </w:r>
          </w:p>
        </w:tc>
        <w:tc>
          <w:tcPr>
            <w:tcW w:type="dxa" w:w="1417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Fort</w:t>
            </w:r>
          </w:p>
        </w:tc>
        <w:tc>
          <w:tcPr>
            <w:tcW w:type="dxa" w:w="3969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Hébergement local possible, conformité RGPD/UA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9. Roadmap Produit (orientée monétisation)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Trimestre</w:t>
            </w:r>
          </w:p>
        </w:tc>
        <w:tc>
          <w:tcPr>
            <w:tcW w:type="dxa" w:w="4535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3402"/>
            <w:shd w:fill="1A3C6E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 revenus</w:t>
            </w:r>
          </w:p>
        </w:tc>
      </w:tr>
      <w:tr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Q1</w:t>
            </w:r>
          </w:p>
        </w:tc>
        <w:tc>
          <w:tcPr>
            <w:tcW w:type="dxa" w:w="45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Paiement Mobile Money intégré (M-Pesa, Airtel, Orange Money)</w:t>
            </w:r>
          </w:p>
        </w:tc>
        <w:tc>
          <w:tcPr>
            <w:tcW w:type="dxa" w:w="340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⭐⭐⭐⭐⭐ Réduit les barrières de paiement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Q2</w:t>
            </w:r>
          </w:p>
        </w:tc>
        <w:tc>
          <w:tcPr>
            <w:tcW w:type="dxa" w:w="45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Application mobile parents (PWA)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⭐⭐⭐⭐ Augmente la valeur perçue</w:t>
            </w:r>
          </w:p>
        </w:tc>
      </w:tr>
      <w:tr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Q2</w:t>
            </w:r>
          </w:p>
        </w:tc>
        <w:tc>
          <w:tcPr>
            <w:tcW w:type="dxa" w:w="45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Tableau de bord analytics / reporting</w:t>
            </w:r>
          </w:p>
        </w:tc>
        <w:tc>
          <w:tcPr>
            <w:tcW w:type="dxa" w:w="340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⭐⭐⭐⭐ Upsell Enterprise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Q3</w:t>
            </w:r>
          </w:p>
        </w:tc>
        <w:tc>
          <w:tcPr>
            <w:tcW w:type="dxa" w:w="45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API publique + webhooks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 Partenariats techniques</w:t>
            </w:r>
          </w:p>
        </w:tc>
      </w:tr>
      <w:tr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Q3</w:t>
            </w:r>
          </w:p>
        </w:tc>
        <w:tc>
          <w:tcPr>
            <w:tcW w:type="dxa" w:w="45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Multi-tenant SaaS (isolation par école)</w:t>
            </w:r>
          </w:p>
        </w:tc>
        <w:tc>
          <w:tcPr>
            <w:tcW w:type="dxa" w:w="340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⭐⭐⭐⭐⭐ Scalabilité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Q4</w:t>
            </w:r>
          </w:p>
        </w:tc>
        <w:tc>
          <w:tcPr>
            <w:tcW w:type="dxa" w:w="4535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Marketplace de modules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 Écosystème tiers</w:t>
            </w:r>
          </w:p>
        </w:tc>
      </w:tr>
      <w:tr>
        <w:tc>
          <w:tcPr>
            <w:tcW w:type="dxa" w:w="1701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Q4</w:t>
            </w:r>
          </w:p>
        </w:tc>
        <w:tc>
          <w:tcPr>
            <w:tcW w:type="dxa" w:w="4535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Intégration SMS (fallback WhatsApp)</w:t>
            </w:r>
          </w:p>
        </w:tc>
        <w:tc>
          <w:tcPr>
            <w:tcW w:type="dxa" w:w="3402"/>
            <w:shd w:fill="F2F2F2" w:val="clear"/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r/>
            <w:r>
              <w:rPr>
                <w:color w:val="333333"/>
                <w:sz w:val="18"/>
              </w:rPr>
              <w:t>⭐⭐⭐ Couverture zones sans Internet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10. Synthèse du Modèle Économique</w:t>
      </w:r>
    </w:p>
    <w:p/>
    <w:p>
      <w:pPr>
        <w:pStyle w:val="Heading2"/>
      </w:pPr>
      <w:r>
        <w:rPr>
          <w:color w:val="1A3C6E"/>
        </w:rPr>
        <w:t>Sources de revenus</w:t>
      </w:r>
    </w:p>
    <w:p>
      <w:pPr>
        <w:pStyle w:val="ListBullet"/>
      </w:pPr>
      <w:r>
        <w:rPr>
          <w:b/>
          <w:sz w:val="20"/>
        </w:rPr>
        <w:t>💰</w:t>
      </w:r>
      <w:r>
        <w:rPr>
          <w:sz w:val="20"/>
        </w:rPr>
        <w:t xml:space="preserve"> Abonnements SaaS — 70% des revenus</w:t>
      </w:r>
    </w:p>
    <w:p>
      <w:pPr>
        <w:pStyle w:val="ListBullet"/>
      </w:pPr>
      <w:r>
        <w:rPr>
          <w:b/>
          <w:sz w:val="20"/>
        </w:rPr>
        <w:t>🔌</w:t>
      </w:r>
      <w:r>
        <w:rPr>
          <w:sz w:val="20"/>
        </w:rPr>
        <w:t xml:space="preserve"> Add-ons modulaires — 15% des revenus</w:t>
      </w:r>
    </w:p>
    <w:p>
      <w:pPr>
        <w:pStyle w:val="ListBullet"/>
      </w:pPr>
      <w:r>
        <w:rPr>
          <w:b/>
          <w:sz w:val="20"/>
        </w:rPr>
        <w:t>🛠️</w:t>
      </w:r>
      <w:r>
        <w:rPr>
          <w:sz w:val="20"/>
        </w:rPr>
        <w:t xml:space="preserve"> Services (setup, formation, support) — 15% des revenus</w:t>
      </w:r>
    </w:p>
    <w:p/>
    <w:p>
      <w:pPr>
        <w:pStyle w:val="Heading2"/>
      </w:pPr>
      <w:r>
        <w:rPr>
          <w:color w:val="1A3C6E"/>
        </w:rPr>
        <w:t>Segments clients</w:t>
      </w:r>
    </w:p>
    <w:p>
      <w:pPr>
        <w:pStyle w:val="ListBullet"/>
      </w:pPr>
      <w:r>
        <w:rPr>
          <w:b/>
          <w:sz w:val="20"/>
        </w:rPr>
        <w:t>🏫</w:t>
      </w:r>
      <w:r>
        <w:rPr>
          <w:sz w:val="20"/>
        </w:rPr>
        <w:t xml:space="preserve"> Écoles privées (cible principale)</w:t>
      </w:r>
    </w:p>
    <w:p>
      <w:pPr>
        <w:pStyle w:val="ListBullet"/>
      </w:pPr>
      <w:r>
        <w:rPr>
          <w:b/>
          <w:sz w:val="20"/>
        </w:rPr>
        <w:t>🏢</w:t>
      </w:r>
      <w:r>
        <w:rPr>
          <w:sz w:val="20"/>
        </w:rPr>
        <w:t xml:space="preserve"> Réseaux d'écoles</w:t>
      </w:r>
    </w:p>
    <w:p>
      <w:pPr>
        <w:pStyle w:val="ListBullet"/>
      </w:pPr>
      <w:r>
        <w:rPr>
          <w:b/>
          <w:sz w:val="20"/>
        </w:rPr>
        <w:t>🏛️</w:t>
      </w:r>
      <w:r>
        <w:rPr>
          <w:sz w:val="20"/>
        </w:rPr>
        <w:t xml:space="preserve"> Institutions / ONG / Bailleurs</w:t>
      </w:r>
    </w:p>
    <w:p/>
    <w:p>
      <w:pPr>
        <w:pStyle w:val="Heading2"/>
      </w:pPr>
      <w:r>
        <w:rPr>
          <w:color w:val="1A3C6E"/>
        </w:rPr>
        <w:t>Points clés</w:t>
      </w:r>
    </w:p>
    <w:p>
      <w:pPr>
        <w:pStyle w:val="ListBullet"/>
      </w:pPr>
      <w:r>
        <w:rPr>
          <w:b/>
          <w:sz w:val="20"/>
        </w:rPr>
        <w:t>Revenu récurrent (SaaS) =</w:t>
      </w:r>
      <w:r>
        <w:rPr>
          <w:sz w:val="20"/>
        </w:rPr>
        <w:t xml:space="preserve"> stabilité et valorisation élevée</w:t>
      </w:r>
    </w:p>
    <w:p>
      <w:pPr>
        <w:pStyle w:val="ListBullet"/>
      </w:pPr>
      <w:r>
        <w:rPr>
          <w:b/>
          <w:sz w:val="20"/>
        </w:rPr>
        <w:t>Tarification par élève =</w:t>
      </w:r>
      <w:r>
        <w:rPr>
          <w:sz w:val="20"/>
        </w:rPr>
        <w:t xml:space="preserve"> prix proportionnel à la capacité de paiement</w:t>
      </w:r>
    </w:p>
    <w:p>
      <w:pPr>
        <w:pStyle w:val="ListBullet"/>
      </w:pPr>
      <w:r>
        <w:rPr>
          <w:b/>
          <w:sz w:val="20"/>
        </w:rPr>
        <w:t>Modules add-on =</w:t>
      </w:r>
      <w:r>
        <w:rPr>
          <w:sz w:val="20"/>
        </w:rPr>
        <w:t xml:space="preserve"> croissance du panier moyen sans friction</w:t>
      </w:r>
    </w:p>
    <w:p>
      <w:pPr>
        <w:pStyle w:val="ListBullet"/>
      </w:pPr>
      <w:r>
        <w:rPr>
          <w:b/>
          <w:sz w:val="20"/>
        </w:rPr>
        <w:t>Point mort à ~30 écoles =</w:t>
      </w:r>
      <w:r>
        <w:rPr>
          <w:sz w:val="20"/>
        </w:rPr>
        <w:t xml:space="preserve"> risque financier faible</w:t>
      </w:r>
    </w:p>
    <w:p>
      <w:pPr>
        <w:pStyle w:val="ListBullet"/>
      </w:pPr>
      <w:r>
        <w:rPr>
          <w:b/>
          <w:sz w:val="20"/>
        </w:rPr>
        <w:t>Marge nette 70%+ à l'échelle =</w:t>
      </w:r>
      <w:r>
        <w:rPr>
          <w:sz w:val="20"/>
        </w:rPr>
        <w:t xml:space="preserve"> modèle très rentable à moyen terme</w:t>
      </w:r>
    </w:p>
    <w:p/>
    <w:p/>
    <w:p>
      <w:pPr>
        <w:jc w:val="center"/>
      </w:pPr>
      <w:r>
        <w:rPr>
          <w:i/>
          <w:color w:val="AAAAAA"/>
          <w:sz w:val="20"/>
        </w:rPr>
        <w:t>— Digital School © 2026 — Document confidentiel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