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3213"/>
        <w:gridCol w:w="3213"/>
        <w:gridCol w:w="3213"/>
      </w:tblGrid>
      <w:tr>
        <w:tc>
          <w:tcPr>
            <w:tcW w:type="dxa" w:w="3402"/>
          </w:tcPr>
          <w:p>
            <w:pPr>
              <w:jc w:val="center"/>
            </w:pPr>
            <w:r>
              <w:drawing>
                <wp:inline xmlns:a="http://schemas.openxmlformats.org/drawingml/2006/main" xmlns:pic="http://schemas.openxmlformats.org/drawingml/2006/picture">
                  <wp:extent cx="1371600" cy="913507"/>
                  <wp:docPr id="1" name="Picture 1"/>
                  <wp:cNvGraphicFramePr>
                    <a:graphicFrameLocks noChangeAspect="1"/>
                  </wp:cNvGraphicFramePr>
                  <a:graphic>
                    <a:graphicData uri="http://schemas.openxmlformats.org/drawingml/2006/picture">
                      <pic:pic>
                        <pic:nvPicPr>
                          <pic:cNvPr id="0" name="logo-ntt.png"/>
                          <pic:cNvPicPr/>
                        </pic:nvPicPr>
                        <pic:blipFill>
                          <a:blip r:embed="rId9"/>
                          <a:stretch>
                            <a:fillRect/>
                          </a:stretch>
                        </pic:blipFill>
                        <pic:spPr>
                          <a:xfrm>
                            <a:off x="0" y="0"/>
                            <a:ext cx="1371600" cy="913507"/>
                          </a:xfrm>
                          <a:prstGeom prst="rect"/>
                        </pic:spPr>
                      </pic:pic>
                    </a:graphicData>
                  </a:graphic>
                </wp:inline>
              </w:drawing>
            </w:r>
          </w:p>
          <w:p>
            <w:pPr>
              <w:jc w:val="center"/>
            </w:pPr>
            <w:r>
              <w:rPr>
                <w:rFonts w:ascii="Calibri" w:hAnsi="Calibri" w:eastAsia="Calibri"/>
                <w:b/>
                <w:i w:val="0"/>
                <w:color w:val="0F172A"/>
                <w:sz w:val="20"/>
              </w:rPr>
              <w:t>NTT S.A.R.L</w:t>
            </w:r>
          </w:p>
          <w:p>
            <w:pPr>
              <w:jc w:val="center"/>
            </w:pPr>
            <w:r>
              <w:rPr>
                <w:rFonts w:ascii="Calibri" w:hAnsi="Calibri" w:eastAsia="Calibri"/>
                <w:b w:val="0"/>
                <w:i/>
                <w:color w:val="64748B"/>
                <w:sz w:val="16"/>
              </w:rPr>
              <w:t>Ntobu's Technology</w:t>
            </w:r>
          </w:p>
        </w:tc>
        <w:tc>
          <w:tcPr>
            <w:tcW w:type="dxa" w:w="2835"/>
          </w:tcPr>
          <w:p>
            <w:pPr>
              <w:jc w:val="center"/>
            </w:pPr>
            <w:r>
              <w:rPr>
                <w:rFonts w:ascii="Calibri" w:hAnsi="Calibri" w:eastAsia="Calibri"/>
                <w:b/>
                <w:i w:val="0"/>
                <w:color w:val="0077C5"/>
                <w:sz w:val="56"/>
              </w:rPr>
              <w:t>×</w:t>
            </w:r>
          </w:p>
        </w:tc>
        <w:tc>
          <w:tcPr>
            <w:tcW w:type="dxa" w:w="3402"/>
          </w:tcPr>
          <w:p>
            <w:pPr>
              <w:jc w:val="center"/>
            </w:pPr>
            <w:r>
              <w:drawing>
                <wp:inline xmlns:a="http://schemas.openxmlformats.org/drawingml/2006/main" xmlns:pic="http://schemas.openxmlformats.org/drawingml/2006/picture">
                  <wp:extent cx="1280160" cy="697587"/>
                  <wp:docPr id="2" name="Picture 2"/>
                  <wp:cNvGraphicFramePr>
                    <a:graphicFrameLocks noChangeAspect="1"/>
                  </wp:cNvGraphicFramePr>
                  <a:graphic>
                    <a:graphicData uri="http://schemas.openxmlformats.org/drawingml/2006/picture">
                      <pic:pic>
                        <pic:nvPicPr>
                          <pic:cNvPr id="0" name="logo-ds.png"/>
                          <pic:cNvPicPr/>
                        </pic:nvPicPr>
                        <pic:blipFill>
                          <a:blip r:embed="rId10"/>
                          <a:stretch>
                            <a:fillRect/>
                          </a:stretch>
                        </pic:blipFill>
                        <pic:spPr>
                          <a:xfrm>
                            <a:off x="0" y="0"/>
                            <a:ext cx="1280160" cy="697587"/>
                          </a:xfrm>
                          <a:prstGeom prst="rect"/>
                        </pic:spPr>
                      </pic:pic>
                    </a:graphicData>
                  </a:graphic>
                </wp:inline>
              </w:drawing>
            </w:r>
          </w:p>
          <w:p>
            <w:pPr>
              <w:jc w:val="center"/>
            </w:pPr>
            <w:r>
              <w:rPr>
                <w:rFonts w:ascii="Calibri" w:hAnsi="Calibri" w:eastAsia="Calibri"/>
                <w:b/>
                <w:i w:val="0"/>
                <w:color w:val="0077C5"/>
                <w:sz w:val="20"/>
              </w:rPr>
              <w:t>Digital School</w:t>
            </w:r>
          </w:p>
        </w:tc>
      </w:tr>
    </w:tbl>
    <w:p/>
    <w:p/>
    <w:tbl>
      <w:tblPr>
        <w:tblW w:type="auto" w:w="0"/>
        <w:tblLook w:firstColumn="1" w:firstRow="1" w:lastColumn="0" w:lastRow="0" w:noHBand="0" w:noVBand="1" w:val="04A0"/>
      </w:tblPr>
      <w:tblGrid>
        <w:gridCol w:w="9638"/>
      </w:tblGrid>
      <w:tr>
        <w:tc>
          <w:tcPr>
            <w:tcW w:type="dxa" w:w="9638"/>
            <w:shd w:fill="0077C5" w:val="clear"/>
            <w:tcMar>
              <w:top w:w="160" w:type="dxa"/>
              <w:left w:w="80" w:type="dxa"/>
              <w:bottom w:w="160" w:type="dxa"/>
              <w:right w:w="80" w:type="dxa"/>
            </w:tcMar>
          </w:tcPr>
          <w:p>
            <w:pPr>
              <w:jc w:val="center"/>
            </w:pPr>
            <w:r>
              <w:rPr>
                <w:rFonts w:ascii="Calibri" w:hAnsi="Calibri" w:eastAsia="Calibri"/>
                <w:b/>
                <w:i w:val="0"/>
                <w:color w:val="FFFFFF"/>
                <w:sz w:val="44"/>
              </w:rPr>
              <w:t>PROPOSITION FINANCIÈRE</w:t>
            </w:r>
          </w:p>
          <w:p>
            <w:pPr>
              <w:jc w:val="center"/>
            </w:pPr>
            <w:r>
              <w:rPr>
                <w:rFonts w:ascii="Calibri" w:hAnsi="Calibri" w:eastAsia="Calibri"/>
                <w:b/>
                <w:i w:val="0"/>
                <w:color w:val="FFFFFF"/>
                <w:sz w:val="26"/>
              </w:rPr>
              <w:t>Offre école  —  Cartes d’élève &amp; accès à la plateforme</w:t>
            </w:r>
          </w:p>
        </w:tc>
      </w:tr>
    </w:tbl>
    <w:p/>
    <w:p>
      <w:pPr>
        <w:spacing w:after="160"/>
        <w:jc w:val="center"/>
      </w:pPr>
      <w:r>
        <w:rPr>
          <w:rFonts w:ascii="Calibri" w:hAnsi="Calibri" w:eastAsia="Calibri"/>
          <w:b/>
          <w:i w:val="0"/>
          <w:color w:val="0077C5"/>
          <w:sz w:val="36"/>
        </w:rPr>
        <w:t>Digital School</w:t>
      </w:r>
    </w:p>
    <w:p>
      <w:pPr>
        <w:spacing w:after="160"/>
        <w:jc w:val="center"/>
      </w:pPr>
      <w:r>
        <w:rPr>
          <w:rFonts w:ascii="Calibri" w:hAnsi="Calibri" w:eastAsia="Calibri"/>
          <w:b w:val="0"/>
          <w:i/>
          <w:color w:val="64748B"/>
          <w:sz w:val="24"/>
        </w:rPr>
        <w:t>Plateforme de gestion scolaire intégrée</w:t>
      </w:r>
    </w:p>
    <w:p/>
    <w:tbl>
      <w:tblPr>
        <w:tblW w:type="auto" w:w="0"/>
        <w:jc w:val="center"/>
        <w:tblLook w:firstColumn="1" w:firstRow="1" w:lastColumn="0" w:lastRow="0" w:noHBand="0" w:noVBand="1" w:val="04A0"/>
      </w:tblPr>
      <w:tblGrid>
        <w:gridCol w:w="4819"/>
        <w:gridCol w:w="4819"/>
      </w:tblGrid>
      <w:tr>
        <w:tc>
          <w:tcPr>
            <w:tcW w:type="dxa" w:w="2835"/>
            <w:vAlign w:val="center"/>
            <w:tcMar>
              <w:top w:w="60" w:type="dxa"/>
              <w:left w:w="80" w:type="dxa"/>
              <w:bottom w:w="60" w:type="dxa"/>
              <w:right w:w="80" w:type="dxa"/>
            </w:tcMar>
            <w:shd w:fill="0F172A" w:val="clear"/>
          </w:tcPr>
          <w:p>
            <w:pPr>
              <w:spacing w:after="0" w:before="0"/>
            </w:pPr>
            <w:r>
              <w:rPr>
                <w:rFonts w:ascii="Calibri" w:hAnsi="Calibri" w:eastAsia="Calibri"/>
                <w:b/>
                <w:i w:val="0"/>
                <w:color w:val="FFFFFF"/>
                <w:sz w:val="20"/>
              </w:rPr>
              <w:t>Éditeur</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NTT S.A.R.L — Ntobu's Technology</w:t>
            </w:r>
          </w:p>
        </w:tc>
      </w:tr>
      <w:tr>
        <w:tc>
          <w:tcPr>
            <w:tcW w:type="dxa" w:w="283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Produit</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Digital School</w:t>
            </w:r>
          </w:p>
        </w:tc>
      </w:tr>
      <w:tr>
        <w:tc>
          <w:tcPr>
            <w:tcW w:type="dxa" w:w="2835"/>
            <w:vAlign w:val="center"/>
            <w:tcMar>
              <w:top w:w="60" w:type="dxa"/>
              <w:left w:w="80" w:type="dxa"/>
              <w:bottom w:w="60" w:type="dxa"/>
              <w:right w:w="80" w:type="dxa"/>
            </w:tcMar>
            <w:shd w:fill="0F172A" w:val="clear"/>
          </w:tcPr>
          <w:p>
            <w:pPr>
              <w:spacing w:after="0" w:before="0"/>
            </w:pPr>
            <w:r>
              <w:rPr>
                <w:rFonts w:ascii="Calibri" w:hAnsi="Calibri" w:eastAsia="Calibri"/>
                <w:b/>
                <w:i w:val="0"/>
                <w:color w:val="FFFFFF"/>
                <w:sz w:val="20"/>
              </w:rPr>
              <w:t>Destinataire</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Direction de l’établissement  [Nom de l’école]</w:t>
            </w:r>
          </w:p>
        </w:tc>
      </w:tr>
      <w:tr>
        <w:tc>
          <w:tcPr>
            <w:tcW w:type="dxa" w:w="283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Référence</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PROP-DS-2026-001</w:t>
            </w:r>
          </w:p>
        </w:tc>
      </w:tr>
      <w:tr>
        <w:tc>
          <w:tcPr>
            <w:tcW w:type="dxa" w:w="2835"/>
            <w:vAlign w:val="center"/>
            <w:tcMar>
              <w:top w:w="60" w:type="dxa"/>
              <w:left w:w="80" w:type="dxa"/>
              <w:bottom w:w="60" w:type="dxa"/>
              <w:right w:w="80" w:type="dxa"/>
            </w:tcMar>
            <w:shd w:fill="0F172A" w:val="clear"/>
          </w:tcPr>
          <w:p>
            <w:pPr>
              <w:spacing w:after="0" w:before="0"/>
            </w:pPr>
            <w:r>
              <w:rPr>
                <w:rFonts w:ascii="Calibri" w:hAnsi="Calibri" w:eastAsia="Calibri"/>
                <w:b/>
                <w:i w:val="0"/>
                <w:color w:val="FFFFFF"/>
                <w:sz w:val="20"/>
              </w:rPr>
              <w:t>Date</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Août 2026</w:t>
            </w:r>
          </w:p>
        </w:tc>
      </w:tr>
      <w:tr>
        <w:tc>
          <w:tcPr>
            <w:tcW w:type="dxa" w:w="283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Validité de l’offre</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90 jours à compter de la date du présent document</w:t>
            </w:r>
          </w:p>
        </w:tc>
      </w:tr>
      <w:tr>
        <w:tc>
          <w:tcPr>
            <w:tcW w:type="dxa" w:w="2835"/>
            <w:vAlign w:val="center"/>
            <w:tcMar>
              <w:top w:w="60" w:type="dxa"/>
              <w:left w:w="80" w:type="dxa"/>
              <w:bottom w:w="60" w:type="dxa"/>
              <w:right w:w="80" w:type="dxa"/>
            </w:tcMar>
            <w:shd w:fill="0F172A" w:val="clear"/>
          </w:tcPr>
          <w:p>
            <w:pPr>
              <w:spacing w:after="0" w:before="0"/>
            </w:pPr>
            <w:r>
              <w:rPr>
                <w:rFonts w:ascii="Calibri" w:hAnsi="Calibri" w:eastAsia="Calibri"/>
                <w:b/>
                <w:i w:val="0"/>
                <w:color w:val="FFFFFF"/>
                <w:sz w:val="20"/>
              </w:rPr>
              <w:t>Devise</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USD (dollars américains)</w:t>
            </w:r>
          </w:p>
        </w:tc>
      </w:tr>
      <w:tr>
        <w:tc>
          <w:tcPr>
            <w:tcW w:type="dxa" w:w="283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Classification</w:t>
            </w:r>
          </w:p>
        </w:tc>
        <w:tc>
          <w:tcPr>
            <w:tcW w:type="dxa" w:w="6520"/>
            <w:vAlign w:val="center"/>
            <w:tcMar>
              <w:top w:w="60" w:type="dxa"/>
              <w:left w:w="80" w:type="dxa"/>
              <w:bottom w:w="60" w:type="dxa"/>
              <w:right w:w="80" w:type="dxa"/>
            </w:tcMar>
            <w:shd w:fill="F8FAFC" w:val="clear"/>
          </w:tcPr>
          <w:p>
            <w:pPr>
              <w:spacing w:after="0" w:before="0"/>
            </w:pPr>
            <w:r>
              <w:rPr>
                <w:rFonts w:ascii="Calibri" w:hAnsi="Calibri" w:eastAsia="Calibri"/>
                <w:b w:val="0"/>
                <w:i w:val="0"/>
                <w:color w:val="0F172A"/>
                <w:sz w:val="20"/>
              </w:rPr>
              <w:t>Confidentiel — usage commercial</w:t>
            </w:r>
          </w:p>
        </w:tc>
      </w:tr>
    </w:tbl>
    <w:p/>
    <w:p>
      <w:pPr>
        <w:spacing w:after="160"/>
        <w:jc w:val="center"/>
      </w:pPr>
      <w:r>
        <w:rPr>
          <w:rFonts w:ascii="Calibri" w:hAnsi="Calibri" w:eastAsia="Calibri"/>
          <w:b w:val="0"/>
          <w:i/>
          <w:color w:val="64748B"/>
          <w:sz w:val="18"/>
        </w:rPr>
        <w:t>Document destiné à la direction, au promoteur et à la trésorerie de l’établissement.</w:t>
      </w:r>
    </w:p>
    <w:p>
      <w:r>
        <w:br w:type="page"/>
      </w:r>
    </w:p>
    <w:p>
      <w:pPr>
        <w:pStyle w:val="Heading1"/>
      </w:pPr>
      <w:r>
        <w:rPr>
          <w:rFonts w:ascii="Calibri" w:hAnsi="Calibri" w:eastAsia="Calibri"/>
          <w:b/>
          <w:i w:val="0"/>
          <w:color w:val="0F172A"/>
          <w:sz w:val="32"/>
        </w:rPr>
        <w:t>1. Objet de la proposition</w:t>
      </w:r>
    </w:p>
    <w:p>
      <w:pPr>
        <w:spacing w:after="160"/>
      </w:pPr>
      <w:r>
        <w:rPr>
          <w:rFonts w:ascii="Calibri" w:hAnsi="Calibri" w:eastAsia="Calibri"/>
          <w:b w:val="0"/>
          <w:i w:val="0"/>
          <w:color w:val="0F172A"/>
          <w:sz w:val="22"/>
        </w:rPr>
        <w:t>La présente proposition financière est adressée à votre établissement. Elle décrit les conditions commerciales d’accès à Digital School, la plateforme de gestion scolaire conçue par NTT S.A.R.L.</w:t>
      </w:r>
    </w:p>
    <w:p>
      <w:pPr>
        <w:spacing w:after="160"/>
      </w:pPr>
      <w:r>
        <w:rPr>
          <w:rFonts w:ascii="Calibri" w:hAnsi="Calibri" w:eastAsia="Calibri"/>
          <w:b w:val="0"/>
          <w:i w:val="0"/>
          <w:color w:val="0F172A"/>
          <w:sz w:val="22"/>
        </w:rPr>
        <w:t>Le principe est volontairement simple : l’école ne paie pas de licence logicielle, ni d’abonnement mensuel. Elle commande des cartes d’élève. Chaque carte ouvre le droit d’utiliser l’application pour cet élève, et donne à l’établissement l’accès à l’ensemble des modules.</w:t>
      </w:r>
    </w:p>
    <w:tbl>
      <w:tblPr>
        <w:tblW w:type="auto" w:w="0"/>
        <w:jc w:val="center"/>
        <w:tblLook w:firstColumn="1" w:firstRow="1" w:lastColumn="0" w:lastRow="0" w:noHBand="0" w:noVBand="1" w:val="04A0"/>
      </w:tblPr>
      <w:tblGrid>
        <w:gridCol w:w="9638"/>
      </w:tblGrid>
      <w:tr>
        <w:tc>
          <w:tcPr>
            <w:tcW w:type="dxa" w:w="9638"/>
            <w:shd w:fill="0077C5" w:val="clear"/>
            <w:tcMar>
              <w:top w:w="140" w:type="dxa"/>
              <w:left w:w="160" w:type="dxa"/>
              <w:bottom w:w="140" w:type="dxa"/>
              <w:right w:w="160" w:type="dxa"/>
            </w:tcMar>
          </w:tcPr>
          <w:p>
            <w:pPr>
              <w:jc w:val="center"/>
            </w:pPr>
            <w:r>
              <w:rPr>
                <w:rFonts w:ascii="Calibri" w:hAnsi="Calibri" w:eastAsia="Calibri"/>
                <w:b/>
                <w:i w:val="0"/>
                <w:color w:val="FFFFFF"/>
                <w:sz w:val="36"/>
              </w:rPr>
              <w:t>20 USD  ·  par élève  ·  par année scolaire</w:t>
            </w:r>
          </w:p>
          <w:p>
            <w:pPr>
              <w:jc w:val="center"/>
            </w:pPr>
            <w:r>
              <w:rPr>
                <w:rFonts w:ascii="Calibri" w:hAnsi="Calibri" w:eastAsia="Calibri"/>
                <w:b w:val="0"/>
                <w:i/>
                <w:color w:val="FFFFFF"/>
                <w:sz w:val="22"/>
              </w:rPr>
              <w:t>Une carte d’élève = l’accès complet à Digital School pour l’établissement</w:t>
            </w:r>
          </w:p>
        </w:tc>
      </w:tr>
    </w:tbl>
    <w:p/>
    <w:p>
      <w:pPr>
        <w:pStyle w:val="Heading1"/>
      </w:pPr>
      <w:r>
        <w:rPr>
          <w:rFonts w:ascii="Calibri" w:hAnsi="Calibri" w:eastAsia="Calibri"/>
          <w:b/>
          <w:i w:val="0"/>
          <w:color w:val="0F172A"/>
          <w:sz w:val="32"/>
        </w:rPr>
        <w:t>2. Principe de l’offre</w:t>
      </w:r>
    </w:p>
    <w:p>
      <w:pPr>
        <w:pStyle w:val="Heading2"/>
      </w:pPr>
      <w:r>
        <w:rPr>
          <w:rFonts w:ascii="Calibri" w:hAnsi="Calibri" w:eastAsia="Calibri"/>
          <w:b/>
          <w:i w:val="0"/>
          <w:color w:val="0077C5"/>
          <w:sz w:val="26"/>
        </w:rPr>
        <w:t>2.1 Une carte, un élève, une année</w:t>
      </w:r>
    </w:p>
    <w:p>
      <w:pPr>
        <w:spacing w:after="160"/>
      </w:pPr>
      <w:r>
        <w:rPr>
          <w:rFonts w:ascii="Calibri" w:hAnsi="Calibri" w:eastAsia="Calibri"/>
          <w:b w:val="0"/>
          <w:i w:val="0"/>
          <w:color w:val="0F172A"/>
          <w:sz w:val="22"/>
        </w:rPr>
        <w:t>Pour chaque élève inscrit, l’école commande une carte Digital School au tarif unique de 20 USD. Cette carte vaut pour l’année scolaire en cours.</w:t>
      </w:r>
    </w:p>
    <w:p>
      <w:pPr>
        <w:pStyle w:val="ListBullet"/>
        <w:spacing w:after="60"/>
      </w:pPr>
      <w:r>
        <w:rPr>
          <w:rFonts w:ascii="Calibri" w:hAnsi="Calibri" w:eastAsia="Calibri"/>
          <w:b w:val="0"/>
          <w:i w:val="0"/>
          <w:color w:val="0F172A"/>
          <w:sz w:val="22"/>
        </w:rPr>
        <w:t>1 carte = 1 élève = 1 année scolaire.</w:t>
      </w:r>
    </w:p>
    <w:p>
      <w:pPr>
        <w:pStyle w:val="ListBullet"/>
        <w:spacing w:after="60"/>
      </w:pPr>
      <w:r>
        <w:rPr>
          <w:rFonts w:ascii="Calibri" w:hAnsi="Calibri" w:eastAsia="Calibri"/>
          <w:b w:val="0"/>
          <w:i w:val="0"/>
          <w:color w:val="0F172A"/>
          <w:sz w:val="22"/>
        </w:rPr>
        <w:t>Pas de frais d’installation, pas de licence, pas d’abonnement caché.</w:t>
      </w:r>
    </w:p>
    <w:p>
      <w:pPr>
        <w:pStyle w:val="ListBullet"/>
        <w:spacing w:after="60"/>
      </w:pPr>
      <w:r>
        <w:rPr>
          <w:rFonts w:ascii="Calibri" w:hAnsi="Calibri" w:eastAsia="Calibri"/>
          <w:b w:val="0"/>
          <w:i w:val="0"/>
          <w:color w:val="0F172A"/>
          <w:sz w:val="22"/>
        </w:rPr>
        <w:t>Les comptes direction, caisse, enseignants et parents sont illimités et inclus.</w:t>
      </w:r>
    </w:p>
    <w:p>
      <w:pPr>
        <w:pStyle w:val="ListBullet"/>
        <w:spacing w:after="60"/>
      </w:pPr>
      <w:r>
        <w:rPr>
          <w:rFonts w:ascii="Calibri" w:hAnsi="Calibri" w:eastAsia="Calibri"/>
          <w:b w:val="0"/>
          <w:i w:val="0"/>
          <w:color w:val="0F172A"/>
          <w:sz w:val="22"/>
        </w:rPr>
        <w:t>Tous les modules de Digital School sont ouverts dès la première commande.</w:t>
      </w:r>
    </w:p>
    <w:p>
      <w:pPr>
        <w:pStyle w:val="ListBullet"/>
        <w:spacing w:after="60"/>
      </w:pPr>
      <w:r>
        <w:rPr>
          <w:rFonts w:ascii="Calibri" w:hAnsi="Calibri" w:eastAsia="Calibri"/>
          <w:b w:val="0"/>
          <w:i w:val="0"/>
          <w:color w:val="0F172A"/>
          <w:sz w:val="22"/>
        </w:rPr>
        <w:t>Les nouveaux élèves en cours d’année font l’objet d’une commande complémentaire au même tarif.</w:t>
      </w:r>
    </w:p>
    <w:p>
      <w:pPr>
        <w:pStyle w:val="Heading2"/>
      </w:pPr>
      <w:r>
        <w:rPr>
          <w:rFonts w:ascii="Calibri" w:hAnsi="Calibri" w:eastAsia="Calibri"/>
          <w:b/>
          <w:i w:val="0"/>
          <w:color w:val="0077C5"/>
          <w:sz w:val="26"/>
        </w:rPr>
        <w:t>2.2 Pourquoi ce modèle convient aux écoles</w:t>
      </w:r>
    </w:p>
    <w:p>
      <w:pPr>
        <w:spacing w:after="160"/>
      </w:pPr>
      <w:r>
        <w:rPr>
          <w:rFonts w:ascii="Calibri" w:hAnsi="Calibri" w:eastAsia="Calibri"/>
          <w:b w:val="0"/>
          <w:i w:val="0"/>
          <w:color w:val="0F172A"/>
          <w:sz w:val="22"/>
        </w:rPr>
        <w:t>Les établissements facturent déjà une carte scolaire aux parents. Avec Digital School, cette carte devient à la fois badge d’identification et droit d’accès à un outil complet de gestion.</w:t>
      </w:r>
    </w:p>
    <w:tbl>
      <w:tblPr>
        <w:tblW w:type="auto" w:w="0"/>
        <w:jc w:val="center"/>
        <w:tblLook w:firstColumn="1" w:firstRow="1" w:lastColumn="0" w:lastRow="0" w:noHBand="0" w:noVBand="1" w:val="04A0"/>
      </w:tblPr>
      <w:tblGrid>
        <w:gridCol w:w="9638"/>
      </w:tblGrid>
      <w:tr>
        <w:tc>
          <w:tcPr>
            <w:tcW w:type="dxa" w:w="9638"/>
            <w:shd w:fill="DCFCE7" w:val="clear"/>
            <w:tcMar>
              <w:top w:w="100" w:type="dxa"/>
              <w:left w:w="140" w:type="dxa"/>
              <w:bottom w:w="100" w:type="dxa"/>
              <w:right w:w="140" w:type="dxa"/>
            </w:tcMar>
          </w:tcPr>
          <w:p>
            <w:r>
              <w:rPr>
                <w:rFonts w:ascii="Calibri" w:hAnsi="Calibri" w:eastAsia="Calibri"/>
                <w:b/>
                <w:i w:val="0"/>
                <w:color w:val="0077C5"/>
                <w:sz w:val="22"/>
              </w:rPr>
              <w:t>Coût net possible pour l’école : 0 USD</w:t>
            </w:r>
          </w:p>
          <w:p>
            <w:r>
              <w:rPr>
                <w:rFonts w:ascii="Calibri" w:hAnsi="Calibri" w:eastAsia="Calibri"/>
                <w:b w:val="0"/>
                <w:i w:val="0"/>
                <w:color w:val="0F172A"/>
                <w:sz w:val="22"/>
              </w:rPr>
              <w:t>Si l’établissement répercute les 20 USD aux parents au titre de la carte d’élève (pratique déjà courante), l’école n’engage aucun budget informatique. Elle obtient les cartes physiques et l’usage de toute la plateforme.</w:t>
            </w:r>
          </w:p>
        </w:tc>
      </w:tr>
    </w:tbl>
    <w:p/>
    <w:p>
      <w:pPr>
        <w:pStyle w:val="Heading2"/>
      </w:pPr>
      <w:r>
        <w:rPr>
          <w:rFonts w:ascii="Calibri" w:hAnsi="Calibri" w:eastAsia="Calibri"/>
          <w:b/>
          <w:i w:val="0"/>
          <w:color w:val="0077C5"/>
          <w:sz w:val="26"/>
        </w:rPr>
        <w:t>2.3 Équivalent journalier</w:t>
      </w:r>
    </w:p>
    <w:p>
      <w:pPr>
        <w:spacing w:after="160"/>
      </w:pPr>
      <w:r>
        <w:rPr>
          <w:rFonts w:ascii="Calibri" w:hAnsi="Calibri" w:eastAsia="Calibri"/>
          <w:b w:val="0"/>
          <w:i w:val="0"/>
          <w:color w:val="0F172A"/>
          <w:sz w:val="22"/>
        </w:rPr>
        <w:t>20 USD sur une année scolaire, c’est environ 1,67 USD par mois et par élève, soit moins de 0,07 USD par jour. Un montant inférieur au prix d’un transport ou d’une photocopie de devoir, pour un outil utilisé toute l’année par la direction, la caisse, les enseignants et les parents.</w:t>
      </w:r>
    </w:p>
    <w:p>
      <w:pPr>
        <w:pStyle w:val="Heading1"/>
      </w:pPr>
      <w:r>
        <w:rPr>
          <w:rFonts w:ascii="Calibri" w:hAnsi="Calibri" w:eastAsia="Calibri"/>
          <w:b/>
          <w:i w:val="0"/>
          <w:color w:val="0F172A"/>
          <w:sz w:val="32"/>
        </w:rPr>
        <w:t>3. Ce qui est inclus dans les 20 USD</w:t>
      </w:r>
    </w:p>
    <w:p>
      <w:pPr>
        <w:spacing w:after="160"/>
      </w:pPr>
      <w:r>
        <w:rPr>
          <w:rFonts w:ascii="Calibri" w:hAnsi="Calibri" w:eastAsia="Calibri"/>
          <w:b w:val="0"/>
          <w:i w:val="0"/>
          <w:color w:val="0F172A"/>
          <w:sz w:val="22"/>
        </w:rPr>
        <w:t>Le tarif de 20 USD par élève couvre à la fois le support physique et le droit d’usage logiciel. Rien n’est facturé à part pour « ouvrir » un module.</w:t>
      </w:r>
    </w:p>
    <w:p>
      <w:pPr>
        <w:pStyle w:val="Heading2"/>
      </w:pPr>
      <w:r>
        <w:rPr>
          <w:rFonts w:ascii="Calibri" w:hAnsi="Calibri" w:eastAsia="Calibri"/>
          <w:b/>
          <w:i w:val="0"/>
          <w:color w:val="0077C5"/>
          <w:sz w:val="26"/>
        </w:rPr>
        <w:t>3.1 La carte d’élève</w:t>
      </w:r>
    </w:p>
    <w:p>
      <w:pPr>
        <w:pStyle w:val="ListBullet"/>
        <w:spacing w:after="60"/>
      </w:pPr>
      <w:r>
        <w:rPr>
          <w:rFonts w:ascii="Calibri" w:hAnsi="Calibri" w:eastAsia="Calibri"/>
          <w:b w:val="0"/>
          <w:i w:val="0"/>
          <w:color w:val="0F172A"/>
          <w:sz w:val="22"/>
        </w:rPr>
        <w:t>Carte nominative de l’année scolaire (identité, classe, matricule).</w:t>
      </w:r>
    </w:p>
    <w:p>
      <w:pPr>
        <w:pStyle w:val="ListBullet"/>
        <w:spacing w:after="60"/>
      </w:pPr>
      <w:r>
        <w:rPr>
          <w:rFonts w:ascii="Calibri" w:hAnsi="Calibri" w:eastAsia="Calibri"/>
          <w:b w:val="0"/>
          <w:i w:val="0"/>
          <w:color w:val="0F172A"/>
          <w:sz w:val="22"/>
        </w:rPr>
        <w:t>Photo de l’élève, nom de l’établissement, année en cours.</w:t>
      </w:r>
    </w:p>
    <w:p>
      <w:pPr>
        <w:pStyle w:val="ListBullet"/>
        <w:spacing w:after="60"/>
      </w:pPr>
      <w:r>
        <w:rPr>
          <w:rFonts w:ascii="Calibri" w:hAnsi="Calibri" w:eastAsia="Calibri"/>
          <w:b w:val="0"/>
          <w:i w:val="0"/>
          <w:color w:val="0F172A"/>
          <w:sz w:val="22"/>
        </w:rPr>
        <w:t>Code visuel (QR) rattaché au dossier Digital School.</w:t>
      </w:r>
    </w:p>
    <w:p>
      <w:pPr>
        <w:pStyle w:val="ListBullet"/>
        <w:spacing w:after="60"/>
      </w:pPr>
      <w:r>
        <w:rPr>
          <w:rFonts w:ascii="Calibri" w:hAnsi="Calibri" w:eastAsia="Calibri"/>
          <w:b w:val="0"/>
          <w:i w:val="0"/>
          <w:color w:val="0F172A"/>
          <w:sz w:val="22"/>
        </w:rPr>
        <w:t>Support durable, adapté au port quotidien (contrôle d’accès, examens, caisse).</w:t>
      </w:r>
    </w:p>
    <w:p>
      <w:pPr>
        <w:pStyle w:val="Heading2"/>
      </w:pPr>
      <w:r>
        <w:rPr>
          <w:rFonts w:ascii="Calibri" w:hAnsi="Calibri" w:eastAsia="Calibri"/>
          <w:b/>
          <w:i w:val="0"/>
          <w:color w:val="0077C5"/>
          <w:sz w:val="26"/>
        </w:rPr>
        <w:t>3.2 La plateforme Digital School — tous les modules</w:t>
      </w:r>
    </w:p>
    <w:tbl>
      <w:tblPr>
        <w:tblStyle w:val="TableGrid"/>
        <w:tblW w:type="auto" w:w="0"/>
        <w:jc w:val="center"/>
        <w:tblLook w:firstColumn="1" w:firstRow="1" w:lastColumn="0" w:lastRow="0" w:noHBand="0" w:noVBand="1" w:val="04A0"/>
      </w:tblPr>
      <w:tblGrid>
        <w:gridCol w:w="4819"/>
        <w:gridCol w:w="4819"/>
      </w:tblGrid>
      <w:tr>
        <w:trPr>
          <w:cantSplit/>
        </w:trPr>
        <w:tc>
          <w:tcPr>
            <w:tcW w:type="dxa" w:w="2551"/>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Module</w:t>
            </w:r>
          </w:p>
        </w:tc>
        <w:tc>
          <w:tcPr>
            <w:tcW w:type="dxa" w:w="7087"/>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Ce que l’école peut faire</w:t>
            </w:r>
          </w:p>
        </w:tc>
      </w:tr>
      <w:tr>
        <w:trPr>
          <w:cantSplit/>
        </w:trPr>
        <w:tc>
          <w:tcPr>
            <w:tcW w:type="dxa" w:w="2551"/>
            <w:vAlign w:val="center"/>
            <w:tcMar>
              <w:top w:w="60" w:type="dxa"/>
              <w:left w:w="80" w:type="dxa"/>
              <w:bottom w:w="60" w:type="dxa"/>
              <w:right w:w="80" w:type="dxa"/>
            </w:tcMar>
          </w:tcPr>
          <w:p>
            <w:pPr>
              <w:spacing w:after="0" w:before="0"/>
            </w:pPr>
            <w:r>
              <w:rPr>
                <w:rFonts w:ascii="Calibri" w:hAnsi="Calibri" w:eastAsia="Calibri"/>
                <w:b/>
                <w:i w:val="0"/>
                <w:color w:val="0F172A"/>
                <w:sz w:val="20"/>
              </w:rPr>
              <w:t>Inscriptions</w:t>
            </w:r>
          </w:p>
        </w:tc>
        <w:tc>
          <w:tcPr>
            <w:tcW w:type="dxa" w:w="7087"/>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Élèves, tuteurs, classes, sections, cycles, inscriptions annuelles, capacité des salles.</w:t>
            </w:r>
          </w:p>
        </w:tc>
      </w:tr>
      <w:tr>
        <w:trPr>
          <w:cantSplit/>
        </w:trPr>
        <w:tc>
          <w:tcPr>
            <w:tcW w:type="dxa" w:w="255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Finances</w:t>
            </w:r>
          </w:p>
        </w:tc>
        <w:tc>
          <w:tcPr>
            <w:tcW w:type="dxa" w:w="7087"/>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Frais et minerval, encaissements CDF/USD, taux de change, reçus, WhatsApp, comptabilité OHADA.</w:t>
            </w:r>
          </w:p>
        </w:tc>
      </w:tr>
      <w:tr>
        <w:trPr>
          <w:cantSplit/>
        </w:trPr>
        <w:tc>
          <w:tcPr>
            <w:tcW w:type="dxa" w:w="2551"/>
            <w:vAlign w:val="center"/>
            <w:tcMar>
              <w:top w:w="60" w:type="dxa"/>
              <w:left w:w="80" w:type="dxa"/>
              <w:bottom w:w="60" w:type="dxa"/>
              <w:right w:w="80" w:type="dxa"/>
            </w:tcMar>
          </w:tcPr>
          <w:p>
            <w:pPr>
              <w:spacing w:after="0" w:before="0"/>
            </w:pPr>
            <w:r>
              <w:rPr>
                <w:rFonts w:ascii="Calibri" w:hAnsi="Calibri" w:eastAsia="Calibri"/>
                <w:b/>
                <w:i w:val="0"/>
                <w:color w:val="0F172A"/>
                <w:sz w:val="20"/>
              </w:rPr>
              <w:t>Pédagogie</w:t>
            </w:r>
          </w:p>
        </w:tc>
        <w:tc>
          <w:tcPr>
            <w:tcW w:type="dxa" w:w="7087"/>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Matières, notes, travaux, bulletins modèle RDC, présences, cours en ligne et visioconférence.</w:t>
            </w:r>
          </w:p>
        </w:tc>
      </w:tr>
      <w:tr>
        <w:trPr>
          <w:cantSplit/>
        </w:trPr>
        <w:tc>
          <w:tcPr>
            <w:tcW w:type="dxa" w:w="255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GRH &amp; paie</w:t>
            </w:r>
          </w:p>
        </w:tc>
        <w:tc>
          <w:tcPr>
            <w:tcW w:type="dxa" w:w="7087"/>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Personnel, contrats, congés, pointage, salaires, fiches de paie.</w:t>
            </w:r>
          </w:p>
        </w:tc>
      </w:tr>
      <w:tr>
        <w:trPr>
          <w:cantSplit/>
        </w:trPr>
        <w:tc>
          <w:tcPr>
            <w:tcW w:type="dxa" w:w="2551"/>
            <w:vAlign w:val="center"/>
            <w:tcMar>
              <w:top w:w="60" w:type="dxa"/>
              <w:left w:w="80" w:type="dxa"/>
              <w:bottom w:w="60" w:type="dxa"/>
              <w:right w:w="80" w:type="dxa"/>
            </w:tcMar>
          </w:tcPr>
          <w:p>
            <w:pPr>
              <w:spacing w:after="0" w:before="0"/>
            </w:pPr>
            <w:r>
              <w:rPr>
                <w:rFonts w:ascii="Calibri" w:hAnsi="Calibri" w:eastAsia="Calibri"/>
                <w:b/>
                <w:i w:val="0"/>
                <w:color w:val="0F172A"/>
                <w:sz w:val="20"/>
              </w:rPr>
              <w:t>Portails</w:t>
            </w:r>
          </w:p>
        </w:tc>
        <w:tc>
          <w:tcPr>
            <w:tcW w:type="dxa" w:w="7087"/>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Espaces direction, caisse, enseignant, parent et élève — chacun voit ce qui le concerne.</w:t>
            </w:r>
          </w:p>
        </w:tc>
      </w:tr>
      <w:tr>
        <w:trPr>
          <w:cantSplit/>
        </w:trPr>
        <w:tc>
          <w:tcPr>
            <w:tcW w:type="dxa" w:w="255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Communication</w:t>
            </w:r>
          </w:p>
        </w:tc>
        <w:tc>
          <w:tcPr>
            <w:tcW w:type="dxa" w:w="7087"/>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Messagerie, annonces par classe ou par école, suivi de lecture.</w:t>
            </w:r>
          </w:p>
        </w:tc>
      </w:tr>
    </w:tbl>
    <w:p/>
    <w:p>
      <w:pPr>
        <w:pStyle w:val="Heading2"/>
      </w:pPr>
      <w:r>
        <w:rPr>
          <w:rFonts w:ascii="Calibri" w:hAnsi="Calibri" w:eastAsia="Calibri"/>
          <w:b/>
          <w:i w:val="0"/>
          <w:color w:val="0077C5"/>
          <w:sz w:val="26"/>
        </w:rPr>
        <w:t>3.3 Services d’accompagnement inclus</w:t>
      </w:r>
    </w:p>
    <w:p>
      <w:pPr>
        <w:pStyle w:val="ListBullet"/>
        <w:spacing w:after="60"/>
      </w:pPr>
      <w:r>
        <w:rPr>
          <w:rFonts w:ascii="Calibri" w:hAnsi="Calibri" w:eastAsia="Calibri"/>
          <w:b w:val="0"/>
          <w:i w:val="0"/>
          <w:color w:val="0F172A"/>
          <w:sz w:val="22"/>
        </w:rPr>
        <w:t>Mise en service de l’école sur la plateforme (compte établissement, rôles, année scolaire).</w:t>
      </w:r>
    </w:p>
    <w:p>
      <w:pPr>
        <w:pStyle w:val="ListBullet"/>
        <w:spacing w:after="60"/>
      </w:pPr>
      <w:r>
        <w:rPr>
          <w:rFonts w:ascii="Calibri" w:hAnsi="Calibri" w:eastAsia="Calibri"/>
          <w:b w:val="0"/>
          <w:i w:val="0"/>
          <w:color w:val="0F172A"/>
          <w:sz w:val="22"/>
        </w:rPr>
        <w:t>Hébergement, sauvegardes et mises à jour de Digital School pendant l’année couverte par les cartes.</w:t>
      </w:r>
    </w:p>
    <w:p>
      <w:pPr>
        <w:pStyle w:val="ListBullet"/>
        <w:spacing w:after="60"/>
      </w:pPr>
      <w:r>
        <w:rPr>
          <w:rFonts w:ascii="Calibri" w:hAnsi="Calibri" w:eastAsia="Calibri"/>
          <w:b w:val="0"/>
          <w:i w:val="0"/>
          <w:color w:val="0F172A"/>
          <w:sz w:val="22"/>
        </w:rPr>
        <w:t>Formation initiale : 1 session pour la direction / la caisse, 1 session pour les enseignants.</w:t>
      </w:r>
    </w:p>
    <w:p>
      <w:pPr>
        <w:pStyle w:val="ListBullet"/>
        <w:spacing w:after="60"/>
      </w:pPr>
      <w:r>
        <w:rPr>
          <w:rFonts w:ascii="Calibri" w:hAnsi="Calibri" w:eastAsia="Calibri"/>
          <w:b w:val="0"/>
          <w:i w:val="0"/>
          <w:color w:val="0F172A"/>
          <w:sz w:val="22"/>
        </w:rPr>
        <w:t>Support de base (e-mail / WhatsApp) pendant toute l’année scolaire.</w:t>
      </w:r>
    </w:p>
    <w:p>
      <w:pPr>
        <w:pStyle w:val="ListBullet"/>
        <w:spacing w:after="60"/>
      </w:pPr>
      <w:r>
        <w:rPr>
          <w:rFonts w:ascii="Calibri" w:hAnsi="Calibri" w:eastAsia="Calibri"/>
          <w:b w:val="0"/>
          <w:i w:val="0"/>
          <w:color w:val="0F172A"/>
          <w:sz w:val="22"/>
        </w:rPr>
        <w:t>Comptes utilisateurs illimités (personnel, parents, élèves porteurs de carte).</w:t>
      </w:r>
    </w:p>
    <w:p>
      <w:pPr>
        <w:pStyle w:val="Heading1"/>
      </w:pPr>
      <w:r>
        <w:rPr>
          <w:rFonts w:ascii="Calibri" w:hAnsi="Calibri" w:eastAsia="Calibri"/>
          <w:b/>
          <w:i w:val="0"/>
          <w:color w:val="0F172A"/>
          <w:sz w:val="32"/>
        </w:rPr>
        <w:t>4. Simulations financières</w:t>
      </w:r>
    </w:p>
    <w:p>
      <w:pPr>
        <w:spacing w:after="160"/>
      </w:pPr>
      <w:r>
        <w:rPr>
          <w:rFonts w:ascii="Calibri" w:hAnsi="Calibri" w:eastAsia="Calibri"/>
          <w:b w:val="0"/>
          <w:i w:val="0"/>
          <w:color w:val="0F172A"/>
          <w:sz w:val="22"/>
        </w:rPr>
        <w:t>Le montant dû est uniquement le nombre d’élèves × 20 USD. Les tableaux ci-dessous permettent à la direction de situer l’engagement selon la taille réelle de l’établissement.</w:t>
      </w:r>
    </w:p>
    <w:p>
      <w:pPr>
        <w:pStyle w:val="Heading2"/>
      </w:pPr>
      <w:r>
        <w:rPr>
          <w:rFonts w:ascii="Calibri" w:hAnsi="Calibri" w:eastAsia="Calibri"/>
          <w:b/>
          <w:i w:val="0"/>
          <w:color w:val="0077C5"/>
          <w:sz w:val="26"/>
        </w:rPr>
        <w:t>4.1 Barème selon l’effectif</w:t>
      </w:r>
    </w:p>
    <w:tbl>
      <w:tblPr>
        <w:tblStyle w:val="TableGrid"/>
        <w:tblW w:type="auto" w:w="0"/>
        <w:jc w:val="center"/>
        <w:tblLook w:firstColumn="1" w:firstRow="1" w:lastColumn="0" w:lastRow="0" w:noHBand="0" w:noVBand="1" w:val="04A0"/>
      </w:tblPr>
      <w:tblGrid>
        <w:gridCol w:w="2409"/>
        <w:gridCol w:w="2409"/>
        <w:gridCol w:w="2409"/>
        <w:gridCol w:w="2409"/>
      </w:tblGrid>
      <w:tr>
        <w:trPr>
          <w:cantSplit/>
        </w:trPr>
        <w:tc>
          <w:tcPr>
            <w:tcW w:type="dxa" w:w="2381"/>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Effectif élèves</w:t>
            </w:r>
          </w:p>
        </w:tc>
        <w:tc>
          <w:tcPr>
            <w:tcW w:type="dxa" w:w="2381"/>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Cartes à commander</w:t>
            </w:r>
          </w:p>
        </w:tc>
        <w:tc>
          <w:tcPr>
            <w:tcW w:type="dxa" w:w="2551"/>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Montant année (USD)</w:t>
            </w:r>
          </w:p>
        </w:tc>
        <w:tc>
          <w:tcPr>
            <w:tcW w:type="dxa" w:w="2324"/>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Soit / mois / élève</w:t>
            </w:r>
          </w:p>
        </w:tc>
      </w:tr>
      <w:tr>
        <w:trPr>
          <w:cantSplit/>
        </w:trPr>
        <w:tc>
          <w:tcPr>
            <w:tcW w:type="dxa" w:w="2381"/>
            <w:vAlign w:val="center"/>
            <w:tcMar>
              <w:top w:w="60" w:type="dxa"/>
              <w:left w:w="80" w:type="dxa"/>
              <w:bottom w:w="60" w:type="dxa"/>
              <w:right w:w="80" w:type="dxa"/>
            </w:tcMar>
          </w:tcPr>
          <w:p>
            <w:pPr>
              <w:spacing w:after="0" w:before="0"/>
            </w:pPr>
            <w:r>
              <w:rPr>
                <w:rFonts w:ascii="Calibri" w:hAnsi="Calibri" w:eastAsia="Calibri"/>
                <w:b/>
                <w:i w:val="0"/>
                <w:color w:val="0F172A"/>
                <w:sz w:val="20"/>
              </w:rPr>
              <w:t>50 élèves</w:t>
            </w:r>
          </w:p>
        </w:tc>
        <w:tc>
          <w:tcPr>
            <w:tcW w:type="dxa" w:w="238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50</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1 000</w:t>
            </w:r>
          </w:p>
        </w:tc>
        <w:tc>
          <w:tcPr>
            <w:tcW w:type="dxa" w:w="2324"/>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100 élèves</w:t>
            </w:r>
          </w:p>
        </w:tc>
        <w:tc>
          <w:tcPr>
            <w:tcW w:type="dxa" w:w="238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100</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2 000</w:t>
            </w:r>
          </w:p>
        </w:tc>
        <w:tc>
          <w:tcPr>
            <w:tcW w:type="dxa" w:w="2324"/>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tcPr>
          <w:p>
            <w:pPr>
              <w:spacing w:after="0" w:before="0"/>
            </w:pPr>
            <w:r>
              <w:rPr>
                <w:rFonts w:ascii="Calibri" w:hAnsi="Calibri" w:eastAsia="Calibri"/>
                <w:b/>
                <w:i w:val="0"/>
                <w:color w:val="0F172A"/>
                <w:sz w:val="20"/>
              </w:rPr>
              <w:t>150 élèves</w:t>
            </w:r>
          </w:p>
        </w:tc>
        <w:tc>
          <w:tcPr>
            <w:tcW w:type="dxa" w:w="238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150</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3 000</w:t>
            </w:r>
          </w:p>
        </w:tc>
        <w:tc>
          <w:tcPr>
            <w:tcW w:type="dxa" w:w="2324"/>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200 élèves</w:t>
            </w:r>
          </w:p>
        </w:tc>
        <w:tc>
          <w:tcPr>
            <w:tcW w:type="dxa" w:w="238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200</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4 000</w:t>
            </w:r>
          </w:p>
        </w:tc>
        <w:tc>
          <w:tcPr>
            <w:tcW w:type="dxa" w:w="2324"/>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tcPr>
          <w:p>
            <w:pPr>
              <w:spacing w:after="0" w:before="0"/>
            </w:pPr>
            <w:r>
              <w:rPr>
                <w:rFonts w:ascii="Calibri" w:hAnsi="Calibri" w:eastAsia="Calibri"/>
                <w:b/>
                <w:i w:val="0"/>
                <w:color w:val="0F172A"/>
                <w:sz w:val="20"/>
              </w:rPr>
              <w:t>300 élèves</w:t>
            </w:r>
          </w:p>
        </w:tc>
        <w:tc>
          <w:tcPr>
            <w:tcW w:type="dxa" w:w="238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300</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6 000</w:t>
            </w:r>
          </w:p>
        </w:tc>
        <w:tc>
          <w:tcPr>
            <w:tcW w:type="dxa" w:w="2324"/>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400 élèves</w:t>
            </w:r>
          </w:p>
        </w:tc>
        <w:tc>
          <w:tcPr>
            <w:tcW w:type="dxa" w:w="238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400</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8 000</w:t>
            </w:r>
          </w:p>
        </w:tc>
        <w:tc>
          <w:tcPr>
            <w:tcW w:type="dxa" w:w="2324"/>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tcPr>
          <w:p>
            <w:pPr>
              <w:spacing w:after="0" w:before="0"/>
            </w:pPr>
            <w:r>
              <w:rPr>
                <w:rFonts w:ascii="Calibri" w:hAnsi="Calibri" w:eastAsia="Calibri"/>
                <w:b/>
                <w:i w:val="0"/>
                <w:color w:val="0F172A"/>
                <w:sz w:val="20"/>
              </w:rPr>
              <w:t>500 élèves</w:t>
            </w:r>
          </w:p>
        </w:tc>
        <w:tc>
          <w:tcPr>
            <w:tcW w:type="dxa" w:w="238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500</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10 000</w:t>
            </w:r>
          </w:p>
        </w:tc>
        <w:tc>
          <w:tcPr>
            <w:tcW w:type="dxa" w:w="2324"/>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800 élèves</w:t>
            </w:r>
          </w:p>
        </w:tc>
        <w:tc>
          <w:tcPr>
            <w:tcW w:type="dxa" w:w="238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800</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16 000</w:t>
            </w:r>
          </w:p>
        </w:tc>
        <w:tc>
          <w:tcPr>
            <w:tcW w:type="dxa" w:w="2324"/>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tcPr>
          <w:p>
            <w:pPr>
              <w:spacing w:after="0" w:before="0"/>
            </w:pPr>
            <w:r>
              <w:rPr>
                <w:rFonts w:ascii="Calibri" w:hAnsi="Calibri" w:eastAsia="Calibri"/>
                <w:b/>
                <w:i w:val="0"/>
                <w:color w:val="0F172A"/>
                <w:sz w:val="20"/>
              </w:rPr>
              <w:t>1 000 élèves</w:t>
            </w:r>
          </w:p>
        </w:tc>
        <w:tc>
          <w:tcPr>
            <w:tcW w:type="dxa" w:w="238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1 000</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20 000</w:t>
            </w:r>
          </w:p>
        </w:tc>
        <w:tc>
          <w:tcPr>
            <w:tcW w:type="dxa" w:w="2324"/>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1,67 USD</w:t>
            </w:r>
          </w:p>
        </w:tc>
      </w:tr>
      <w:tr>
        <w:trPr>
          <w:cantSplit/>
        </w:trPr>
        <w:tc>
          <w:tcPr>
            <w:tcW w:type="dxa" w:w="2381"/>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1 500 élèves</w:t>
            </w:r>
          </w:p>
        </w:tc>
        <w:tc>
          <w:tcPr>
            <w:tcW w:type="dxa" w:w="238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1 500</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30 000</w:t>
            </w:r>
          </w:p>
        </w:tc>
        <w:tc>
          <w:tcPr>
            <w:tcW w:type="dxa" w:w="2324"/>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1,67 USD</w:t>
            </w:r>
          </w:p>
        </w:tc>
      </w:tr>
    </w:tbl>
    <w:p/>
    <w:p>
      <w:pPr>
        <w:spacing w:after="160"/>
      </w:pPr>
      <w:r>
        <w:rPr>
          <w:rFonts w:ascii="Calibri" w:hAnsi="Calibri" w:eastAsia="Calibri"/>
          <w:b w:val="0"/>
          <w:i/>
          <w:color w:val="64748B"/>
          <w:sz w:val="20"/>
        </w:rPr>
        <w:t>Formule : montant = nombre d’élèves inscrits × 20 USD. Aucun palier, aucune surprise au-delà de ce calcul.</w:t>
      </w:r>
    </w:p>
    <w:p>
      <w:pPr>
        <w:pStyle w:val="Heading2"/>
      </w:pPr>
      <w:r>
        <w:rPr>
          <w:rFonts w:ascii="Calibri" w:hAnsi="Calibri" w:eastAsia="Calibri"/>
          <w:b/>
          <w:i w:val="0"/>
          <w:color w:val="0077C5"/>
          <w:sz w:val="26"/>
        </w:rPr>
        <w:t>4.2 Exemple chiffré — école de 400 élèves</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402"/>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Poste</w:t>
            </w:r>
          </w:p>
        </w:tc>
        <w:tc>
          <w:tcPr>
            <w:tcW w:type="dxa" w:w="3685"/>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Détail</w:t>
            </w:r>
          </w:p>
        </w:tc>
        <w:tc>
          <w:tcPr>
            <w:tcW w:type="dxa" w:w="2551"/>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Montant</w:t>
            </w:r>
          </w:p>
        </w:tc>
      </w:tr>
      <w:tr>
        <w:trPr>
          <w:cantSplit/>
        </w:trPr>
        <w:tc>
          <w:tcPr>
            <w:tcW w:type="dxa" w:w="3402"/>
            <w:vAlign w:val="center"/>
            <w:tcMar>
              <w:top w:w="60" w:type="dxa"/>
              <w:left w:w="80" w:type="dxa"/>
              <w:bottom w:w="60" w:type="dxa"/>
              <w:right w:w="80" w:type="dxa"/>
            </w:tcMar>
          </w:tcPr>
          <w:p>
            <w:pPr>
              <w:spacing w:after="0" w:before="0"/>
            </w:pPr>
            <w:r>
              <w:rPr>
                <w:rFonts w:ascii="Calibri" w:hAnsi="Calibri" w:eastAsia="Calibri"/>
                <w:b/>
                <w:i w:val="0"/>
                <w:color w:val="0F172A"/>
                <w:sz w:val="20"/>
              </w:rPr>
              <w:t>Commande de cartes</w:t>
            </w:r>
          </w:p>
        </w:tc>
        <w:tc>
          <w:tcPr>
            <w:tcW w:type="dxa" w:w="3685"/>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400 élèves × 20 USD</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8 000 USD</w:t>
            </w:r>
          </w:p>
        </w:tc>
      </w:tr>
      <w:tr>
        <w:trPr>
          <w:cantSplit/>
        </w:trPr>
        <w:tc>
          <w:tcPr>
            <w:tcW w:type="dxa" w:w="3402"/>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Licence logiciel</w:t>
            </w:r>
          </w:p>
        </w:tc>
        <w:tc>
          <w:tcPr>
            <w:tcW w:type="dxa" w:w="3685"/>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Incluse</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0 USD</w:t>
            </w:r>
          </w:p>
        </w:tc>
      </w:tr>
      <w:tr>
        <w:trPr>
          <w:cantSplit/>
        </w:trPr>
        <w:tc>
          <w:tcPr>
            <w:tcW w:type="dxa" w:w="3402"/>
            <w:vAlign w:val="center"/>
            <w:tcMar>
              <w:top w:w="60" w:type="dxa"/>
              <w:left w:w="80" w:type="dxa"/>
              <w:bottom w:w="60" w:type="dxa"/>
              <w:right w:w="80" w:type="dxa"/>
            </w:tcMar>
          </w:tcPr>
          <w:p>
            <w:pPr>
              <w:spacing w:after="0" w:before="0"/>
            </w:pPr>
            <w:r>
              <w:rPr>
                <w:rFonts w:ascii="Calibri" w:hAnsi="Calibri" w:eastAsia="Calibri"/>
                <w:b/>
                <w:i w:val="0"/>
                <w:color w:val="0F172A"/>
                <w:sz w:val="20"/>
              </w:rPr>
              <w:t>Hébergement &amp; mises à jour</w:t>
            </w:r>
          </w:p>
        </w:tc>
        <w:tc>
          <w:tcPr>
            <w:tcW w:type="dxa" w:w="3685"/>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Inclus pour l’année</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0 USD</w:t>
            </w:r>
          </w:p>
        </w:tc>
      </w:tr>
      <w:tr>
        <w:trPr>
          <w:cantSplit/>
        </w:trPr>
        <w:tc>
          <w:tcPr>
            <w:tcW w:type="dxa" w:w="3402"/>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Comptes enseignants / parents</w:t>
            </w:r>
          </w:p>
        </w:tc>
        <w:tc>
          <w:tcPr>
            <w:tcW w:type="dxa" w:w="3685"/>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Illimités</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0 USD</w:t>
            </w:r>
          </w:p>
        </w:tc>
      </w:tr>
      <w:tr>
        <w:trPr>
          <w:cantSplit/>
        </w:trPr>
        <w:tc>
          <w:tcPr>
            <w:tcW w:type="dxa" w:w="3402"/>
            <w:vAlign w:val="center"/>
            <w:tcMar>
              <w:top w:w="60" w:type="dxa"/>
              <w:left w:w="80" w:type="dxa"/>
              <w:bottom w:w="60" w:type="dxa"/>
              <w:right w:w="80" w:type="dxa"/>
            </w:tcMar>
          </w:tcPr>
          <w:p>
            <w:pPr>
              <w:spacing w:after="0" w:before="0"/>
            </w:pPr>
            <w:r>
              <w:rPr>
                <w:rFonts w:ascii="Calibri" w:hAnsi="Calibri" w:eastAsia="Calibri"/>
                <w:b/>
                <w:i w:val="0"/>
                <w:color w:val="0F172A"/>
                <w:sz w:val="20"/>
              </w:rPr>
              <w:t>Formation initiale</w:t>
            </w:r>
          </w:p>
        </w:tc>
        <w:tc>
          <w:tcPr>
            <w:tcW w:type="dxa" w:w="3685"/>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2 sessions incluses</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0 USD</w:t>
            </w:r>
          </w:p>
        </w:tc>
      </w:tr>
      <w:tr>
        <w:trPr>
          <w:cantSplit/>
        </w:trPr>
        <w:tc>
          <w:tcPr>
            <w:tcW w:type="dxa" w:w="3402"/>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Total dû à NTT S.A.R.L</w:t>
            </w:r>
          </w:p>
        </w:tc>
        <w:tc>
          <w:tcPr>
            <w:tcW w:type="dxa" w:w="3685"/>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Pour l’année scolaire</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8 000 USD</w:t>
            </w:r>
          </w:p>
        </w:tc>
      </w:tr>
      <w:tr>
        <w:trPr>
          <w:cantSplit/>
        </w:trPr>
        <w:tc>
          <w:tcPr>
            <w:tcW w:type="dxa" w:w="3402"/>
            <w:vAlign w:val="center"/>
            <w:tcMar>
              <w:top w:w="60" w:type="dxa"/>
              <w:left w:w="80" w:type="dxa"/>
              <w:bottom w:w="60" w:type="dxa"/>
              <w:right w:w="80" w:type="dxa"/>
            </w:tcMar>
          </w:tcPr>
          <w:p>
            <w:pPr>
              <w:spacing w:after="0" w:before="0"/>
            </w:pPr>
            <w:r>
              <w:rPr>
                <w:rFonts w:ascii="Calibri" w:hAnsi="Calibri" w:eastAsia="Calibri"/>
                <w:b/>
                <w:i w:val="0"/>
                <w:color w:val="0F172A"/>
                <w:sz w:val="20"/>
              </w:rPr>
              <w:t>Si répercuté aux parents (20 USD/carte)</w:t>
            </w:r>
          </w:p>
        </w:tc>
        <w:tc>
          <w:tcPr>
            <w:tcW w:type="dxa" w:w="3685"/>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400 × 20 USD encaissés</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8 000 USD</w:t>
            </w:r>
          </w:p>
        </w:tc>
      </w:tr>
      <w:tr>
        <w:trPr>
          <w:cantSplit/>
        </w:trPr>
        <w:tc>
          <w:tcPr>
            <w:tcW w:type="dxa" w:w="3402"/>
            <w:vAlign w:val="center"/>
            <w:tcMar>
              <w:top w:w="60" w:type="dxa"/>
              <w:left w:w="80" w:type="dxa"/>
              <w:bottom w:w="60" w:type="dxa"/>
              <w:right w:w="80" w:type="dxa"/>
            </w:tcMar>
            <w:shd w:fill="DCFCE7" w:val="clear"/>
          </w:tcPr>
          <w:p>
            <w:pPr>
              <w:spacing w:after="0" w:before="0"/>
            </w:pPr>
            <w:r>
              <w:rPr>
                <w:rFonts w:ascii="Calibri" w:hAnsi="Calibri" w:eastAsia="Calibri"/>
                <w:b/>
                <w:i w:val="0"/>
                <w:color w:val="0F172A"/>
                <w:sz w:val="20"/>
              </w:rPr>
              <w:t>Coût net pour l’école</w:t>
            </w:r>
          </w:p>
        </w:tc>
        <w:tc>
          <w:tcPr>
            <w:tcW w:type="dxa" w:w="3685"/>
            <w:vAlign w:val="center"/>
            <w:tcMar>
              <w:top w:w="60" w:type="dxa"/>
              <w:left w:w="80" w:type="dxa"/>
              <w:bottom w:w="60" w:type="dxa"/>
              <w:right w:w="80" w:type="dxa"/>
            </w:tcMar>
            <w:shd w:fill="DCFCE7" w:val="clear"/>
          </w:tcPr>
          <w:p>
            <w:pPr>
              <w:spacing w:after="0" w:before="0"/>
              <w:jc w:val="center"/>
            </w:pPr>
            <w:r>
              <w:rPr>
                <w:rFonts w:ascii="Calibri" w:hAnsi="Calibri" w:eastAsia="Calibri"/>
                <w:b/>
                <w:i w:val="0"/>
                <w:color w:val="0F172A"/>
                <w:sz w:val="20"/>
              </w:rPr>
              <w:t>Cartes + logiciel complets</w:t>
            </w:r>
          </w:p>
        </w:tc>
        <w:tc>
          <w:tcPr>
            <w:tcW w:type="dxa" w:w="2551"/>
            <w:vAlign w:val="center"/>
            <w:tcMar>
              <w:top w:w="60" w:type="dxa"/>
              <w:left w:w="80" w:type="dxa"/>
              <w:bottom w:w="60" w:type="dxa"/>
              <w:right w:w="80" w:type="dxa"/>
            </w:tcMar>
            <w:shd w:fill="DCFCE7" w:val="clear"/>
          </w:tcPr>
          <w:p>
            <w:pPr>
              <w:spacing w:after="0" w:before="0"/>
              <w:jc w:val="center"/>
            </w:pPr>
            <w:r>
              <w:rPr>
                <w:rFonts w:ascii="Calibri" w:hAnsi="Calibri" w:eastAsia="Calibri"/>
                <w:b/>
                <w:i w:val="0"/>
                <w:color w:val="166534"/>
                <w:sz w:val="20"/>
              </w:rPr>
              <w:t>0 USD</w:t>
            </w:r>
          </w:p>
        </w:tc>
      </w:tr>
    </w:tbl>
    <w:p/>
    <w:p>
      <w:pPr>
        <w:pStyle w:val="Heading2"/>
      </w:pPr>
      <w:r>
        <w:rPr>
          <w:rFonts w:ascii="Calibri" w:hAnsi="Calibri" w:eastAsia="Calibri"/>
          <w:b/>
          <w:i w:val="0"/>
          <w:color w:val="0077C5"/>
          <w:sz w:val="26"/>
        </w:rPr>
        <w:t>4.3 Lecture pour le promoteur et la trésorerie</w:t>
      </w:r>
    </w:p>
    <w:p>
      <w:pPr>
        <w:pStyle w:val="ListBullet"/>
        <w:spacing w:after="60"/>
      </w:pPr>
      <w:r>
        <w:rPr>
          <w:rFonts w:ascii="Calibri" w:hAnsi="Calibri" w:eastAsia="Calibri"/>
          <w:b w:val="0"/>
          <w:i w:val="0"/>
          <w:color w:val="0F172A"/>
          <w:sz w:val="22"/>
        </w:rPr>
        <w:t>Le prix suit l’effectif réel : une petite école paie moins qu’une grande.</w:t>
      </w:r>
    </w:p>
    <w:p>
      <w:pPr>
        <w:pStyle w:val="ListBullet"/>
        <w:spacing w:after="60"/>
      </w:pPr>
      <w:r>
        <w:rPr>
          <w:rFonts w:ascii="Calibri" w:hAnsi="Calibri" w:eastAsia="Calibri"/>
          <w:b w:val="0"/>
          <w:i w:val="0"/>
          <w:color w:val="0F172A"/>
          <w:sz w:val="22"/>
        </w:rPr>
        <w:t>Pas d’engagement pluriannuel obligatoire : on recommande chaque année scolaire.</w:t>
      </w:r>
    </w:p>
    <w:p>
      <w:pPr>
        <w:pStyle w:val="ListBullet"/>
        <w:spacing w:after="60"/>
      </w:pPr>
      <w:r>
        <w:rPr>
          <w:rFonts w:ascii="Calibri" w:hAnsi="Calibri" w:eastAsia="Calibri"/>
          <w:b w:val="0"/>
          <w:i w:val="0"/>
          <w:color w:val="0F172A"/>
          <w:sz w:val="22"/>
        </w:rPr>
        <w:t>La trésorerie peut intégrer les 20 USD dans les frais d’inscription ou les facturer comme « carte scolaire ».</w:t>
      </w:r>
    </w:p>
    <w:p>
      <w:pPr>
        <w:pStyle w:val="ListBullet"/>
        <w:spacing w:after="60"/>
      </w:pPr>
      <w:r>
        <w:rPr>
          <w:rFonts w:ascii="Calibri" w:hAnsi="Calibri" w:eastAsia="Calibri"/>
          <w:b w:val="0"/>
          <w:i w:val="0"/>
          <w:color w:val="0F172A"/>
          <w:sz w:val="22"/>
        </w:rPr>
        <w:t>Les élèves arrivés en cours d’année s’ajoutent au prorata des cartes commandées (tarif plein 20 USD, pas de découpe mensuelle).</w:t>
      </w:r>
    </w:p>
    <w:p>
      <w:pPr>
        <w:pStyle w:val="Heading1"/>
      </w:pPr>
      <w:r>
        <w:rPr>
          <w:rFonts w:ascii="Calibri" w:hAnsi="Calibri" w:eastAsia="Calibri"/>
          <w:b/>
          <w:i w:val="0"/>
          <w:color w:val="0F172A"/>
          <w:sz w:val="32"/>
        </w:rPr>
        <w:t>5. Prestations hors offre de base</w:t>
      </w:r>
    </w:p>
    <w:p>
      <w:pPr>
        <w:spacing w:after="160"/>
      </w:pPr>
      <w:r>
        <w:rPr>
          <w:rFonts w:ascii="Calibri" w:hAnsi="Calibri" w:eastAsia="Calibri"/>
          <w:b w:val="0"/>
          <w:i w:val="0"/>
          <w:color w:val="0F172A"/>
          <w:sz w:val="22"/>
        </w:rPr>
        <w:t>Tout ce qui suit est facultatif. L’école peut fonctionner sans ces lignes. Elles ne conditionnent pas l’accès à Digital School.</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685"/>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Prestation</w:t>
            </w:r>
          </w:p>
        </w:tc>
        <w:tc>
          <w:tcPr>
            <w:tcW w:type="dxa" w:w="2551"/>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Tarif indicatif</w:t>
            </w:r>
          </w:p>
        </w:tc>
        <w:tc>
          <w:tcPr>
            <w:tcW w:type="dxa" w:w="3402"/>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Quand y recourir</w:t>
            </w:r>
          </w:p>
        </w:tc>
      </w:tr>
      <w:tr>
        <w:trPr>
          <w:cantSplit/>
        </w:trPr>
        <w:tc>
          <w:tcPr>
            <w:tcW w:type="dxa" w:w="3685"/>
            <w:vAlign w:val="center"/>
            <w:tcMar>
              <w:top w:w="60" w:type="dxa"/>
              <w:left w:w="80" w:type="dxa"/>
              <w:bottom w:w="60" w:type="dxa"/>
              <w:right w:w="80" w:type="dxa"/>
            </w:tcMar>
          </w:tcPr>
          <w:p>
            <w:pPr>
              <w:spacing w:after="0" w:before="0"/>
            </w:pPr>
            <w:r>
              <w:rPr>
                <w:rFonts w:ascii="Calibri" w:hAnsi="Calibri" w:eastAsia="Calibri"/>
                <w:b/>
                <w:i w:val="0"/>
                <w:color w:val="0F172A"/>
                <w:sz w:val="20"/>
              </w:rPr>
              <w:t>Duplicata de carte (perte, détérioration)</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10 USD / carte</w:t>
            </w:r>
          </w:p>
        </w:tc>
        <w:tc>
          <w:tcPr>
            <w:tcW w:type="dxa" w:w="34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Élève déjà inscrit, carte à réimprimer.</w:t>
            </w:r>
          </w:p>
        </w:tc>
      </w:tr>
      <w:tr>
        <w:trPr>
          <w:cantSplit/>
        </w:trPr>
        <w:tc>
          <w:tcPr>
            <w:tcW w:type="dxa" w:w="3685"/>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Cartes supplémentaires en cours d’année</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20 USD / élève</w:t>
            </w:r>
          </w:p>
        </w:tc>
        <w:tc>
          <w:tcPr>
            <w:tcW w:type="dxa" w:w="34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Nouvelles inscriptions après la commande initiale.</w:t>
            </w:r>
          </w:p>
        </w:tc>
      </w:tr>
      <w:tr>
        <w:trPr>
          <w:cantSplit/>
        </w:trPr>
        <w:tc>
          <w:tcPr>
            <w:tcW w:type="dxa" w:w="3685"/>
            <w:vAlign w:val="center"/>
            <w:tcMar>
              <w:top w:w="60" w:type="dxa"/>
              <w:left w:w="80" w:type="dxa"/>
              <w:bottom w:w="60" w:type="dxa"/>
              <w:right w:w="80" w:type="dxa"/>
            </w:tcMar>
          </w:tcPr>
          <w:p>
            <w:pPr>
              <w:spacing w:after="0" w:before="0"/>
            </w:pPr>
            <w:r>
              <w:rPr>
                <w:rFonts w:ascii="Calibri" w:hAnsi="Calibri" w:eastAsia="Calibri"/>
                <w:b/>
                <w:i w:val="0"/>
                <w:color w:val="0F172A"/>
                <w:sz w:val="20"/>
              </w:rPr>
              <w:t>Import de données historiques (Excel)</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Sur devis</w:t>
            </w:r>
          </w:p>
        </w:tc>
        <w:tc>
          <w:tcPr>
            <w:tcW w:type="dxa" w:w="34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Reprise d’un ancien fichier élèves / paiements.</w:t>
            </w:r>
          </w:p>
        </w:tc>
      </w:tr>
      <w:tr>
        <w:trPr>
          <w:cantSplit/>
        </w:trPr>
        <w:tc>
          <w:tcPr>
            <w:tcW w:type="dxa" w:w="3685"/>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Formation supplémentaire sur site</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50 USD / session</w:t>
            </w:r>
          </w:p>
        </w:tc>
        <w:tc>
          <w:tcPr>
            <w:tcW w:type="dxa" w:w="34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Au-delà des 2 sessions incluses.</w:t>
            </w:r>
          </w:p>
        </w:tc>
      </w:tr>
      <w:tr>
        <w:trPr>
          <w:cantSplit/>
        </w:trPr>
        <w:tc>
          <w:tcPr>
            <w:tcW w:type="dxa" w:w="3685"/>
            <w:vAlign w:val="center"/>
            <w:tcMar>
              <w:top w:w="60" w:type="dxa"/>
              <w:left w:w="80" w:type="dxa"/>
              <w:bottom w:w="60" w:type="dxa"/>
              <w:right w:w="80" w:type="dxa"/>
            </w:tcMar>
          </w:tcPr>
          <w:p>
            <w:pPr>
              <w:spacing w:after="0" w:before="0"/>
            </w:pPr>
            <w:r>
              <w:rPr>
                <w:rFonts w:ascii="Calibri" w:hAnsi="Calibri" w:eastAsia="Calibri"/>
                <w:b/>
                <w:i w:val="0"/>
                <w:color w:val="0F172A"/>
                <w:sz w:val="20"/>
              </w:rPr>
              <w:t>Développement sur mesure</w:t>
            </w:r>
          </w:p>
        </w:tc>
        <w:tc>
          <w:tcPr>
            <w:tcW w:type="dxa" w:w="2551"/>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Sur devis</w:t>
            </w:r>
          </w:p>
        </w:tc>
        <w:tc>
          <w:tcPr>
            <w:tcW w:type="dxa" w:w="34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Module spécifique demandé par l’école.</w:t>
            </w:r>
          </w:p>
        </w:tc>
      </w:tr>
      <w:tr>
        <w:trPr>
          <w:cantSplit/>
        </w:trPr>
        <w:tc>
          <w:tcPr>
            <w:tcW w:type="dxa" w:w="3685"/>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Matériel informatique</w:t>
            </w:r>
          </w:p>
        </w:tc>
        <w:tc>
          <w:tcPr>
            <w:tcW w:type="dxa" w:w="2551"/>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Non fourni</w:t>
            </w:r>
          </w:p>
        </w:tc>
        <w:tc>
          <w:tcPr>
            <w:tcW w:type="dxa" w:w="34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Ordinateurs, imprimantes, connexion internet restent à charge de l’école.</w:t>
            </w:r>
          </w:p>
        </w:tc>
      </w:tr>
    </w:tbl>
    <w:p/>
    <w:p>
      <w:pPr>
        <w:spacing w:after="160"/>
      </w:pPr>
      <w:r>
        <w:rPr>
          <w:rFonts w:ascii="Calibri" w:hAnsi="Calibri" w:eastAsia="Calibri"/>
          <w:b w:val="0"/>
          <w:i/>
          <w:color w:val="64748B"/>
          <w:sz w:val="20"/>
        </w:rPr>
        <w:t>Un élève qui quitte l’établissement en cours d’année n’ouvre pas droit à remboursement : la carte a été produite et le droit d’usage ouvert pour l’année.</w:t>
      </w:r>
    </w:p>
    <w:p>
      <w:pPr>
        <w:pStyle w:val="Heading1"/>
      </w:pPr>
      <w:r>
        <w:rPr>
          <w:rFonts w:ascii="Calibri" w:hAnsi="Calibri" w:eastAsia="Calibri"/>
          <w:b/>
          <w:i w:val="0"/>
          <w:color w:val="0F172A"/>
          <w:sz w:val="32"/>
        </w:rPr>
        <w:t>6. Déroulement de la collaboration</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2268"/>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Étape</w:t>
            </w:r>
          </w:p>
        </w:tc>
        <w:tc>
          <w:tcPr>
            <w:tcW w:type="dxa" w:w="5102"/>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Qui fait quoi</w:t>
            </w:r>
          </w:p>
        </w:tc>
        <w:tc>
          <w:tcPr>
            <w:tcW w:type="dxa" w:w="2268"/>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Délai indicatif</w:t>
            </w:r>
          </w:p>
        </w:tc>
      </w:tr>
      <w:tr>
        <w:trPr>
          <w:cantSplit/>
        </w:trPr>
        <w:tc>
          <w:tcPr>
            <w:tcW w:type="dxa" w:w="2268"/>
            <w:vAlign w:val="center"/>
            <w:tcMar>
              <w:top w:w="60" w:type="dxa"/>
              <w:left w:w="80" w:type="dxa"/>
              <w:bottom w:w="60" w:type="dxa"/>
              <w:right w:w="80" w:type="dxa"/>
            </w:tcMar>
          </w:tcPr>
          <w:p>
            <w:pPr>
              <w:spacing w:after="0" w:before="0"/>
            </w:pPr>
            <w:r>
              <w:rPr>
                <w:rFonts w:ascii="Calibri" w:hAnsi="Calibri" w:eastAsia="Calibri"/>
                <w:b/>
                <w:i w:val="0"/>
                <w:color w:val="0F172A"/>
                <w:sz w:val="20"/>
              </w:rPr>
              <w:t>1. Accord</w:t>
            </w:r>
          </w:p>
        </w:tc>
        <w:tc>
          <w:tcPr>
            <w:tcW w:type="dxa" w:w="51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La direction valide la présente proposition (effectif estimé).</w:t>
            </w:r>
          </w:p>
        </w:tc>
        <w:tc>
          <w:tcPr>
            <w:tcW w:type="dxa" w:w="2268"/>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Jour J</w:t>
            </w:r>
          </w:p>
        </w:tc>
      </w:tr>
      <w:tr>
        <w:trPr>
          <w:cantSplit/>
        </w:trPr>
        <w:tc>
          <w:tcPr>
            <w:tcW w:type="dxa" w:w="2268"/>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2. Fiche établissement</w:t>
            </w:r>
          </w:p>
        </w:tc>
        <w:tc>
          <w:tcPr>
            <w:tcW w:type="dxa" w:w="51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NTT crée l’école, l’année scolaire et les comptes direction / caisse.</w:t>
            </w:r>
          </w:p>
        </w:tc>
        <w:tc>
          <w:tcPr>
            <w:tcW w:type="dxa" w:w="2268"/>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48 h</w:t>
            </w:r>
          </w:p>
        </w:tc>
      </w:tr>
      <w:tr>
        <w:trPr>
          <w:cantSplit/>
        </w:trPr>
        <w:tc>
          <w:tcPr>
            <w:tcW w:type="dxa" w:w="2268"/>
            <w:vAlign w:val="center"/>
            <w:tcMar>
              <w:top w:w="60" w:type="dxa"/>
              <w:left w:w="80" w:type="dxa"/>
              <w:bottom w:w="60" w:type="dxa"/>
              <w:right w:w="80" w:type="dxa"/>
            </w:tcMar>
          </w:tcPr>
          <w:p>
            <w:pPr>
              <w:spacing w:after="0" w:before="0"/>
            </w:pPr>
            <w:r>
              <w:rPr>
                <w:rFonts w:ascii="Calibri" w:hAnsi="Calibri" w:eastAsia="Calibri"/>
                <w:b/>
                <w:i w:val="0"/>
                <w:color w:val="0F172A"/>
                <w:sz w:val="20"/>
              </w:rPr>
              <w:t>3. Liste des élèves</w:t>
            </w:r>
          </w:p>
        </w:tc>
        <w:tc>
          <w:tcPr>
            <w:tcW w:type="dxa" w:w="51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L’école transmet la liste (nom, prénom, classe, photo si disponible).</w:t>
            </w:r>
          </w:p>
        </w:tc>
        <w:tc>
          <w:tcPr>
            <w:tcW w:type="dxa" w:w="2268"/>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Selon l’école</w:t>
            </w:r>
          </w:p>
        </w:tc>
      </w:tr>
      <w:tr>
        <w:trPr>
          <w:cantSplit/>
        </w:trPr>
        <w:tc>
          <w:tcPr>
            <w:tcW w:type="dxa" w:w="2268"/>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4. Commande &amp; paiement</w:t>
            </w:r>
          </w:p>
        </w:tc>
        <w:tc>
          <w:tcPr>
            <w:tcW w:type="dxa" w:w="51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Commande ferme du nombre de cartes. Paiement selon les modalités ci-dessous.</w:t>
            </w:r>
          </w:p>
        </w:tc>
        <w:tc>
          <w:tcPr>
            <w:tcW w:type="dxa" w:w="2268"/>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À la commande</w:t>
            </w:r>
          </w:p>
        </w:tc>
      </w:tr>
      <w:tr>
        <w:trPr>
          <w:cantSplit/>
        </w:trPr>
        <w:tc>
          <w:tcPr>
            <w:tcW w:type="dxa" w:w="2268"/>
            <w:vAlign w:val="center"/>
            <w:tcMar>
              <w:top w:w="60" w:type="dxa"/>
              <w:left w:w="80" w:type="dxa"/>
              <w:bottom w:w="60" w:type="dxa"/>
              <w:right w:w="80" w:type="dxa"/>
            </w:tcMar>
          </w:tcPr>
          <w:p>
            <w:pPr>
              <w:spacing w:after="0" w:before="0"/>
            </w:pPr>
            <w:r>
              <w:rPr>
                <w:rFonts w:ascii="Calibri" w:hAnsi="Calibri" w:eastAsia="Calibri"/>
                <w:b/>
                <w:i w:val="0"/>
                <w:color w:val="0F172A"/>
                <w:sz w:val="20"/>
              </w:rPr>
              <w:t>5. Production des cartes</w:t>
            </w:r>
          </w:p>
        </w:tc>
        <w:tc>
          <w:tcPr>
            <w:tcW w:type="dxa" w:w="51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NTT fabrique et livre les cartes nominatives.</w:t>
            </w:r>
          </w:p>
        </w:tc>
        <w:tc>
          <w:tcPr>
            <w:tcW w:type="dxa" w:w="2268"/>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7 à 15 jours ouvrés</w:t>
            </w:r>
          </w:p>
        </w:tc>
      </w:tr>
      <w:tr>
        <w:trPr>
          <w:cantSplit/>
        </w:trPr>
        <w:tc>
          <w:tcPr>
            <w:tcW w:type="dxa" w:w="2268"/>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6. Activation</w:t>
            </w:r>
          </w:p>
        </w:tc>
        <w:tc>
          <w:tcPr>
            <w:tcW w:type="dxa" w:w="51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Les élèves porteurs de carte sont actifs dans Digital School.</w:t>
            </w:r>
          </w:p>
        </w:tc>
        <w:tc>
          <w:tcPr>
            <w:tcW w:type="dxa" w:w="2268"/>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Dès production</w:t>
            </w:r>
          </w:p>
        </w:tc>
      </w:tr>
      <w:tr>
        <w:trPr>
          <w:cantSplit/>
        </w:trPr>
        <w:tc>
          <w:tcPr>
            <w:tcW w:type="dxa" w:w="2268"/>
            <w:vAlign w:val="center"/>
            <w:tcMar>
              <w:top w:w="60" w:type="dxa"/>
              <w:left w:w="80" w:type="dxa"/>
              <w:bottom w:w="60" w:type="dxa"/>
              <w:right w:w="80" w:type="dxa"/>
            </w:tcMar>
          </w:tcPr>
          <w:p>
            <w:pPr>
              <w:spacing w:after="0" w:before="0"/>
            </w:pPr>
            <w:r>
              <w:rPr>
                <w:rFonts w:ascii="Calibri" w:hAnsi="Calibri" w:eastAsia="Calibri"/>
                <w:b/>
                <w:i w:val="0"/>
                <w:color w:val="0F172A"/>
                <w:sz w:val="20"/>
              </w:rPr>
              <w:t>7. Formation</w:t>
            </w:r>
          </w:p>
        </w:tc>
        <w:tc>
          <w:tcPr>
            <w:tcW w:type="dxa" w:w="51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Sessions direction / caisse puis enseignants.</w:t>
            </w:r>
          </w:p>
        </w:tc>
        <w:tc>
          <w:tcPr>
            <w:tcW w:type="dxa" w:w="2268"/>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Dans les 15 jours</w:t>
            </w:r>
          </w:p>
        </w:tc>
      </w:tr>
      <w:tr>
        <w:trPr>
          <w:cantSplit/>
        </w:trPr>
        <w:tc>
          <w:tcPr>
            <w:tcW w:type="dxa" w:w="2268"/>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8. Année suivante</w:t>
            </w:r>
          </w:p>
        </w:tc>
        <w:tc>
          <w:tcPr>
            <w:tcW w:type="dxa" w:w="51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Nouvelle commande selon l’effectif de la rentrée.</w:t>
            </w:r>
          </w:p>
        </w:tc>
        <w:tc>
          <w:tcPr>
            <w:tcW w:type="dxa" w:w="2268"/>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Avant la rentrée</w:t>
            </w:r>
          </w:p>
        </w:tc>
      </w:tr>
    </w:tbl>
    <w:p/>
    <w:p>
      <w:pPr>
        <w:pStyle w:val="Heading2"/>
      </w:pPr>
      <w:r>
        <w:rPr>
          <w:rFonts w:ascii="Calibri" w:hAnsi="Calibri" w:eastAsia="Calibri"/>
          <w:b/>
          <w:i w:val="0"/>
          <w:color w:val="0077C5"/>
          <w:sz w:val="26"/>
        </w:rPr>
        <w:t>6.1 Modalités de paiement</w:t>
      </w:r>
    </w:p>
    <w:p>
      <w:pPr>
        <w:pStyle w:val="ListBullet"/>
        <w:spacing w:after="60"/>
      </w:pPr>
      <w:r>
        <w:rPr>
          <w:rFonts w:ascii="Calibri" w:hAnsi="Calibri" w:eastAsia="Calibri"/>
          <w:b w:val="0"/>
          <w:i w:val="0"/>
          <w:color w:val="0F172A"/>
          <w:sz w:val="22"/>
        </w:rPr>
        <w:t>Devise : USD.</w:t>
      </w:r>
    </w:p>
    <w:p>
      <w:pPr>
        <w:pStyle w:val="ListBullet"/>
        <w:spacing w:after="60"/>
      </w:pPr>
      <w:r>
        <w:rPr>
          <w:rFonts w:ascii="Calibri" w:hAnsi="Calibri" w:eastAsia="Calibri"/>
          <w:b w:val="0"/>
          <w:i w:val="0"/>
          <w:color w:val="0F172A"/>
          <w:sz w:val="22"/>
        </w:rPr>
        <w:t>Acompte de 50 % à la commande ferme, solde à la livraison des cartes.</w:t>
      </w:r>
    </w:p>
    <w:p>
      <w:pPr>
        <w:pStyle w:val="ListBullet"/>
        <w:spacing w:after="60"/>
      </w:pPr>
      <w:r>
        <w:rPr>
          <w:rFonts w:ascii="Calibri" w:hAnsi="Calibri" w:eastAsia="Calibri"/>
          <w:b w:val="0"/>
          <w:i w:val="0"/>
          <w:color w:val="0F172A"/>
          <w:sz w:val="22"/>
        </w:rPr>
        <w:t>Pour une première commande inférieure à 100 cartes : paiement intégral à la commande.</w:t>
      </w:r>
    </w:p>
    <w:p>
      <w:pPr>
        <w:pStyle w:val="ListBullet"/>
        <w:spacing w:after="60"/>
      </w:pPr>
      <w:r>
        <w:rPr>
          <w:rFonts w:ascii="Calibri" w:hAnsi="Calibri" w:eastAsia="Calibri"/>
          <w:b w:val="0"/>
          <w:i w:val="0"/>
          <w:color w:val="0F172A"/>
          <w:sz w:val="22"/>
        </w:rPr>
        <w:t>Moyens acceptés : virement bancaire, Mobile Money (M-Pesa, Airtel Money, Orange Money), espèces contre reçu.</w:t>
      </w:r>
    </w:p>
    <w:p>
      <w:pPr>
        <w:pStyle w:val="ListBullet"/>
        <w:spacing w:after="60"/>
      </w:pPr>
      <w:r>
        <w:rPr>
          <w:rFonts w:ascii="Calibri" w:hAnsi="Calibri" w:eastAsia="Calibri"/>
          <w:b w:val="0"/>
          <w:i w:val="0"/>
          <w:color w:val="0F172A"/>
          <w:sz w:val="22"/>
        </w:rPr>
        <w:t>Une facture / note de débit NTT S.A.R.L est émise à chaque commande.</w:t>
      </w:r>
    </w:p>
    <w:p>
      <w:pPr>
        <w:pStyle w:val="ListBullet"/>
        <w:spacing w:after="60"/>
      </w:pPr>
      <w:r>
        <w:rPr>
          <w:rFonts w:ascii="Calibri" w:hAnsi="Calibri" w:eastAsia="Calibri"/>
          <w:b w:val="0"/>
          <w:i w:val="0"/>
          <w:color w:val="0F172A"/>
          <w:sz w:val="22"/>
        </w:rPr>
        <w:t>Merci d’indiquer en communication : nom de l’école + réf. PROP-DS-2026-001.</w:t>
      </w:r>
    </w:p>
    <w:p>
      <w:pPr>
        <w:pStyle w:val="Heading2"/>
      </w:pPr>
      <w:r>
        <w:rPr>
          <w:rFonts w:ascii="Calibri" w:hAnsi="Calibri" w:eastAsia="Calibri"/>
          <w:b/>
          <w:i w:val="0"/>
          <w:color w:val="0077C5"/>
          <w:sz w:val="26"/>
        </w:rPr>
        <w:t>6.2 Coordonnées bancaires — NTOBO’S TECHNOLOGY SARL</w:t>
      </w:r>
    </w:p>
    <w:p>
      <w:pPr>
        <w:spacing w:after="160"/>
      </w:pPr>
      <w:r>
        <w:rPr>
          <w:rFonts w:ascii="Calibri" w:hAnsi="Calibri" w:eastAsia="Calibri"/>
          <w:b w:val="0"/>
          <w:i w:val="0"/>
          <w:color w:val="0F172A"/>
          <w:sz w:val="22"/>
        </w:rPr>
        <w:t>Les virements sont à effectuer exclusivement sur l’un des comptes ci-dessous, ouverts au nom de NTOBO’S TECHNOLOGY / NTOBO’S TECHNOLOGY SARL.</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2268"/>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Banque</w:t>
            </w:r>
          </w:p>
        </w:tc>
        <w:tc>
          <w:tcPr>
            <w:tcW w:type="dxa" w:w="3969"/>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N° de compte</w:t>
            </w:r>
          </w:p>
        </w:tc>
        <w:tc>
          <w:tcPr>
            <w:tcW w:type="dxa" w:w="3402"/>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Intitulé</w:t>
            </w:r>
          </w:p>
        </w:tc>
      </w:tr>
      <w:tr>
        <w:trPr>
          <w:cantSplit/>
        </w:trPr>
        <w:tc>
          <w:tcPr>
            <w:tcW w:type="dxa" w:w="2268"/>
            <w:vAlign w:val="center"/>
            <w:tcMar>
              <w:top w:w="60" w:type="dxa"/>
              <w:left w:w="80" w:type="dxa"/>
              <w:bottom w:w="60" w:type="dxa"/>
              <w:right w:w="80" w:type="dxa"/>
            </w:tcMar>
          </w:tcPr>
          <w:p>
            <w:pPr>
              <w:spacing w:after="0" w:before="0"/>
            </w:pPr>
            <w:r>
              <w:rPr>
                <w:rFonts w:ascii="Calibri" w:hAnsi="Calibri" w:eastAsia="Calibri"/>
                <w:b/>
                <w:i w:val="0"/>
                <w:color w:val="0F172A"/>
                <w:sz w:val="20"/>
              </w:rPr>
              <w:t>UBA RDC</w:t>
            </w:r>
          </w:p>
        </w:tc>
        <w:tc>
          <w:tcPr>
            <w:tcW w:type="dxa" w:w="3969"/>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030320004374</w:t>
            </w:r>
          </w:p>
        </w:tc>
        <w:tc>
          <w:tcPr>
            <w:tcW w:type="dxa" w:w="34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NTOBO’S TECHNOLOGY</w:t>
            </w:r>
          </w:p>
        </w:tc>
      </w:tr>
      <w:tr>
        <w:trPr>
          <w:cantSplit/>
        </w:trPr>
        <w:tc>
          <w:tcPr>
            <w:tcW w:type="dxa" w:w="2268"/>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EQUITY BCDC</w:t>
            </w:r>
          </w:p>
        </w:tc>
        <w:tc>
          <w:tcPr>
            <w:tcW w:type="dxa" w:w="3969"/>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00011150722200037532797</w:t>
            </w:r>
          </w:p>
        </w:tc>
        <w:tc>
          <w:tcPr>
            <w:tcW w:type="dxa" w:w="3402"/>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NTOBO’S TECHNOLOGY SARL</w:t>
            </w:r>
          </w:p>
        </w:tc>
      </w:tr>
      <w:tr>
        <w:trPr>
          <w:cantSplit/>
        </w:trPr>
        <w:tc>
          <w:tcPr>
            <w:tcW w:type="dxa" w:w="2268"/>
            <w:vAlign w:val="center"/>
            <w:tcMar>
              <w:top w:w="60" w:type="dxa"/>
              <w:left w:w="80" w:type="dxa"/>
              <w:bottom w:w="60" w:type="dxa"/>
              <w:right w:w="80" w:type="dxa"/>
            </w:tcMar>
          </w:tcPr>
          <w:p>
            <w:pPr>
              <w:spacing w:after="0" w:before="0"/>
            </w:pPr>
            <w:r>
              <w:rPr>
                <w:rFonts w:ascii="Calibri" w:hAnsi="Calibri" w:eastAsia="Calibri"/>
                <w:b/>
                <w:i w:val="0"/>
                <w:color w:val="0F172A"/>
                <w:sz w:val="20"/>
              </w:rPr>
              <w:t>ECOBANK RDC</w:t>
            </w:r>
          </w:p>
        </w:tc>
        <w:tc>
          <w:tcPr>
            <w:tcW w:type="dxa" w:w="3969"/>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35900000801</w:t>
            </w:r>
          </w:p>
        </w:tc>
        <w:tc>
          <w:tcPr>
            <w:tcW w:type="dxa" w:w="3402"/>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NTOBO’S TECHNOLOGY SARL</w:t>
            </w:r>
          </w:p>
        </w:tc>
      </w:tr>
    </w:tbl>
    <w:p/>
    <w:p>
      <w:pPr>
        <w:spacing w:after="160"/>
      </w:pPr>
      <w:r>
        <w:rPr>
          <w:rFonts w:ascii="Calibri" w:hAnsi="Calibri" w:eastAsia="Calibri"/>
          <w:b w:val="0"/>
          <w:i/>
          <w:color w:val="64748B"/>
          <w:sz w:val="20"/>
        </w:rPr>
        <w:t>Tout paiement doit être suivi d’une preuve (bordereau, capture Mobile Money ou reçu) adressée à NTT S.A.R.L pour imputation de la commande.</w:t>
      </w:r>
    </w:p>
    <w:p>
      <w:pPr>
        <w:pStyle w:val="Heading2"/>
      </w:pPr>
      <w:r>
        <w:rPr>
          <w:rFonts w:ascii="Calibri" w:hAnsi="Calibri" w:eastAsia="Calibri"/>
          <w:b/>
          <w:i w:val="0"/>
          <w:color w:val="0077C5"/>
          <w:sz w:val="26"/>
        </w:rPr>
        <w:t>6.3 Durée et renouvellement</w:t>
      </w:r>
    </w:p>
    <w:p>
      <w:pPr>
        <w:spacing w:after="160"/>
      </w:pPr>
      <w:r>
        <w:rPr>
          <w:rFonts w:ascii="Calibri" w:hAnsi="Calibri" w:eastAsia="Calibri"/>
          <w:b w:val="0"/>
          <w:i w:val="0"/>
          <w:color w:val="0F172A"/>
          <w:sz w:val="22"/>
        </w:rPr>
        <w:t>L’accès à Digital School est ouvert pour l’année scolaire correspondant aux cartes commandées. Au renouvellement, l’école commande les cartes de la nouvelle année selon l’effectif réel. Les données de l’école (dossiers, historiques de paiements, notes) sont conservées : on ne recommence pas de zéro.</w:t>
      </w:r>
    </w:p>
    <w:p>
      <w:pPr>
        <w:pStyle w:val="Heading1"/>
      </w:pPr>
      <w:r>
        <w:rPr>
          <w:rFonts w:ascii="Calibri" w:hAnsi="Calibri" w:eastAsia="Calibri"/>
          <w:b/>
          <w:i w:val="0"/>
          <w:color w:val="0F172A"/>
          <w:sz w:val="32"/>
        </w:rPr>
        <w:t>7. Ce que l’école gagne concrètement</w:t>
      </w:r>
    </w:p>
    <w:p>
      <w:pPr>
        <w:spacing w:after="160"/>
      </w:pPr>
      <w:r>
        <w:rPr>
          <w:rFonts w:ascii="Calibri" w:hAnsi="Calibri" w:eastAsia="Calibri"/>
          <w:b w:val="0"/>
          <w:i w:val="0"/>
          <w:color w:val="0F172A"/>
          <w:sz w:val="22"/>
        </w:rPr>
        <w:t>Digital School remplace les outils dispersés (cahiers d’appel, Excel de caisse, WhatsApp non tracé, bulletins reconstitués à la main) par une seule source de vérité.</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Aujourd’hui, sans plateforme</w:t>
            </w:r>
          </w:p>
        </w:tc>
        <w:tc>
          <w:tcPr>
            <w:tcW w:type="dxa" w:w="4819"/>
            <w:vAlign w:val="center"/>
            <w:tcMar>
              <w:top w:w="60" w:type="dxa"/>
              <w:left w:w="80" w:type="dxa"/>
              <w:bottom w:w="60" w:type="dxa"/>
              <w:right w:w="80" w:type="dxa"/>
            </w:tcMar>
            <w:shd w:fill="0077C5" w:val="clear"/>
          </w:tcPr>
          <w:p>
            <w:pPr>
              <w:spacing w:after="0" w:before="0"/>
              <w:jc w:val="center"/>
            </w:pPr>
            <w:r>
              <w:rPr>
                <w:rFonts w:ascii="Calibri" w:hAnsi="Calibri" w:eastAsia="Calibri"/>
                <w:b/>
                <w:i w:val="0"/>
                <w:color w:val="FFFFFF"/>
                <w:sz w:val="20"/>
              </w:rPr>
              <w:t>Avec Digital School (via la carte à 20 USD)</w:t>
            </w:r>
          </w:p>
        </w:tc>
      </w:tr>
      <w:tr>
        <w:trPr>
          <w:cantSplit/>
        </w:trPr>
        <w:tc>
          <w:tcPr>
            <w:tcW w:type="dxa" w:w="4819"/>
            <w:vAlign w:val="center"/>
            <w:tcMar>
              <w:top w:w="60" w:type="dxa"/>
              <w:left w:w="80" w:type="dxa"/>
              <w:bottom w:w="60" w:type="dxa"/>
              <w:right w:w="80" w:type="dxa"/>
            </w:tcMar>
          </w:tcPr>
          <w:p>
            <w:pPr>
              <w:spacing w:after="0" w:before="0"/>
            </w:pPr>
            <w:r>
              <w:rPr>
                <w:rFonts w:ascii="Calibri" w:hAnsi="Calibri" w:eastAsia="Calibri"/>
                <w:b/>
                <w:i w:val="0"/>
                <w:color w:val="0F172A"/>
                <w:sz w:val="20"/>
              </w:rPr>
              <w:t>Cahiers, fichiers Excel, doubles saisies</w:t>
            </w:r>
          </w:p>
        </w:tc>
        <w:tc>
          <w:tcPr>
            <w:tcW w:type="dxa" w:w="4819"/>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Dossier unique élève / tuteur / classe</w:t>
            </w:r>
          </w:p>
        </w:tc>
      </w:tr>
      <w:tr>
        <w:trPr>
          <w:cantSplit/>
        </w:trPr>
        <w:tc>
          <w:tcPr>
            <w:tcW w:type="dxa" w:w="4819"/>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Caisse difficile à contrôler</w:t>
            </w:r>
          </w:p>
        </w:tc>
        <w:tc>
          <w:tcPr>
            <w:tcW w:type="dxa" w:w="4819"/>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Reçus numérotés, CDF/USD, traçabilité, OHADA</w:t>
            </w:r>
          </w:p>
        </w:tc>
      </w:tr>
      <w:tr>
        <w:trPr>
          <w:cantSplit/>
        </w:trPr>
        <w:tc>
          <w:tcPr>
            <w:tcW w:type="dxa" w:w="4819"/>
            <w:vAlign w:val="center"/>
            <w:tcMar>
              <w:top w:w="60" w:type="dxa"/>
              <w:left w:w="80" w:type="dxa"/>
              <w:bottom w:w="60" w:type="dxa"/>
              <w:right w:w="80" w:type="dxa"/>
            </w:tcMar>
          </w:tcPr>
          <w:p>
            <w:pPr>
              <w:spacing w:after="0" w:before="0"/>
            </w:pPr>
            <w:r>
              <w:rPr>
                <w:rFonts w:ascii="Calibri" w:hAnsi="Calibri" w:eastAsia="Calibri"/>
                <w:b/>
                <w:i w:val="0"/>
                <w:color w:val="0F172A"/>
                <w:sz w:val="20"/>
              </w:rPr>
              <w:t>Parents relancés au cas par cas</w:t>
            </w:r>
          </w:p>
        </w:tc>
        <w:tc>
          <w:tcPr>
            <w:tcW w:type="dxa" w:w="4819"/>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Portail parent + notifications WhatsApp</w:t>
            </w:r>
          </w:p>
        </w:tc>
      </w:tr>
      <w:tr>
        <w:trPr>
          <w:cantSplit/>
        </w:trPr>
        <w:tc>
          <w:tcPr>
            <w:tcW w:type="dxa" w:w="4819"/>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Bulletins longs à produire</w:t>
            </w:r>
          </w:p>
        </w:tc>
        <w:tc>
          <w:tcPr>
            <w:tcW w:type="dxa" w:w="4819"/>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Bulletins modèle RDC calculés par le système</w:t>
            </w:r>
          </w:p>
        </w:tc>
      </w:tr>
      <w:tr>
        <w:trPr>
          <w:cantSplit/>
        </w:trPr>
        <w:tc>
          <w:tcPr>
            <w:tcW w:type="dxa" w:w="4819"/>
            <w:vAlign w:val="center"/>
            <w:tcMar>
              <w:top w:w="60" w:type="dxa"/>
              <w:left w:w="80" w:type="dxa"/>
              <w:bottom w:w="60" w:type="dxa"/>
              <w:right w:w="80" w:type="dxa"/>
            </w:tcMar>
          </w:tcPr>
          <w:p>
            <w:pPr>
              <w:spacing w:after="0" w:before="0"/>
            </w:pPr>
            <w:r>
              <w:rPr>
                <w:rFonts w:ascii="Calibri" w:hAnsi="Calibri" w:eastAsia="Calibri"/>
                <w:b/>
                <w:i w:val="0"/>
                <w:color w:val="0F172A"/>
                <w:sz w:val="20"/>
              </w:rPr>
              <w:t>Enseignants isolés</w:t>
            </w:r>
          </w:p>
        </w:tc>
        <w:tc>
          <w:tcPr>
            <w:tcW w:type="dxa" w:w="4819"/>
            <w:vAlign w:val="center"/>
            <w:tcMar>
              <w:top w:w="60" w:type="dxa"/>
              <w:left w:w="80" w:type="dxa"/>
              <w:bottom w:w="60" w:type="dxa"/>
              <w:right w:w="80" w:type="dxa"/>
            </w:tcMar>
          </w:tcPr>
          <w:p>
            <w:pPr>
              <w:spacing w:after="0" w:before="0"/>
              <w:jc w:val="center"/>
            </w:pPr>
            <w:r>
              <w:rPr>
                <w:rFonts w:ascii="Calibri" w:hAnsi="Calibri" w:eastAsia="Calibri"/>
                <w:b w:val="0"/>
                <w:i w:val="0"/>
                <w:color w:val="0F172A"/>
                <w:sz w:val="20"/>
              </w:rPr>
              <w:t>Notes, présences, cours en ligne, visio</w:t>
            </w:r>
          </w:p>
        </w:tc>
      </w:tr>
      <w:tr>
        <w:trPr>
          <w:cantSplit/>
        </w:trPr>
        <w:tc>
          <w:tcPr>
            <w:tcW w:type="dxa" w:w="4819"/>
            <w:vAlign w:val="center"/>
            <w:tcMar>
              <w:top w:w="60" w:type="dxa"/>
              <w:left w:w="80" w:type="dxa"/>
              <w:bottom w:w="60" w:type="dxa"/>
              <w:right w:w="80" w:type="dxa"/>
            </w:tcMar>
            <w:shd w:fill="E8F4FD" w:val="clear"/>
          </w:tcPr>
          <w:p>
            <w:pPr>
              <w:spacing w:after="0" w:before="0"/>
            </w:pPr>
            <w:r>
              <w:rPr>
                <w:rFonts w:ascii="Calibri" w:hAnsi="Calibri" w:eastAsia="Calibri"/>
                <w:b/>
                <w:i w:val="0"/>
                <w:color w:val="0F172A"/>
                <w:sz w:val="20"/>
              </w:rPr>
              <w:t>Licence logicielle + maintenance à part</w:t>
            </w:r>
          </w:p>
        </w:tc>
        <w:tc>
          <w:tcPr>
            <w:tcW w:type="dxa" w:w="4819"/>
            <w:vAlign w:val="center"/>
            <w:tcMar>
              <w:top w:w="60" w:type="dxa"/>
              <w:left w:w="80" w:type="dxa"/>
              <w:bottom w:w="60" w:type="dxa"/>
              <w:right w:w="80" w:type="dxa"/>
            </w:tcMar>
            <w:shd w:fill="E8F4FD" w:val="clear"/>
          </w:tcPr>
          <w:p>
            <w:pPr>
              <w:spacing w:after="0" w:before="0"/>
              <w:jc w:val="center"/>
            </w:pPr>
            <w:r>
              <w:rPr>
                <w:rFonts w:ascii="Calibri" w:hAnsi="Calibri" w:eastAsia="Calibri"/>
                <w:b w:val="0"/>
                <w:i w:val="0"/>
                <w:color w:val="0F172A"/>
                <w:sz w:val="20"/>
              </w:rPr>
              <w:t>Inclus dans la carte — rien d’autre à budgéter</w:t>
            </w:r>
          </w:p>
        </w:tc>
      </w:tr>
    </w:tbl>
    <w:p/>
    <w:tbl>
      <w:tblPr>
        <w:tblW w:type="auto" w:w="0"/>
        <w:jc w:val="center"/>
        <w:tblLook w:firstColumn="1" w:firstRow="1" w:lastColumn="0" w:lastRow="0" w:noHBand="0" w:noVBand="1" w:val="04A0"/>
      </w:tblPr>
      <w:tblGrid>
        <w:gridCol w:w="9638"/>
      </w:tblGrid>
      <w:tr>
        <w:tc>
          <w:tcPr>
            <w:tcW w:type="dxa" w:w="9638"/>
            <w:shd w:fill="E8F4FD" w:val="clear"/>
            <w:tcMar>
              <w:top w:w="100" w:type="dxa"/>
              <w:left w:w="140" w:type="dxa"/>
              <w:bottom w:w="100" w:type="dxa"/>
              <w:right w:w="140" w:type="dxa"/>
            </w:tcMar>
          </w:tcPr>
          <w:p>
            <w:r>
              <w:rPr>
                <w:rFonts w:ascii="Calibri" w:hAnsi="Calibri" w:eastAsia="Calibri"/>
                <w:b/>
                <w:i w:val="0"/>
                <w:color w:val="0077C5"/>
                <w:sz w:val="22"/>
              </w:rPr>
              <w:t>Message à retenir pour le conseil de gestion</w:t>
            </w:r>
          </w:p>
          <w:p>
            <w:r>
              <w:rPr>
                <w:rFonts w:ascii="Calibri" w:hAnsi="Calibri" w:eastAsia="Calibri"/>
                <w:b w:val="0"/>
                <w:i w:val="0"/>
                <w:color w:val="0F172A"/>
                <w:sz w:val="22"/>
              </w:rPr>
              <w:t>Vous n’achetez pas un logiciel. Vous commandez les cartes d’élève de l’année. L’application Digital School — inscriptions, caisse, pédagogie, GRH, portails — est le service qui accompagne ces cartes.</w:t>
            </w:r>
          </w:p>
        </w:tc>
      </w:tr>
    </w:tbl>
    <w:p/>
    <w:p>
      <w:pPr>
        <w:pStyle w:val="Heading1"/>
      </w:pPr>
      <w:r>
        <w:rPr>
          <w:rFonts w:ascii="Calibri" w:hAnsi="Calibri" w:eastAsia="Calibri"/>
          <w:b/>
          <w:i w:val="0"/>
          <w:color w:val="0F172A"/>
          <w:sz w:val="32"/>
        </w:rPr>
        <w:t>8. Conditions commerciales</w:t>
      </w:r>
    </w:p>
    <w:p>
      <w:pPr>
        <w:pStyle w:val="ListBullet"/>
        <w:spacing w:after="60"/>
      </w:pPr>
      <w:r>
        <w:rPr>
          <w:rFonts w:ascii="Calibri" w:hAnsi="Calibri" w:eastAsia="Calibri"/>
          <w:b w:val="0"/>
          <w:i w:val="0"/>
          <w:color w:val="0F172A"/>
          <w:sz w:val="22"/>
        </w:rPr>
        <w:t>Offre valable 90 jours à compter de la date figurant en page de garde.</w:t>
      </w:r>
    </w:p>
    <w:p>
      <w:pPr>
        <w:pStyle w:val="ListBullet"/>
        <w:spacing w:after="60"/>
      </w:pPr>
      <w:r>
        <w:rPr>
          <w:rFonts w:ascii="Calibri" w:hAnsi="Calibri" w:eastAsia="Calibri"/>
          <w:b w:val="0"/>
          <w:i w:val="0"/>
          <w:color w:val="0F172A"/>
          <w:sz w:val="22"/>
        </w:rPr>
        <w:t>Tarif unique : 20 USD par carte d’élève, par année scolaire, hors duplicata (10 USD).</w:t>
      </w:r>
    </w:p>
    <w:p>
      <w:pPr>
        <w:pStyle w:val="ListBullet"/>
        <w:spacing w:after="60"/>
      </w:pPr>
      <w:r>
        <w:rPr>
          <w:rFonts w:ascii="Calibri" w:hAnsi="Calibri" w:eastAsia="Calibri"/>
          <w:b w:val="0"/>
          <w:i w:val="0"/>
          <w:color w:val="0F172A"/>
          <w:sz w:val="22"/>
        </w:rPr>
        <w:t>Commande minimale conseillée : 30 cartes (en dessous, un devis spécifique peut être établi).</w:t>
      </w:r>
    </w:p>
    <w:p>
      <w:pPr>
        <w:pStyle w:val="ListBullet"/>
        <w:spacing w:after="60"/>
      </w:pPr>
      <w:r>
        <w:rPr>
          <w:rFonts w:ascii="Calibri" w:hAnsi="Calibri" w:eastAsia="Calibri"/>
          <w:b w:val="0"/>
          <w:i w:val="0"/>
          <w:color w:val="0F172A"/>
          <w:sz w:val="22"/>
        </w:rPr>
        <w:t>Les photos et listes d’élèves restent la propriété de l’établissement ; NTT les utilise uniquement pour produire les cartes et alimenter Digital School.</w:t>
      </w:r>
    </w:p>
    <w:p>
      <w:pPr>
        <w:pStyle w:val="ListBullet"/>
        <w:spacing w:after="60"/>
      </w:pPr>
      <w:r>
        <w:rPr>
          <w:rFonts w:ascii="Calibri" w:hAnsi="Calibri" w:eastAsia="Calibri"/>
          <w:b w:val="0"/>
          <w:i w:val="0"/>
          <w:color w:val="0F172A"/>
          <w:sz w:val="22"/>
        </w:rPr>
        <w:t>L’école s’engage à commander une carte pour chaque élève inscrit utilisant la plateforme.</w:t>
      </w:r>
    </w:p>
    <w:p>
      <w:pPr>
        <w:pStyle w:val="ListBullet"/>
        <w:spacing w:after="60"/>
      </w:pPr>
      <w:r>
        <w:rPr>
          <w:rFonts w:ascii="Calibri" w:hAnsi="Calibri" w:eastAsia="Calibri"/>
          <w:b w:val="0"/>
          <w:i w:val="0"/>
          <w:color w:val="0F172A"/>
          <w:sz w:val="22"/>
        </w:rPr>
        <w:t>NTT s’engage à maintenir la plateforme disponible pendant l’année couverte, hors cas de force majeure.</w:t>
      </w:r>
    </w:p>
    <w:p>
      <w:pPr>
        <w:pStyle w:val="ListBullet"/>
        <w:spacing w:after="60"/>
      </w:pPr>
      <w:r>
        <w:rPr>
          <w:rFonts w:ascii="Calibri" w:hAnsi="Calibri" w:eastAsia="Calibri"/>
          <w:b w:val="0"/>
          <w:i w:val="0"/>
          <w:color w:val="0F172A"/>
          <w:sz w:val="22"/>
        </w:rPr>
        <w:t>Les présentes conditions prévalent sur tout échange oral antérieur. Un bon de commande signé vaut acceptation.</w:t>
      </w:r>
    </w:p>
    <w:p>
      <w:pPr>
        <w:spacing w:after="160"/>
      </w:pPr>
      <w:r>
        <w:rPr>
          <w:rFonts w:ascii="Calibri" w:hAnsi="Calibri" w:eastAsia="Calibri"/>
          <w:b w:val="0"/>
          <w:i/>
          <w:color w:val="64748B"/>
          <w:sz w:val="22"/>
        </w:rPr>
        <w:t>Le présent document constitue une proposition commerciale et non une facture. L’engagement naît à la signature du bon de commande et au versement de l’acompte.</w:t>
      </w:r>
    </w:p>
    <w:p>
      <w:pPr>
        <w:pStyle w:val="Heading1"/>
      </w:pPr>
      <w:r>
        <w:rPr>
          <w:rFonts w:ascii="Calibri" w:hAnsi="Calibri" w:eastAsia="Calibri"/>
          <w:b/>
          <w:i w:val="0"/>
          <w:color w:val="0F172A"/>
          <w:sz w:val="32"/>
        </w:rPr>
        <w:t>9. Bon de commande (à compléter)</w:t>
      </w:r>
    </w:p>
    <w:p>
      <w:pPr>
        <w:spacing w:after="160"/>
      </w:pPr>
      <w:r>
        <w:rPr>
          <w:rFonts w:ascii="Calibri" w:hAnsi="Calibri" w:eastAsia="Calibri"/>
          <w:b w:val="0"/>
          <w:i/>
          <w:color w:val="64748B"/>
          <w:sz w:val="22"/>
        </w:rPr>
        <w:t>Merci de photocopier ou d’imprimer cette page, de la compléter et de la renvoyer à NTT S.A.R.L. Un devis / facture conforme vous sera adressé sous 48 heures.</w:t>
      </w:r>
    </w:p>
    <w:tbl>
      <w:tblPr>
        <w:tblW w:type="auto" w:w="0"/>
        <w:jc w:val="center"/>
        <w:tblLook w:firstColumn="1" w:firstRow="1" w:lastColumn="0" w:lastRow="0" w:noHBand="0" w:noVBand="1" w:val="04A0"/>
      </w:tblPr>
      <w:tblGrid>
        <w:gridCol w:w="4819"/>
        <w:gridCol w:w="4819"/>
      </w:tblGrid>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Nom de l’établissement</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 xml:space="preserve"> </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Ville / commune</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 xml:space="preserve"> </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Nom du promoteur / directeur</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 xml:space="preserve"> </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Téléphone</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 xml:space="preserve"> </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E-mail</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 xml:space="preserve"> </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Année scolaire concernée</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20____ / 20____</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Nombre de cartes commandées</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________  élèves  ×  20 USD</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Montant total (USD)</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________</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Duplicatas éventuels</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________  ×  10 USD  =  ________</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Montant général</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________  USD</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Mode de paiement souhaité</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Virement  /  Mobile Money  /  Espèces</w:t>
            </w:r>
          </w:p>
        </w:tc>
      </w:tr>
      <w:tr>
        <w:trPr>
          <w:cantSplit/>
        </w:trPr>
        <w:tc>
          <w:tcPr>
            <w:tcW w:type="dxa" w:w="3685"/>
            <w:vAlign w:val="center"/>
            <w:tcMar>
              <w:top w:w="60" w:type="dxa"/>
              <w:left w:w="80" w:type="dxa"/>
              <w:bottom w:w="60" w:type="dxa"/>
              <w:right w:w="80" w:type="dxa"/>
            </w:tcMar>
            <w:shd w:fill="0077C5" w:val="clear"/>
          </w:tcPr>
          <w:p>
            <w:pPr>
              <w:spacing w:after="0" w:before="0"/>
            </w:pPr>
            <w:r>
              <w:rPr>
                <w:rFonts w:ascii="Calibri" w:hAnsi="Calibri" w:eastAsia="Calibri"/>
                <w:b/>
                <w:i w:val="0"/>
                <w:color w:val="FFFFFF"/>
                <w:sz w:val="20"/>
              </w:rPr>
              <w:t>Banque de virement</w:t>
            </w:r>
          </w:p>
        </w:tc>
        <w:tc>
          <w:tcPr>
            <w:tcW w:type="dxa" w:w="5953"/>
            <w:vAlign w:val="center"/>
            <w:tcMar>
              <w:top w:w="60" w:type="dxa"/>
              <w:left w:w="80" w:type="dxa"/>
              <w:bottom w:w="60" w:type="dxa"/>
              <w:right w:w="80" w:type="dxa"/>
            </w:tcMar>
            <w:shd w:fill="F8FAFC" w:val="clear"/>
            <w:tcMar>
              <w:top w:w="90" w:type="dxa"/>
              <w:left w:w="80" w:type="dxa"/>
              <w:bottom w:w="90" w:type="dxa"/>
              <w:right w:w="80" w:type="dxa"/>
            </w:tcMar>
          </w:tcPr>
          <w:p>
            <w:pPr>
              <w:spacing w:after="0" w:before="0"/>
            </w:pPr>
            <w:r>
              <w:rPr>
                <w:rFonts w:ascii="Calibri" w:hAnsi="Calibri" w:eastAsia="Calibri"/>
                <w:b w:val="0"/>
                <w:i w:val="0"/>
                <w:color w:val="0F172A"/>
                <w:sz w:val="20"/>
              </w:rPr>
              <w:t>UBA RDC  /  EQUITY BCDC  /  ECOBANK RDC</w:t>
            </w:r>
          </w:p>
        </w:tc>
      </w:tr>
    </w:tbl>
    <w:p/>
    <w:p>
      <w:pPr>
        <w:spacing w:after="160"/>
      </w:pPr>
      <w:r>
        <w:rPr>
          <w:rFonts w:ascii="Calibri" w:hAnsi="Calibri" w:eastAsia="Calibri"/>
          <w:b w:val="0"/>
          <w:i w:val="0"/>
          <w:color w:val="0F172A"/>
          <w:sz w:val="20"/>
        </w:rPr>
        <w:t>Je soussigné(e), dûment habilité(e) à engager l’établissement, accepte la proposition financière Digital School (réf. PROP-DS-2026-001) et commande le nombre de cartes indiqué ci-dessus.</w:t>
      </w:r>
    </w:p>
    <w:tbl>
      <w:tblPr>
        <w:tblW w:type="auto" w:w="0"/>
        <w:jc w:val="center"/>
        <w:tblLook w:firstColumn="1" w:firstRow="1" w:lastColumn="0" w:lastRow="0" w:noHBand="0" w:noVBand="1" w:val="04A0"/>
      </w:tblPr>
      <w:tblGrid>
        <w:gridCol w:w="4819"/>
        <w:gridCol w:w="4819"/>
      </w:tblGrid>
      <w:tr>
        <w:tc>
          <w:tcPr>
            <w:tcW w:type="dxa" w:w="4819"/>
            <w:vAlign w:val="center"/>
            <w:tcMar>
              <w:top w:w="60" w:type="dxa"/>
              <w:left w:w="80" w:type="dxa"/>
              <w:bottom w:w="60" w:type="dxa"/>
              <w:right w:w="80" w:type="dxa"/>
            </w:tcMar>
            <w:shd w:fill="0F172A" w:val="clear"/>
          </w:tcPr>
          <w:p>
            <w:pPr>
              <w:spacing w:after="0" w:before="0"/>
              <w:jc w:val="center"/>
            </w:pPr>
            <w:r>
              <w:rPr>
                <w:rFonts w:ascii="Calibri" w:hAnsi="Calibri" w:eastAsia="Calibri"/>
                <w:b/>
                <w:i w:val="0"/>
                <w:color w:val="FFFFFF"/>
                <w:sz w:val="22"/>
              </w:rPr>
              <w:t>Pour l’établissement</w:t>
            </w:r>
          </w:p>
        </w:tc>
        <w:tc>
          <w:tcPr>
            <w:tcW w:type="dxa" w:w="4819"/>
            <w:vAlign w:val="center"/>
            <w:tcMar>
              <w:top w:w="60" w:type="dxa"/>
              <w:left w:w="80" w:type="dxa"/>
              <w:bottom w:w="60" w:type="dxa"/>
              <w:right w:w="80" w:type="dxa"/>
            </w:tcMar>
            <w:shd w:fill="0F172A" w:val="clear"/>
          </w:tcPr>
          <w:p>
            <w:pPr>
              <w:spacing w:after="0" w:before="0"/>
              <w:jc w:val="center"/>
            </w:pPr>
            <w:r>
              <w:rPr>
                <w:rFonts w:ascii="Calibri" w:hAnsi="Calibri" w:eastAsia="Calibri"/>
                <w:b/>
                <w:i w:val="0"/>
                <w:color w:val="FFFFFF"/>
                <w:sz w:val="22"/>
              </w:rPr>
              <w:t>Pour NTT S.A.R.L</w:t>
            </w:r>
          </w:p>
        </w:tc>
      </w:tr>
      <w:tr>
        <w:tc>
          <w:tcPr>
            <w:tcW w:type="dxa" w:w="4819"/>
            <w:tcMar>
              <w:top w:w="120" w:type="dxa"/>
              <w:left w:w="120" w:type="dxa"/>
              <w:bottom w:w="200" w:type="dxa"/>
              <w:right w:w="120" w:type="dxa"/>
            </w:tcMar>
            <w:shd w:fill="F8FAFC" w:val="clear"/>
          </w:tcPr>
          <w:p>
            <w:r>
              <w:rPr>
                <w:rFonts w:ascii="Calibri" w:hAnsi="Calibri" w:eastAsia="Calibri"/>
                <w:b w:val="0"/>
                <w:i w:val="0"/>
                <w:color w:val="0F172A"/>
                <w:sz w:val="20"/>
              </w:rPr>
              <w:t>Nom :</w:t>
              <w:br/>
              <w:t>Fonction :</w:t>
              <w:br/>
              <w:t>Date :</w:t>
              <w:br/>
              <w:t>Signature &amp; cachet :</w:t>
            </w:r>
          </w:p>
        </w:tc>
        <w:tc>
          <w:tcPr>
            <w:tcW w:type="dxa" w:w="4819"/>
            <w:tcMar>
              <w:top w:w="120" w:type="dxa"/>
              <w:left w:w="120" w:type="dxa"/>
              <w:bottom w:w="200" w:type="dxa"/>
              <w:right w:w="120" w:type="dxa"/>
            </w:tcMar>
            <w:shd w:fill="F8FAFC" w:val="clear"/>
          </w:tcPr>
          <w:p>
            <w:r>
              <w:rPr>
                <w:rFonts w:ascii="Calibri" w:hAnsi="Calibri" w:eastAsia="Calibri"/>
                <w:b w:val="0"/>
                <w:i w:val="0"/>
                <w:color w:val="0F172A"/>
                <w:sz w:val="20"/>
              </w:rPr>
              <w:t>Nom :</w:t>
              <w:br/>
              <w:t>Fonction :</w:t>
              <w:br/>
              <w:t>Date :</w:t>
              <w:br/>
              <w:t>Signature &amp; cachet :</w:t>
            </w:r>
          </w:p>
        </w:tc>
      </w:tr>
    </w:tbl>
    <w:p/>
    <w:p>
      <w:pPr>
        <w:pStyle w:val="Heading1"/>
      </w:pPr>
      <w:r>
        <w:rPr>
          <w:rFonts w:ascii="Calibri" w:hAnsi="Calibri" w:eastAsia="Calibri"/>
          <w:b/>
          <w:i w:val="0"/>
          <w:color w:val="0F172A"/>
          <w:sz w:val="32"/>
        </w:rPr>
        <w:t>10. Contact</w:t>
      </w:r>
    </w:p>
    <w:p>
      <w:pPr>
        <w:spacing w:after="160"/>
      </w:pPr>
      <w:r>
        <w:rPr>
          <w:rFonts w:ascii="Calibri" w:hAnsi="Calibri" w:eastAsia="Calibri"/>
          <w:b w:val="0"/>
          <w:i w:val="0"/>
          <w:color w:val="0F172A"/>
          <w:sz w:val="22"/>
        </w:rPr>
        <w:t>Pour une démonstration, un ajustement d’effectif ou toute question sur cette offre :</w:t>
      </w:r>
    </w:p>
    <w:p>
      <w:pPr>
        <w:pStyle w:val="ListBullet"/>
        <w:spacing w:after="60"/>
      </w:pPr>
      <w:r>
        <w:rPr>
          <w:rFonts w:ascii="Calibri" w:hAnsi="Calibri" w:eastAsia="Calibri"/>
          <w:b w:val="0"/>
          <w:i w:val="0"/>
          <w:color w:val="0F172A"/>
          <w:sz w:val="22"/>
        </w:rPr>
        <w:t>Éditeur : NTT S.A.R.L — Ntobu's Technology</w:t>
      </w:r>
    </w:p>
    <w:p>
      <w:pPr>
        <w:pStyle w:val="ListBullet"/>
        <w:spacing w:after="60"/>
      </w:pPr>
      <w:r>
        <w:rPr>
          <w:rFonts w:ascii="Calibri" w:hAnsi="Calibri" w:eastAsia="Calibri"/>
          <w:b w:val="0"/>
          <w:i w:val="0"/>
          <w:color w:val="0F172A"/>
          <w:sz w:val="22"/>
        </w:rPr>
        <w:t>Produit : Digital School</w:t>
      </w:r>
    </w:p>
    <w:p>
      <w:pPr>
        <w:pStyle w:val="ListBullet"/>
        <w:spacing w:after="60"/>
      </w:pPr>
      <w:r>
        <w:rPr>
          <w:rFonts w:ascii="Calibri" w:hAnsi="Calibri" w:eastAsia="Calibri"/>
          <w:b w:val="0"/>
          <w:i w:val="0"/>
          <w:color w:val="0F172A"/>
          <w:sz w:val="22"/>
        </w:rPr>
        <w:t>E-mail : [e-mail commercial]</w:t>
      </w:r>
    </w:p>
    <w:p>
      <w:pPr>
        <w:pStyle w:val="ListBullet"/>
        <w:spacing w:after="60"/>
      </w:pPr>
      <w:r>
        <w:rPr>
          <w:rFonts w:ascii="Calibri" w:hAnsi="Calibri" w:eastAsia="Calibri"/>
          <w:b w:val="0"/>
          <w:i w:val="0"/>
          <w:color w:val="0F172A"/>
          <w:sz w:val="22"/>
        </w:rPr>
        <w:t>Téléphone / WhatsApp : [numéro]</w:t>
      </w:r>
    </w:p>
    <w:p>
      <w:pPr>
        <w:pStyle w:val="ListBullet"/>
        <w:spacing w:after="60"/>
      </w:pPr>
      <w:r>
        <w:rPr>
          <w:rFonts w:ascii="Calibri" w:hAnsi="Calibri" w:eastAsia="Calibri"/>
          <w:b w:val="0"/>
          <w:i w:val="0"/>
          <w:color w:val="0F172A"/>
          <w:sz w:val="22"/>
        </w:rPr>
        <w:t>Référence à rappeler : PROP-DS-2026-001</w:t>
      </w:r>
    </w:p>
    <w:p/>
    <w:tbl>
      <w:tblPr>
        <w:tblW w:type="auto" w:w="0"/>
        <w:tblLook w:firstColumn="1" w:firstRow="1" w:lastColumn="0" w:lastRow="0" w:noHBand="0" w:noVBand="1" w:val="04A0"/>
      </w:tblPr>
      <w:tblGrid>
        <w:gridCol w:w="4819"/>
        <w:gridCol w:w="4819"/>
      </w:tblGrid>
      <w:tr>
        <w:tc>
          <w:tcPr>
            <w:tcW w:type="dxa" w:w="4819"/>
            <w:shd w:fill="0F172A" w:val="clear"/>
            <w:tcMar>
              <w:top w:w="80" w:type="dxa"/>
              <w:left w:w="80" w:type="dxa"/>
              <w:bottom w:w="80" w:type="dxa"/>
              <w:right w:w="80" w:type="dxa"/>
            </w:tcMar>
          </w:tcPr>
          <w:p>
            <w:r>
              <w:rPr>
                <w:rFonts w:ascii="Calibri" w:hAnsi="Calibri" w:eastAsia="Calibri"/>
                <w:b/>
                <w:i w:val="0"/>
                <w:color w:val="FFFFFF"/>
                <w:sz w:val="22"/>
              </w:rPr>
              <w:t>NTT S.A.R.L — Ntobu's Technology</w:t>
            </w:r>
          </w:p>
        </w:tc>
        <w:tc>
          <w:tcPr>
            <w:tcW w:type="dxa" w:w="4819"/>
            <w:shd w:fill="0077C5" w:val="clear"/>
            <w:tcMar>
              <w:top w:w="80" w:type="dxa"/>
              <w:left w:w="80" w:type="dxa"/>
              <w:bottom w:w="80" w:type="dxa"/>
              <w:right w:w="80" w:type="dxa"/>
            </w:tcMar>
          </w:tcPr>
          <w:p>
            <w:r>
              <w:rPr>
                <w:rFonts w:ascii="Calibri" w:hAnsi="Calibri" w:eastAsia="Calibri"/>
                <w:b/>
                <w:i w:val="0"/>
                <w:color w:val="FFFFFF"/>
                <w:sz w:val="22"/>
              </w:rPr>
              <w:t>Digital School — 20 USD par carte d’élève</w:t>
            </w:r>
          </w:p>
        </w:tc>
      </w:tr>
    </w:tbl>
    <w:p>
      <w:pPr>
        <w:spacing w:after="160"/>
        <w:jc w:val="center"/>
      </w:pPr>
      <w:r>
        <w:rPr>
          <w:rFonts w:ascii="Calibri" w:hAnsi="Calibri" w:eastAsia="Calibri"/>
          <w:b w:val="0"/>
          <w:i/>
          <w:color w:val="64748B"/>
          <w:sz w:val="18"/>
        </w:rPr>
        <w:t>Proposition financière — Août 2026 — Document confidentiel, non contractuel tant que le bon de commande n’est pas signé.</w:t>
      </w:r>
    </w:p>
    <w:sectPr w:rsidR="00FC693F" w:rsidRPr="0006063C" w:rsidSect="00034616">
      <w:footerReference w:type="default" r:id="rId11"/>
      <w:pgSz w:w="11906" w:h="16838"/>
      <w:pgMar w:top="90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64748B"/>
        <w:sz w:val="16"/>
      </w:rPr>
      <w:t>NTT S.A.R.L  ·  Digital School  ·  Proposition financière PROP-DS-2026-001  ·  Confidentiel</w:t>
    </w:r>
  </w:p>
  <w:p>
    <w:pPr>
      <w:jc w:val="center"/>
    </w:pPr>
    <w:r>
      <w:rPr>
        <w:rFonts w:ascii="Calibri" w:hAnsi="Calibri" w:eastAsia="Calibri"/>
        <w:b w:val="0"/>
        <w:i w:val="0"/>
        <w:color w:val="64748B"/>
        <w:sz w:val="16"/>
      </w:rPr>
      <w:t xml:space="preserve">Page </w:t>
    </w:r>
    <w:r>
      <w:rPr>
        <w:rFonts w:ascii="Calibri" w:hAnsi="Calibri" w:eastAsia="Calibri"/>
        <w:b w:val="0"/>
        <w:i w:val="0"/>
        <w:color w:val="64748B"/>
        <w:sz w:val="16"/>
      </w:rPr>
      <w:fldChar w:fldCharType="begin"/>
      <w:instrText xml:space="preserve"> PAGE </w:instrText>
      <w:fldChar w:fldCharType="end"/>
    </w:r>
    <w:r>
      <w:rPr>
        <w:rFonts w:ascii="Calibri" w:hAnsi="Calibri" w:eastAsia="Calibri"/>
        <w:b w:val="0"/>
        <w:i w:val="0"/>
        <w:color w:val="64748B"/>
        <w:sz w:val="16"/>
      </w:rPr>
      <w:t xml:space="preserve"> / </w:t>
    </w:r>
    <w:r>
      <w:rPr>
        <w:rFonts w:ascii="Calibri" w:hAnsi="Calibri" w:eastAsia="Calibri"/>
        <w:b w:val="0"/>
        <w:i w:val="0"/>
        <w:color w:val="64748B"/>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