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Spider — Daily Macro Research Digest</w:t>
            </w:r>
          </w:p>
          <w:p>
            <w:pPr>
              <w:spacing w:before="40" w:after="0"/>
              <w:jc w:val="right"/>
            </w:pPr>
            <w:r>
              <w:rPr>
                <w:rFonts w:ascii="Public Sans" w:hAnsi="Public Sans"/>
                <w:color w:val="B2D0B9"/>
                <w:sz w:val="20"/>
              </w:rPr>
              <w:t>Rates / FX desk  ·  2026-07-03  ·  Daily</w:t>
            </w:r>
          </w:p>
        </w:tc>
      </w:tr>
    </w:tbl>
    <w:p>
      <w:pPr>
        <w:spacing w:before="120" w:after="160"/>
        <w:pBdr>
          <w:bottom w:val="single" w:sz="12" w:space="2" w:color="004527"/>
        </w:pBdr>
      </w:pPr>
    </w:p>
    <w:p>
      <w:pPr>
        <w:spacing w:after="80" w:line="283" w:lineRule="auto"/>
      </w:pPr>
      <w:r>
        <w:rPr>
          <w:rFonts w:ascii="Public Sans" w:hAnsi="Public Sans"/>
          <w:b/>
          <w:i w:val="0"/>
          <w:color w:val="3D3E3E"/>
          <w:sz w:val="19"/>
        </w:rPr>
        <w:t>Window:</w:t>
      </w:r>
      <w:r>
        <w:rPr>
          <w:rFonts w:ascii="Public Sans" w:hAnsi="Public Sans"/>
          <w:b w:val="0"/>
          <w:i w:val="0"/>
          <w:color w:val="3D3E3E"/>
          <w:sz w:val="19"/>
        </w:rPr>
        <w:t xml:space="preserve"> rolling day into 2026-07-03 (flow 2026-07-02 → 2026-07-03) · </w:t>
      </w:r>
      <w:r>
        <w:rPr>
          <w:rFonts w:ascii="Public Sans" w:hAnsi="Public Sans"/>
          <w:b/>
          <w:i w:val="0"/>
          <w:color w:val="3D3E3E"/>
          <w:sz w:val="19"/>
        </w:rPr>
        <w:t>Edition:</w:t>
      </w:r>
      <w:r>
        <w:rPr>
          <w:rFonts w:ascii="Public Sans" w:hAnsi="Public Sans"/>
          <w:b w:val="0"/>
          <w:i w:val="0"/>
          <w:color w:val="3D3E3E"/>
          <w:sz w:val="19"/>
        </w:rPr>
        <w:t xml:space="preserve"> Daily · </w:t>
      </w:r>
      <w:r>
        <w:rPr>
          <w:rFonts w:ascii="Public Sans" w:hAnsi="Public Sans"/>
          <w:b/>
          <w:i w:val="0"/>
          <w:color w:val="3D3E3E"/>
          <w:sz w:val="19"/>
        </w:rPr>
        <w:t>Universe:</w:t>
      </w:r>
      <w:r>
        <w:rPr>
          <w:rFonts w:ascii="Public Sans" w:hAnsi="Public Sans"/>
          <w:b w:val="0"/>
          <w:i w:val="0"/>
          <w:color w:val="3D3E3E"/>
          <w:sz w:val="19"/>
        </w:rPr>
        <w:t xml:space="preserve"> AU · NZ · JP · IN · TH · ID · MY · SG · HK · PH · US · CA · UK</w:t>
      </w:r>
    </w:p>
    <w:p>
      <w:pPr>
        <w:spacing w:after="80" w:line="283" w:lineRule="auto"/>
      </w:pPr>
      <w:r>
        <w:rPr>
          <w:rFonts w:ascii="Public Sans" w:hAnsi="Public Sans"/>
          <w:b w:val="0"/>
          <w:i w:val="0"/>
          <w:color w:val="3D3E3E"/>
          <w:sz w:val="19"/>
        </w:rPr>
        <w:t>&gt; FX/rates PM lens. Number-first, low-opinion. Sell-side is treated as motivated until the numbers say otherwise. Trades are surfaced with assumption + falsifier — never rated. Every table row is explained in the prose beneath it.</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Grounding legend:</w:t>
      </w:r>
      <w:r>
        <w:rPr>
          <w:rFonts w:ascii="Public Sans" w:hAnsi="Public Sans"/>
          <w:b w:val="0"/>
          <w:i w:val="0"/>
          <w:color w:val="3D3E3E"/>
          <w:sz w:val="19"/>
        </w:rPr>
        <w:t xml:space="preserve"> FACT = printed/decision (calendar.cb_events) · DEPTH = component series (econ.fact_indicator) · VIEW = sell-side interpretation (research.fact_chunk + Qdrant) · PRICING = market-implied · SYN = synthesis.</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Deltas since 07-02</w:t>
      </w:r>
      <w:r>
        <w:rPr>
          <w:rFonts w:ascii="Public Sans" w:hAnsi="Public Sans"/>
          <w:i/>
          <w:color w:val="7A7C7C"/>
          <w:sz w:val="16"/>
        </w:rPr>
        <w:t xml:space="preserve">   SYN — lead with what changed</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US June payrolls printed a large downside miss: +57K vs 110K consensus, prior revised down to 129K (from 172K)</w:t>
      </w:r>
      <w:r>
        <w:rPr>
          <w:rFonts w:ascii="Public Sans" w:hAnsi="Public Sans"/>
          <w:b w:val="0"/>
          <w:i w:val="0"/>
          <w:color w:val="3D3E3E"/>
          <w:sz w:val="19"/>
        </w:rPr>
        <w:t xml:space="preserve"> (FACT, cb_events row 21819). Private payrolls +49K; unemployment </w:t>
      </w:r>
      <w:r>
        <w:rPr>
          <w:rFonts w:ascii="Public Sans" w:hAnsi="Public Sans"/>
          <w:b w:val="0"/>
          <w:i/>
          <w:color w:val="3D3E3E"/>
          <w:sz w:val="19"/>
        </w:rPr>
        <w:t>fell</w:t>
      </w:r>
      <w:r>
        <w:rPr>
          <w:rFonts w:ascii="Public Sans" w:hAnsi="Public Sans"/>
          <w:b w:val="0"/>
          <w:i w:val="0"/>
          <w:color w:val="3D3E3E"/>
          <w:sz w:val="19"/>
        </w:rPr>
        <w:t xml:space="preserve"> to 4.2% but on a </w:t>
      </w:r>
      <w:r>
        <w:rPr>
          <w:rFonts w:ascii="Public Sans" w:hAnsi="Public Sans"/>
          <w:b/>
          <w:i w:val="0"/>
          <w:color w:val="3D3E3E"/>
          <w:sz w:val="19"/>
        </w:rPr>
        <w:t>falling participation rate (61.5% from 61.8%)</w:t>
      </w:r>
      <w:r>
        <w:rPr>
          <w:rFonts w:ascii="Public Sans" w:hAnsi="Public Sans"/>
          <w:b w:val="0"/>
          <w:i w:val="0"/>
          <w:color w:val="3D3E3E"/>
          <w:sz w:val="19"/>
        </w:rPr>
        <w:t xml:space="preserve"> — a mechanical, not a healthy, decline. This supersedes the 07-02 "hawkish repricing / farewell to Fed cuts" frame: the sell-side pivoted the same day to "the hike case was just revised away," with the live debate now hike-dead-but-is-the-cut-case-alive.</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Australia swung to a goods-trade deficit: A\$-3.018B vs A\$2.2B survey</w:t>
      </w:r>
      <w:r>
        <w:rPr>
          <w:rFonts w:ascii="Public Sans" w:hAnsi="Public Sans"/>
          <w:b w:val="0"/>
          <w:i w:val="0"/>
          <w:color w:val="3D3E3E"/>
          <w:sz w:val="19"/>
        </w:rPr>
        <w:t xml:space="preserve"> (FACT, row 21802) — a sharp miss on weaker metal-ore exports.</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New Zealand's Jul-8 call converged toward a hike:</w:t>
      </w:r>
      <w:r>
        <w:rPr>
          <w:rFonts w:ascii="Public Sans" w:hAnsi="Public Sans"/>
          <w:b w:val="0"/>
          <w:i w:val="0"/>
          <w:color w:val="3D3E3E"/>
          <w:sz w:val="19"/>
        </w:rPr>
        <w:t xml:space="preserve"> cb_events forecast now </w:t>
      </w:r>
      <w:r>
        <w:rPr>
          <w:rFonts w:ascii="Public Sans" w:hAnsi="Public Sans"/>
          <w:b/>
          <w:i w:val="0"/>
          <w:color w:val="3D3E3E"/>
          <w:sz w:val="19"/>
        </w:rPr>
        <w:t>2.50%</w:t>
      </w:r>
      <w:r>
        <w:rPr>
          <w:rFonts w:ascii="Public Sans" w:hAnsi="Public Sans"/>
          <w:b w:val="0"/>
          <w:i w:val="0"/>
          <w:color w:val="3D3E3E"/>
          <w:sz w:val="19"/>
        </w:rPr>
        <w:t xml:space="preserve"> (was hold-2.25% at the 07-02 run); UBS, HSBC, Nomura joined ANZ calling a July +25bp; Westpac remains the lone hold-to-September holdout.</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BNP raised its BoJ terminal-rate forecast to 2.50%</w:t>
      </w:r>
      <w:r>
        <w:rPr>
          <w:rFonts w:ascii="Public Sans" w:hAnsi="Public Sans"/>
          <w:b w:val="0"/>
          <w:i w:val="0"/>
          <w:color w:val="3D3E3E"/>
          <w:sz w:val="19"/>
        </w:rPr>
        <w:t xml:space="preserve"> (VIEW, 15399) — a new hawkish outlier on Japan, on AI-boom growth and firm household spending; USD/JPY came </w:t>
      </w:r>
      <w:r>
        <w:rPr>
          <w:rFonts w:ascii="Public Sans" w:hAnsi="Public Sans"/>
          <w:b w:val="0"/>
          <w:i/>
          <w:color w:val="3D3E3E"/>
          <w:sz w:val="19"/>
        </w:rPr>
        <w:t>off</w:t>
      </w:r>
      <w:r>
        <w:rPr>
          <w:rFonts w:ascii="Public Sans" w:hAnsi="Public Sans"/>
          <w:b w:val="0"/>
          <w:i w:val="0"/>
          <w:color w:val="3D3E3E"/>
          <w:sz w:val="19"/>
        </w:rPr>
        <w:t xml:space="preserve"> its highs post-NFP.</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UBS turned outright bearish IDR</w:t>
      </w:r>
      <w:r>
        <w:rPr>
          <w:rFonts w:ascii="Public Sans" w:hAnsi="Public Sans"/>
          <w:b w:val="0"/>
          <w:i w:val="0"/>
          <w:color w:val="3D3E3E"/>
          <w:sz w:val="19"/>
        </w:rPr>
        <w:t xml:space="preserve"> ("Pause or Turning Point?", 15130) — sees USD/IDR to 18,500-19,000 in 2H and BI's 100bp of hikes "insufficient," cutting against the "defence holds" read.</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New post-NFP trades:</w:t>
      </w:r>
      <w:r>
        <w:rPr>
          <w:rFonts w:ascii="Public Sans" w:hAnsi="Public Sans"/>
          <w:b w:val="0"/>
          <w:i w:val="0"/>
          <w:color w:val="3D3E3E"/>
          <w:sz w:val="19"/>
        </w:rPr>
        <w:t xml:space="preserve"> MS re-enter UST curve steepeners (15365); BNP close JPY 2s5s10s (15134); DB take profit on sterling longs / kiwi shorts (15145); HSBC close sell SGD-INR — stopped at 74.00 (15099).</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1. CB / macro dashboard</w:t>
      </w:r>
      <w:r>
        <w:rPr>
          <w:rFonts w:ascii="Public Sans" w:hAnsi="Public Sans"/>
          <w:i/>
          <w:color w:val="7A7C7C"/>
          <w:sz w:val="16"/>
        </w:rPr>
        <w:t xml:space="preserve">   FACT — calendar.cb_events</w:t>
      </w:r>
    </w:p>
    <w:p>
      <w:pPr>
        <w:spacing w:after="80" w:line="283" w:lineRule="auto"/>
      </w:pPr>
      <w:r>
        <w:rPr>
          <w:rFonts w:ascii="Public Sans" w:hAnsi="Public Sans"/>
          <w:b w:val="0"/>
          <w:i w:val="0"/>
          <w:color w:val="3D3E3E"/>
          <w:sz w:val="19"/>
        </w:rPr>
        <w:t>One row per covered country. Policy rate = last decided rate on a verified decision row; last move and next event verified against cb_events.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9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0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Policy rate</w:t>
            </w:r>
          </w:p>
        </w:tc>
        <w:tc>
          <w:tcPr>
            <w:tcW w:type="dxa" w:w="305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Last move (verified)</w:t>
            </w:r>
          </w:p>
        </w:tc>
        <w:tc>
          <w:tcPr>
            <w:tcW w:type="dxa" w:w="20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Next scheduled</w:t>
            </w:r>
          </w:p>
        </w:tc>
        <w:tc>
          <w:tcPr>
            <w:tcW w:type="dxa" w:w="35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Bias / key issue</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3.75%</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2026-06-17 (dots up)</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FOMC minutes 07-08</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NFP miss (57K) reopens the cut debate</w:t>
            </w:r>
            <w:r>
              <w:rPr>
                <w:rFonts w:ascii="Public Sans" w:hAnsi="Public Sans"/>
                <w:b w:val="0"/>
                <w:i w:val="0"/>
                <w:color w:val="3D3E3E"/>
                <w:sz w:val="16"/>
              </w:rPr>
              <w:t>; Warsh dovish-tilted</w:t>
            </w:r>
          </w:p>
        </w:tc>
      </w:tr>
      <w:tr>
        <w:tc>
          <w:tcPr>
            <w:tcW w:type="dxa" w:w="9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10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1.00%</w:t>
            </w:r>
          </w:p>
        </w:tc>
        <w:tc>
          <w:tcPr>
            <w:tcW w:type="dxa" w:w="30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Hiked +25bp</w:t>
            </w:r>
            <w:r>
              <w:rPr>
                <w:rFonts w:ascii="Public Sans" w:hAnsi="Public Sans"/>
                <w:b w:val="0"/>
                <w:i w:val="0"/>
                <w:color w:val="3D3E3E"/>
                <w:sz w:val="16"/>
              </w:rPr>
              <w:t xml:space="preserve"> 2026-06-16 (from 0.75%)</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Tankan firm; BNP lifts terminal to 2.50%; USD/JPY off highs</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5.75%</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Hiked +25bp</w:t>
            </w:r>
            <w:r>
              <w:rPr>
                <w:rFonts w:ascii="Public Sans" w:hAnsi="Public Sans"/>
                <w:b w:val="0"/>
                <w:i w:val="0"/>
                <w:color w:val="3D3E3E"/>
                <w:sz w:val="16"/>
              </w:rPr>
              <w:t xml:space="preserve"> 2026-06-18 (from 5.50; +25bp 06-09)</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Inflation broadening; UBS bearish IDR vs JPM further-hikes-to-6.00%</w:t>
            </w:r>
          </w:p>
        </w:tc>
      </w:tr>
      <w:tr>
        <w:tc>
          <w:tcPr>
            <w:tcW w:type="dxa" w:w="9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0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4.35%</w:t>
            </w:r>
          </w:p>
        </w:tc>
        <w:tc>
          <w:tcPr>
            <w:tcW w:type="dxa" w:w="30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2026-06-16</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RBA speech (Hunter) 07-08</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Trade swings to deficit</w:t>
            </w:r>
            <w:r>
              <w:rPr>
                <w:rFonts w:ascii="Public Sans" w:hAnsi="Public Sans"/>
                <w:b w:val="0"/>
                <w:i w:val="0"/>
                <w:color w:val="3D3E3E"/>
                <w:sz w:val="16"/>
              </w:rPr>
              <w:t>; neutral-rate debate; PMIs back &gt;50</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2.25%</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decision)</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decision 2026-07-08</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Now near-consensus </w:t>
            </w:r>
            <w:r>
              <w:rPr>
                <w:rFonts w:ascii="Public Sans" w:hAnsi="Public Sans"/>
                <w:b/>
                <w:i w:val="0"/>
                <w:color w:val="3D3E3E"/>
                <w:sz w:val="16"/>
              </w:rPr>
              <w:t>+25bp to 2.50%</w:t>
            </w:r>
            <w:r>
              <w:rPr>
                <w:rFonts w:ascii="Public Sans" w:hAnsi="Public Sans"/>
                <w:b w:val="0"/>
                <w:i w:val="0"/>
                <w:color w:val="3D3E3E"/>
                <w:sz w:val="16"/>
              </w:rPr>
              <w:t>; Westpac lone hold</w:t>
            </w:r>
          </w:p>
        </w:tc>
      </w:tr>
      <w:tr>
        <w:tc>
          <w:tcPr>
            <w:tcW w:type="dxa" w:w="9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0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3.75%</w:t>
            </w:r>
          </w:p>
        </w:tc>
        <w:tc>
          <w:tcPr>
            <w:tcW w:type="dxa" w:w="30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2026-06-18 (vote 7/2/0 — 2 hike dissents)</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Bailey 07-03; services PMI 07-03</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Sticky; hawkish vote drift; gilt-curve steepening thesis</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2.25%</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2026-06-10</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Business Outlook Survey 07-06</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Steady BoC; mfg PMI back to 53.0</w:t>
            </w:r>
          </w:p>
        </w:tc>
      </w:tr>
      <w:tr>
        <w:tc>
          <w:tcPr>
            <w:tcW w:type="dxa" w:w="9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0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5.25%</w:t>
            </w:r>
          </w:p>
        </w:tc>
        <w:tc>
          <w:tcPr>
            <w:tcW w:type="dxa" w:w="30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2026-06-05</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Services PMI 07-03</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RBI-inflows theme live; June CPI/monsoon the watch</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Philippines</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4.75%</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Hiked +25bp</w:t>
            </w:r>
            <w:r>
              <w:rPr>
                <w:rFonts w:ascii="Public Sans" w:hAnsi="Public Sans"/>
                <w:b w:val="0"/>
                <w:i w:val="0"/>
                <w:color w:val="3D3E3E"/>
                <w:sz w:val="16"/>
              </w:rPr>
              <w:t xml:space="preserve"> 2026-06-18 (from 4.50)</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EM-tightening cluster; external balance improving</w:t>
            </w:r>
          </w:p>
        </w:tc>
      </w:tr>
      <w:tr>
        <w:tc>
          <w:tcPr>
            <w:tcW w:type="dxa" w:w="9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Thailand</w:t>
            </w:r>
          </w:p>
        </w:tc>
        <w:tc>
          <w:tcPr>
            <w:tcW w:type="dxa" w:w="10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1.00%</w:t>
            </w:r>
          </w:p>
        </w:tc>
        <w:tc>
          <w:tcPr>
            <w:tcW w:type="dxa" w:w="30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2026-06-24</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minutes 07-08</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H2; StanC "challenging H2"; oil-relief overlay</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2.75%</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decision)</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BNM decision 2026-07-09</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 pausa" — houses expect hold</w:t>
            </w:r>
          </w:p>
        </w:tc>
      </w:tr>
      <w:tr>
        <w:tc>
          <w:tcPr>
            <w:tcW w:type="dxa" w:w="9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Hong Kong</w:t>
            </w:r>
          </w:p>
        </w:tc>
        <w:tc>
          <w:tcPr>
            <w:tcW w:type="dxa" w:w="10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peg / LAF</w:t>
            </w:r>
          </w:p>
        </w:tc>
        <w:tc>
          <w:tcPr>
            <w:tcW w:type="dxa" w:w="30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(linked to Fed)</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Peg follows Fed; May data soft (JPM 15266)</w:t>
            </w:r>
          </w:p>
        </w:tc>
      </w:tr>
      <w:tr>
        <w:tc>
          <w:tcPr>
            <w:tcW w:type="dxa" w:w="9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0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S\$NEER band</w:t>
            </w:r>
          </w:p>
        </w:tc>
        <w:tc>
          <w:tcPr>
            <w:tcW w:type="dxa" w:w="30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(band, not a rate)</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review (July)</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Composite PMI 57.4 strong; houses lean to a slight July easing</w:t>
            </w:r>
          </w:p>
        </w:tc>
      </w:tr>
    </w:tbl>
    <w:p>
      <w:pPr>
        <w:spacing w:after="80" w:line="283" w:lineRule="auto"/>
      </w:pPr>
      <w:r>
        <w:rPr>
          <w:rFonts w:ascii="Public Sans" w:hAnsi="Public Sans"/>
          <w:b/>
          <w:i w:val="0"/>
          <w:color w:val="3D3E3E"/>
          <w:sz w:val="19"/>
        </w:rPr>
        <w:t>SYN — state of the world:</w:t>
      </w:r>
      <w:r>
        <w:rPr>
          <w:rFonts w:ascii="Public Sans" w:hAnsi="Public Sans"/>
          <w:b w:val="0"/>
          <w:i w:val="0"/>
          <w:color w:val="3D3E3E"/>
          <w:sz w:val="19"/>
        </w:rPr>
        <w:t xml:space="preserve"> the hawkish base of the past week (Fed dots up, post-hike BoJ, June EM hikes) met a </w:t>
      </w:r>
      <w:r>
        <w:rPr>
          <w:rFonts w:ascii="Public Sans" w:hAnsi="Public Sans"/>
          <w:b/>
          <w:i w:val="0"/>
          <w:color w:val="3D3E3E"/>
          <w:sz w:val="19"/>
        </w:rPr>
        <w:t>dovish US labour shock</w:t>
      </w:r>
      <w:r>
        <w:rPr>
          <w:rFonts w:ascii="Public Sans" w:hAnsi="Public Sans"/>
          <w:b w:val="0"/>
          <w:i w:val="0"/>
          <w:color w:val="3D3E3E"/>
          <w:sz w:val="19"/>
        </w:rPr>
        <w:t>. The June payrolls miss (57K, prior revised down, participation falling) is the day's gravity — it kills the reacceleration/hike narrative and reopens a two-way Fed debate, with houses split between "cuts are coming" (Citi, BNP) and "noise, steady Fed" (DB, MS). Around it: Antipodean divergence widened (RBNZ toward a July hike; AU into a trade deficit), Japan's hike-path debate hardened (BNP terminal 2.50%), and Indonesia gained a genuine bear (UBS) against the further-hiker (JPM).</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2. Calendar — releases + CB events with rate relevance</w:t>
      </w:r>
      <w:r>
        <w:rPr>
          <w:rFonts w:ascii="Public Sans" w:hAnsi="Public Sans"/>
          <w:i/>
          <w:color w:val="7A7C7C"/>
          <w:sz w:val="16"/>
        </w:rPr>
        <w:t xml:space="preserve">   FACT — cb_events; pure calendar, no view</w:t>
      </w:r>
    </w:p>
    <w:p>
      <w:pPr>
        <w:spacing w:after="80" w:line="283" w:lineRule="auto"/>
      </w:pPr>
      <w:r>
        <w:rPr>
          <w:rFonts w:ascii="Public Sans" w:hAnsi="Public Sans"/>
          <w:b w:val="0"/>
          <w:i w:val="0"/>
          <w:color w:val="3D3E3E"/>
          <w:sz w:val="19"/>
        </w:rPr>
        <w:t>Consensus (survey/forecast) shown where present; actual shown only where the row carries one. ® = prior revised. Times UTC.</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6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50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6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w:t>
            </w:r>
          </w:p>
        </w:tc>
        <w:tc>
          <w:tcPr>
            <w:tcW w:type="dxa" w:w="16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Prior</w:t>
            </w:r>
          </w:p>
        </w:tc>
        <w:tc>
          <w:tcPr>
            <w:tcW w:type="dxa" w:w="10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Actual</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Non-farm payrolls</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110K</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129K ® (was 172K)</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57K</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Private payrolls</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110K</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97K ®</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49K</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Unemployment rate</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4.3%</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4.3%</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4.2%</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Participation rate</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61.7% fcst</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61.8%</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61.5%</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Average hourly earnings MoM / YoY</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0.3% / —</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0.3% / 3.4%</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0.3% / 3.5%</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Initial jobless claims</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220K</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216K ®</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215K</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U-6 unemployment</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8.1%</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7.9%</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Factory orders MoM</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-1.8%</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5.3% ®</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-1.3%</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AU</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Balance of trade</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A\$2.2B</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A\$1.383B ®</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A\$-3.018B</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Services / composite PMI final</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49.9 / 49.8</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48.7 / 48.7</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50.5 / 50.4</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S&amp;P Global mfg PMI</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53.4 fcst</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52.9</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53.0</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SIPMM manufacturing PMI</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50.4 fcst</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51.0</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51.3</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07-03</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Composite / services PMI final</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52.5 / 51.8</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51.1 / 50.0</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52.8 / 52.2</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07-03</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S&amp;P Global PMI</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51.5 fcst</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56.7</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57.4</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07-03</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services / composite PMI final</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58 / 57.4</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59.8 / 59.3</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not booked</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07-03</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Services / composite PMI final; Bailey; DMP 1y CPI exp</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48.7 / 49.4</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49.3 / 49.7 / 3.7%</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not booked</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07-08</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interest-rate decision</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 2.50%</w:t>
            </w:r>
            <w:r>
              <w:rPr>
                <w:rFonts w:ascii="Public Sans" w:hAnsi="Public Sans"/>
                <w:b w:val="0"/>
                <w:i w:val="0"/>
                <w:color w:val="3D3E3E"/>
                <w:sz w:val="16"/>
              </w:rPr>
              <w:t xml:space="preserve"> (fcst)</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2.25%</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07-08</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meeting minutes</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07-08</w:t>
            </w:r>
          </w:p>
        </w:tc>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50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FOMC minutes</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07-09</w:t>
            </w:r>
          </w:p>
        </w:tc>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w:t>
            </w:r>
          </w:p>
        </w:tc>
        <w:tc>
          <w:tcPr>
            <w:tcW w:type="dxa" w:w="50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BNM interest-rate decision</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2.75% (fcst)</w:t>
            </w:r>
          </w:p>
        </w:tc>
        <w:tc>
          <w:tcPr>
            <w:tcW w:type="dxa" w:w="1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2.75%</w:t>
            </w:r>
          </w:p>
        </w:tc>
        <w:tc>
          <w:tcPr>
            <w:tcW w:type="dxa" w:w="1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3. Cross-cutting trade-ideas table</w:t>
      </w:r>
      <w:r>
        <w:rPr>
          <w:rFonts w:ascii="Public Sans" w:hAnsi="Public Sans"/>
          <w:i/>
          <w:color w:val="7A7C7C"/>
          <w:sz w:val="16"/>
        </w:rPr>
        <w:t xml:space="preserve">   VIEW / trade recommendation — provenance tagged; not judged</w:t>
      </w:r>
    </w:p>
    <w:p>
      <w:pPr>
        <w:spacing w:after="80" w:line="283" w:lineRule="auto"/>
      </w:pPr>
      <w:r>
        <w:rPr>
          <w:rFonts w:ascii="Public Sans" w:hAnsi="Public Sans"/>
          <w:b w:val="0"/>
          <w:i w:val="0"/>
          <w:color w:val="3D3E3E"/>
          <w:sz w:val="19"/>
        </w:rPr>
        <w:t>Distilled from the fresh-window fact-chunk sweep + per-theme Qdrant search. Each row is expanded in the country read.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23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23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driver / rationale</w:t>
            </w:r>
          </w:p>
        </w:tc>
        <w:tc>
          <w:tcPr>
            <w:tcW w:type="dxa" w:w="20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Assumption it rests on</w:t>
            </w:r>
          </w:p>
        </w:tc>
        <w:tc>
          <w:tcPr>
            <w:tcW w:type="dxa" w:w="20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c>
          <w:tcPr>
            <w:tcW w:type="dxa" w:w="16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Provenance (report_id)</w:t>
            </w:r>
          </w:p>
        </w:tc>
      </w:tr>
      <w:tr>
        <w:tc>
          <w:tcPr>
            <w:tcW w:type="dxa" w:w="2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Re-enter UST curve steepeners</w:t>
            </w:r>
            <w:r>
              <w:rPr>
                <w:rFonts w:ascii="Public Sans" w:hAnsi="Public Sans"/>
                <w:b w:val="0"/>
                <w:i w:val="0"/>
                <w:color w:val="3D3E3E"/>
                <w:sz w:val="16"/>
              </w:rPr>
              <w:t xml:space="preserve"> (6-7y sector)</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NFP + expected more soft prints; carry + roll</w:t>
            </w:r>
          </w:p>
        </w:tc>
        <w:tc>
          <w:tcPr>
            <w:tcW w:type="dxa" w:w="20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softening drives front-end lower over time</w:t>
            </w:r>
          </w:p>
        </w:tc>
        <w:tc>
          <w:tcPr>
            <w:tcW w:type="dxa" w:w="20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re-accelerating jobs trend / sticky inflation</w:t>
            </w:r>
          </w:p>
        </w:tc>
        <w:tc>
          <w:tcPr>
            <w:tcW w:type="dxa" w:w="16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 US Rates (15365)</w:t>
            </w:r>
          </w:p>
        </w:tc>
      </w:tr>
      <w:tr>
        <w:tc>
          <w:tcPr>
            <w:tcW w:type="dxa" w:w="2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Buy 10y TIPS with payer protection</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Breakevens cheap; investors "paying for protection vs 6% rates"</w:t>
            </w:r>
          </w:p>
        </w:tc>
        <w:tc>
          <w:tcPr>
            <w:tcW w:type="dxa" w:w="20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Real-yield range-top; hawkish tail overpriced</w:t>
            </w:r>
          </w:p>
        </w:tc>
        <w:tc>
          <w:tcPr>
            <w:tcW w:type="dxa" w:w="20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Inflation rolls over / real yields break higher</w:t>
            </w:r>
          </w:p>
        </w:tc>
        <w:tc>
          <w:tcPr>
            <w:tcW w:type="dxa" w:w="16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 (14751, 15186)</w:t>
            </w:r>
          </w:p>
        </w:tc>
      </w:tr>
      <w:tr>
        <w:tc>
          <w:tcPr>
            <w:tcW w:type="dxa" w:w="2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Close JPY 2s5s10s</w:t>
            </w:r>
            <w:r>
              <w:rPr>
                <w:rFonts w:ascii="Public Sans" w:hAnsi="Public Sans"/>
                <w:b w:val="0"/>
                <w:i w:val="0"/>
                <w:color w:val="3D3E3E"/>
                <w:sz w:val="16"/>
              </w:rPr>
              <w:t xml:space="preserve"> (belly 5y→10y)</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Post-BoJ curve repositioning; 2s5s10s richened</w:t>
            </w:r>
          </w:p>
        </w:tc>
        <w:tc>
          <w:tcPr>
            <w:tcW w:type="dxa" w:w="20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belly move has played out</w:t>
            </w:r>
          </w:p>
        </w:tc>
        <w:tc>
          <w:tcPr>
            <w:tcW w:type="dxa" w:w="20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Fresh BoJ hawkish surprise re-steepens</w:t>
            </w:r>
          </w:p>
        </w:tc>
        <w:tc>
          <w:tcPr>
            <w:tcW w:type="dxa" w:w="16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JPY rates (15134)</w:t>
            </w:r>
          </w:p>
        </w:tc>
      </w:tr>
      <w:tr>
        <w:tc>
          <w:tcPr>
            <w:tcW w:type="dxa" w:w="2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Take profit: long GBP (vs EUR) / cover kiwi shorts</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Trades matured; UK Chancellor choice a residual risk</w:t>
            </w:r>
          </w:p>
        </w:tc>
        <w:tc>
          <w:tcPr>
            <w:tcW w:type="dxa" w:w="20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strength + NZD downside largely realised</w:t>
            </w:r>
          </w:p>
        </w:tc>
        <w:tc>
          <w:tcPr>
            <w:tcW w:type="dxa" w:w="20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 leadership shock / RBNZ hold reverses NZD</w:t>
            </w:r>
          </w:p>
        </w:tc>
        <w:tc>
          <w:tcPr>
            <w:tcW w:type="dxa" w:w="16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FX (15145)</w:t>
            </w:r>
          </w:p>
        </w:tc>
      </w:tr>
      <w:tr>
        <w:tc>
          <w:tcPr>
            <w:tcW w:type="dxa" w:w="2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Sell EUR/INR</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RBI inflow measures; lower INR vol</w:t>
            </w:r>
          </w:p>
        </w:tc>
        <w:tc>
          <w:tcPr>
            <w:tcW w:type="dxa" w:w="20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FCNR(B)/ECB inflows land; risk stays benign</w:t>
            </w:r>
          </w:p>
        </w:tc>
        <w:tc>
          <w:tcPr>
            <w:tcW w:type="dxa" w:w="20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Inflows stall / global risk-off hits INR</w:t>
            </w:r>
          </w:p>
        </w:tc>
        <w:tc>
          <w:tcPr>
            <w:tcW w:type="dxa" w:w="16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FX (14665)</w:t>
            </w:r>
          </w:p>
        </w:tc>
      </w:tr>
      <w:tr>
        <w:tc>
          <w:tcPr>
            <w:tcW w:type="dxa" w:w="2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Constructive </w:t>
            </w:r>
            <w:r>
              <w:rPr>
                <w:rFonts w:ascii="Public Sans" w:hAnsi="Public Sans"/>
                <w:b/>
                <w:i w:val="0"/>
                <w:color w:val="3D3E3E"/>
                <w:sz w:val="16"/>
              </w:rPr>
              <w:t>INR FX + bonds</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Improving carry + narrowing C/A + RBI measures</w:t>
            </w:r>
          </w:p>
        </w:tc>
        <w:tc>
          <w:tcPr>
            <w:tcW w:type="dxa" w:w="20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Carry holds; C/A keeps narrowing</w:t>
            </w:r>
          </w:p>
        </w:tc>
        <w:tc>
          <w:tcPr>
            <w:tcW w:type="dxa" w:w="20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 re-spike widens C/A</w:t>
            </w:r>
          </w:p>
        </w:tc>
        <w:tc>
          <w:tcPr>
            <w:tcW w:type="dxa" w:w="16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Goldman (14730)</w:t>
            </w:r>
          </w:p>
        </w:tc>
      </w:tr>
      <w:tr>
        <w:tc>
          <w:tcPr>
            <w:tcW w:type="dxa" w:w="2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 position for </w:t>
            </w:r>
            <w:r>
              <w:rPr>
                <w:rFonts w:ascii="Public Sans" w:hAnsi="Public Sans"/>
                <w:b/>
                <w:i w:val="0"/>
                <w:color w:val="3D3E3E"/>
                <w:sz w:val="16"/>
              </w:rPr>
              <w:t>RBNZ +25bp Jul-8</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Near-consensus hike; forecast now 2.50%</w:t>
            </w:r>
          </w:p>
        </w:tc>
        <w:tc>
          <w:tcPr>
            <w:tcW w:type="dxa" w:w="20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RBNZ delivers; oil-shock persistence sticks</w:t>
            </w:r>
          </w:p>
        </w:tc>
        <w:tc>
          <w:tcPr>
            <w:tcW w:type="dxa" w:w="20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Governor invokes his oil/growth off-ramp</w:t>
            </w:r>
          </w:p>
        </w:tc>
        <w:tc>
          <w:tcPr>
            <w:tcW w:type="dxa" w:w="16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(14581), UBS (15127), HSBC (15246)</w:t>
            </w:r>
          </w:p>
        </w:tc>
      </w:tr>
      <w:tr>
        <w:tc>
          <w:tcPr>
            <w:tcW w:type="dxa" w:w="2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8</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Fade the yen move</w:t>
            </w:r>
            <w:r>
              <w:rPr>
                <w:rFonts w:ascii="Public Sans" w:hAnsi="Public Sans"/>
                <w:b w:val="0"/>
                <w:i w:val="0"/>
                <w:color w:val="3D3E3E"/>
                <w:sz w:val="16"/>
              </w:rPr>
              <w:t xml:space="preserve"> (close JPY shorts / take FX-vol profit)</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Intervention threat near-imminent; USD/JPY off highs</w:t>
            </w:r>
          </w:p>
        </w:tc>
        <w:tc>
          <w:tcPr>
            <w:tcW w:type="dxa" w:w="20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Threat + soft NFP cap the top</w:t>
            </w:r>
          </w:p>
        </w:tc>
        <w:tc>
          <w:tcPr>
            <w:tcW w:type="dxa" w:w="20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Disorderly break past 163 with no execution</w:t>
            </w:r>
          </w:p>
        </w:tc>
        <w:tc>
          <w:tcPr>
            <w:tcW w:type="dxa" w:w="16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(14595), BNP (14478)</w:t>
            </w:r>
          </w:p>
        </w:tc>
      </w:tr>
      <w:tr>
        <w:tc>
          <w:tcPr>
            <w:tcW w:type="dxa" w:w="2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Receive </w:t>
            </w:r>
            <w:r>
              <w:rPr>
                <w:rFonts w:ascii="Public Sans" w:hAnsi="Public Sans"/>
                <w:b/>
                <w:i w:val="0"/>
                <w:color w:val="3D3E3E"/>
                <w:sz w:val="16"/>
              </w:rPr>
              <w:t>2Y MYR NDIRS / THB curve</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Post-Iran EM tightening-expectations unwind; liquidity</w:t>
            </w:r>
          </w:p>
        </w:tc>
        <w:tc>
          <w:tcPr>
            <w:tcW w:type="dxa" w:w="20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Regional rates re-rally as risk premium fades</w:t>
            </w:r>
          </w:p>
        </w:tc>
        <w:tc>
          <w:tcPr>
            <w:tcW w:type="dxa" w:w="20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Renewed oil/geopolitical shock</w:t>
            </w:r>
          </w:p>
        </w:tc>
        <w:tc>
          <w:tcPr>
            <w:tcW w:type="dxa" w:w="16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StanC (15035)</w:t>
            </w:r>
          </w:p>
        </w:tc>
      </w:tr>
      <w:tr>
        <w:tc>
          <w:tcPr>
            <w:tcW w:type="dxa" w:w="2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HY credit: </w:t>
            </w:r>
            <w:r>
              <w:rPr>
                <w:rFonts w:ascii="Public Sans" w:hAnsi="Public Sans"/>
                <w:b/>
                <w:i w:val="0"/>
                <w:color w:val="3D3E3E"/>
                <w:sz w:val="16"/>
              </w:rPr>
              <w:t>cut duration</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Macro (rates) drives HY here, not spreads</w:t>
            </w:r>
          </w:p>
        </w:tc>
        <w:tc>
          <w:tcPr>
            <w:tcW w:type="dxa" w:w="20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 path stays the swing factor</w:t>
            </w:r>
          </w:p>
        </w:tc>
        <w:tc>
          <w:tcPr>
            <w:tcW w:type="dxa" w:w="20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spread event dominates rates</w:t>
            </w:r>
          </w:p>
        </w:tc>
        <w:tc>
          <w:tcPr>
            <w:tcW w:type="dxa" w:w="16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(14721)</w:t>
            </w:r>
          </w:p>
        </w:tc>
      </w:tr>
    </w:tbl>
    <w:p>
      <w:pPr>
        <w:spacing w:after="80" w:line="283" w:lineRule="auto"/>
      </w:pPr>
      <w:r>
        <w:rPr>
          <w:rFonts w:ascii="Public Sans" w:hAnsi="Public Sans"/>
          <w:b/>
          <w:i w:val="0"/>
          <w:color w:val="3D3E3E"/>
          <w:sz w:val="19"/>
        </w:rPr>
        <w:t>SYN:</w:t>
      </w:r>
      <w:r>
        <w:rPr>
          <w:rFonts w:ascii="Public Sans" w:hAnsi="Public Sans"/>
          <w:b w:val="0"/>
          <w:i w:val="0"/>
          <w:color w:val="3D3E3E"/>
          <w:sz w:val="19"/>
        </w:rPr>
        <w:t xml:space="preserve"> the post-NFP book tilts toward </w:t>
      </w:r>
      <w:r>
        <w:rPr>
          <w:rFonts w:ascii="Public Sans" w:hAnsi="Public Sans"/>
          <w:b/>
          <w:i w:val="0"/>
          <w:color w:val="3D3E3E"/>
          <w:sz w:val="19"/>
        </w:rPr>
        <w:t>duration/steepeners</w:t>
      </w:r>
      <w:r>
        <w:rPr>
          <w:rFonts w:ascii="Public Sans" w:hAnsi="Public Sans"/>
          <w:b w:val="0"/>
          <w:i w:val="0"/>
          <w:color w:val="3D3E3E"/>
          <w:sz w:val="19"/>
        </w:rPr>
        <w:t xml:space="preserve"> (rows 1, 2) and </w:t>
      </w:r>
      <w:r>
        <w:rPr>
          <w:rFonts w:ascii="Public Sans" w:hAnsi="Public Sans"/>
          <w:b/>
          <w:i w:val="0"/>
          <w:color w:val="3D3E3E"/>
          <w:sz w:val="19"/>
        </w:rPr>
        <w:t>profit-taking on trades that had run</w:t>
      </w:r>
      <w:r>
        <w:rPr>
          <w:rFonts w:ascii="Public Sans" w:hAnsi="Public Sans"/>
          <w:b w:val="0"/>
          <w:i w:val="0"/>
          <w:color w:val="3D3E3E"/>
          <w:sz w:val="19"/>
        </w:rPr>
        <w:t xml:space="preserve"> (rows 3, 4, 8). The India-inflows cluster (rows 5, 6) persists; a fresh Asia-rates receiver theme (row 9) emerged on the post-Iran unwind. HSBC's SGD-INR was stopped at 74.00 — noted in the India read.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4. Per-country read</w:t>
      </w:r>
      <w:r>
        <w:rPr>
          <w:rFonts w:ascii="Public Sans" w:hAnsi="Public Sans"/>
          <w:i/>
          <w:color w:val="7A7C7C"/>
          <w:sz w:val="16"/>
        </w:rPr>
        <w:t xml:space="preserve">   A themes · B the "why" · C consensus · D differentiated</w:t>
      </w:r>
    </w:p>
    <w:p>
      <w:pPr>
        <w:spacing w:after="80" w:line="283" w:lineRule="auto"/>
      </w:pPr>
      <w:r>
        <w:rPr>
          <w:rFonts w:ascii="Public Sans" w:hAnsi="Public Sans"/>
          <w:b w:val="0"/>
          <w:i w:val="0"/>
          <w:color w:val="3D3E3E"/>
          <w:sz w:val="19"/>
        </w:rPr>
        <w:t>Ordered by what moved this window. Flagship/desk notes read at the chunk level for the movers. Consensus (≥2 independent banks) and differentiated views separated. Trades surfaced with assumption + falsifier only.</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United States — a soft payrolls print reopens the Fed debate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1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1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30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00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NFP miss (57K) — hike case dead; is the cut case alive?</w:t>
            </w:r>
          </w:p>
        </w:tc>
        <w:tc>
          <w:tcPr>
            <w:tcW w:type="dxa" w:w="1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rates, USD, risk</w:t>
            </w:r>
          </w:p>
        </w:tc>
        <w:tc>
          <w:tcPr>
            <w:tcW w:type="dxa" w:w="30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BNP, MS, Barclays, DB, JPM, Goldman, UBS, Nomura</w:t>
            </w:r>
          </w:p>
        </w:tc>
        <w:tc>
          <w:tcPr>
            <w:tcW w:type="dxa" w:w="30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day's gravity; a dovish shock into a hawkish base</w:t>
            </w:r>
          </w:p>
        </w:tc>
      </w:tr>
      <w:tr>
        <w:tc>
          <w:tcPr>
            <w:tcW w:type="dxa" w:w="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1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Unemployment fell for the wrong reason</w:t>
            </w:r>
            <w:r>
              <w:rPr>
                <w:rFonts w:ascii="Public Sans" w:hAnsi="Public Sans"/>
                <w:b w:val="0"/>
                <w:i w:val="0"/>
                <w:color w:val="3D3E3E"/>
                <w:sz w:val="16"/>
              </w:rPr>
              <w:t xml:space="preserve"> (participation 61.5%)</w:t>
            </w:r>
          </w:p>
        </w:tc>
        <w:tc>
          <w:tcPr>
            <w:tcW w:type="dxa" w:w="1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rates</w:t>
            </w:r>
          </w:p>
        </w:tc>
        <w:tc>
          <w:tcPr>
            <w:tcW w:type="dxa" w:w="30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UBS, Citi</w:t>
            </w:r>
          </w:p>
        </w:tc>
        <w:tc>
          <w:tcPr>
            <w:tcW w:type="dxa" w:w="30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4.2% U/E is a supply-driven mirage, not strength</w:t>
            </w:r>
          </w:p>
        </w:tc>
      </w:tr>
      <w:tr>
        <w:tc>
          <w:tcPr>
            <w:tcW w:type="dxa" w:w="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Noise vs signal</w:t>
            </w:r>
            <w:r>
              <w:rPr>
                <w:rFonts w:ascii="Public Sans" w:hAnsi="Public Sans"/>
                <w:b w:val="0"/>
                <w:i w:val="0"/>
                <w:color w:val="3D3E3E"/>
                <w:sz w:val="16"/>
              </w:rPr>
              <w:t xml:space="preserve"> — how much to read into one print</w:t>
            </w:r>
          </w:p>
        </w:tc>
        <w:tc>
          <w:tcPr>
            <w:tcW w:type="dxa" w:w="1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rates</w:t>
            </w:r>
          </w:p>
        </w:tc>
        <w:tc>
          <w:tcPr>
            <w:tcW w:type="dxa" w:w="30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DB, MS (noise) vs Citi, BNP (signal)</w:t>
            </w:r>
          </w:p>
        </w:tc>
        <w:tc>
          <w:tcPr>
            <w:tcW w:type="dxa" w:w="30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interpretive split that sets positioning</w:t>
            </w:r>
          </w:p>
        </w:tc>
      </w:tr>
      <w:tr>
        <w:tc>
          <w:tcPr>
            <w:tcW w:type="dxa" w:w="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1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Curve steepeners / duration</w:t>
            </w:r>
            <w:r>
              <w:rPr>
                <w:rFonts w:ascii="Public Sans" w:hAnsi="Public Sans"/>
                <w:b w:val="0"/>
                <w:i w:val="0"/>
                <w:color w:val="3D3E3E"/>
                <w:sz w:val="16"/>
              </w:rPr>
              <w:t xml:space="preserve"> as the expression</w:t>
            </w:r>
          </w:p>
        </w:tc>
        <w:tc>
          <w:tcPr>
            <w:tcW w:type="dxa" w:w="1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UST curve, TIPS</w:t>
            </w:r>
          </w:p>
        </w:tc>
        <w:tc>
          <w:tcPr>
            <w:tcW w:type="dxa" w:w="30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w:t>
            </w:r>
          </w:p>
        </w:tc>
        <w:tc>
          <w:tcPr>
            <w:tcW w:type="dxa" w:w="30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trade the soft print pulls forward</w:t>
            </w:r>
          </w:p>
        </w:tc>
      </w:tr>
      <w:tr>
        <w:tc>
          <w:tcPr>
            <w:tcW w:type="dxa" w:w="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3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Core-PCE methodology change lowers measured inflation</w:t>
            </w:r>
          </w:p>
        </w:tc>
        <w:tc>
          <w:tcPr>
            <w:tcW w:type="dxa" w:w="1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TIPS/BE</w:t>
            </w:r>
          </w:p>
        </w:tc>
        <w:tc>
          <w:tcPr>
            <w:tcW w:type="dxa" w:w="30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Goldman, Barclays, DB</w:t>
            </w:r>
          </w:p>
        </w:tc>
        <w:tc>
          <w:tcPr>
            <w:tcW w:type="dxa" w:w="30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Still live; trims measured core PCE ~0.2–0.25pp</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The June payrolls print is the delta that reframes the week: </w:t>
      </w:r>
      <w:r>
        <w:rPr>
          <w:rFonts w:ascii="Public Sans" w:hAnsi="Public Sans"/>
          <w:b/>
          <w:i w:val="0"/>
          <w:color w:val="3D3E3E"/>
          <w:sz w:val="19"/>
        </w:rPr>
        <w:t>+57K vs 110K consensus, with the prior revised down to 129K (from 172K) and private payrolls +49K</w:t>
      </w:r>
      <w:r>
        <w:rPr>
          <w:rFonts w:ascii="Public Sans" w:hAnsi="Public Sans"/>
          <w:b w:val="0"/>
          <w:i w:val="0"/>
          <w:color w:val="3D3E3E"/>
          <w:sz w:val="19"/>
        </w:rPr>
        <w:t xml:space="preserve"> (FACT). Unemployment </w:t>
      </w:r>
      <w:r>
        <w:rPr>
          <w:rFonts w:ascii="Public Sans" w:hAnsi="Public Sans"/>
          <w:b w:val="0"/>
          <w:i/>
          <w:color w:val="3D3E3E"/>
          <w:sz w:val="19"/>
        </w:rPr>
        <w:t>fell</w:t>
      </w:r>
      <w:r>
        <w:rPr>
          <w:rFonts w:ascii="Public Sans" w:hAnsi="Public Sans"/>
          <w:b w:val="0"/>
          <w:i w:val="0"/>
          <w:color w:val="3D3E3E"/>
          <w:sz w:val="19"/>
        </w:rPr>
        <w:t xml:space="preserve"> to 4.2%, but the sell-side is near-unanimous that it fell for the wrong reason — </w:t>
      </w:r>
      <w:r>
        <w:rPr>
          <w:rFonts w:ascii="Public Sans" w:hAnsi="Public Sans"/>
          <w:b/>
          <w:i w:val="0"/>
          <w:color w:val="3D3E3E"/>
          <w:sz w:val="19"/>
        </w:rPr>
        <w:t>participation dropped to 61.5% from 61.8%</w:t>
      </w:r>
      <w:r>
        <w:rPr>
          <w:rFonts w:ascii="Public Sans" w:hAnsi="Public Sans"/>
          <w:b w:val="0"/>
          <w:i w:val="0"/>
          <w:color w:val="3D3E3E"/>
          <w:sz w:val="19"/>
        </w:rPr>
        <w:t xml:space="preserve"> and U-6 eased to 7.9%. Barclays (15283) frames it as "a challenge to the reacceleration [narrative]," reading the U/E decline as lower immigration/labour-supply rather than demand strength. That is the crux: a headline miss plus a mechanically-lower jobless rate.</w:t>
      </w:r>
    </w:p>
    <w:p>
      <w:pPr>
        <w:spacing w:after="80" w:line="283" w:lineRule="auto"/>
      </w:pPr>
      <w:r>
        <w:rPr>
          <w:rFonts w:ascii="Public Sans" w:hAnsi="Public Sans"/>
          <w:b w:val="0"/>
          <w:i w:val="0"/>
          <w:color w:val="3D3E3E"/>
          <w:sz w:val="19"/>
        </w:rPr>
        <w:t xml:space="preserve">The interpretive split sets the trade. On the dovish side, Citi (15292) is blunt — "the case for hikes was just revised away" — and sees unemployment </w:t>
      </w:r>
      <w:r>
        <w:rPr>
          <w:rFonts w:ascii="Public Sans" w:hAnsi="Public Sans"/>
          <w:b w:val="0"/>
          <w:i/>
          <w:color w:val="3D3E3E"/>
          <w:sz w:val="19"/>
        </w:rPr>
        <w:t>rising</w:t>
      </w:r>
      <w:r>
        <w:rPr>
          <w:rFonts w:ascii="Public Sans" w:hAnsi="Public Sans"/>
          <w:b w:val="0"/>
          <w:i w:val="0"/>
          <w:color w:val="3D3E3E"/>
          <w:sz w:val="19"/>
        </w:rPr>
        <w:t xml:space="preserve"> in coming months; BNP (15228) goes further, arguing the market is </w:t>
      </w:r>
      <w:r>
        <w:rPr>
          <w:rFonts w:ascii="Public Sans" w:hAnsi="Public Sans"/>
          <w:b w:val="0"/>
          <w:i/>
          <w:color w:val="3D3E3E"/>
          <w:sz w:val="19"/>
        </w:rPr>
        <w:t>underpricing</w:t>
      </w:r>
      <w:r>
        <w:rPr>
          <w:rFonts w:ascii="Public Sans" w:hAnsi="Public Sans"/>
          <w:b w:val="0"/>
          <w:i w:val="0"/>
          <w:color w:val="3D3E3E"/>
          <w:sz w:val="19"/>
        </w:rPr>
        <w:t xml:space="preserve"> the number of cuts, flags likely Fed dissents, and pencils a new 50-75k monthly payroll trend. On the fade side, DB (15337) calls it "more noise than signal" (consensus 113k, net -74k revisions, Fed officials likely to look through it, citing Daly's "policy in a slightly restrictive position"), and MS (15270) reads net hiring as having "rebounded" despite the revisions — "patience over hikes, steady Fed." UBS (15276) splits the difference: "not bad, slower and lower," core views intact. So the debate has moved off "how hawkish" onto "is this the print that turns the Fed" — and the desks genuinely disagree.</w:t>
      </w:r>
    </w:p>
    <w:p>
      <w:pPr>
        <w:spacing w:after="80" w:line="283" w:lineRule="auto"/>
      </w:pPr>
      <w:r>
        <w:rPr>
          <w:rFonts w:ascii="Public Sans" w:hAnsi="Public Sans"/>
          <w:b w:val="0"/>
          <w:i w:val="0"/>
          <w:color w:val="3D3E3E"/>
          <w:sz w:val="19"/>
        </w:rPr>
        <w:t xml:space="preserve">The trade the soft print pulls forward is duration/steepeners. MS (15365) says "now is the time to re-enter Treasury curve steepeners," expecting more soft prints, with the 6-7y sector rolling best; it also flags investors "paying for protection against 6% rates" (15186), i.e. the market still carries a hawkish tail MS thinks is overpriced (echoing its buy-10y-TIPS-with-payer-protection idea, 14751). The still-live structural wrinkle is the </w:t>
      </w:r>
      <w:r>
        <w:rPr>
          <w:rFonts w:ascii="Public Sans" w:hAnsi="Public Sans"/>
          <w:b/>
          <w:i w:val="0"/>
          <w:color w:val="3D3E3E"/>
          <w:sz w:val="19"/>
        </w:rPr>
        <w:t>core-PCE methodology change</w:t>
      </w:r>
      <w:r>
        <w:rPr>
          <w:rFonts w:ascii="Public Sans" w:hAnsi="Public Sans"/>
          <w:b w:val="0"/>
          <w:i w:val="0"/>
          <w:color w:val="3D3E3E"/>
          <w:sz w:val="19"/>
        </w:rPr>
        <w:t xml:space="preserve"> (Citi 14437 "big deal" -25bp vs Barclays 14371 "refinement"), which would mechanically improve measured inflation into the same soft-labour backdrop.</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9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5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5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9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Payrolls miss kills the hike case</w:t>
            </w:r>
          </w:p>
        </w:tc>
        <w:tc>
          <w:tcPr>
            <w:tcW w:type="dxa" w:w="12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BNP, MS, Barclays</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reacceleration/hike narrative is off the table</w:t>
            </w:r>
          </w:p>
        </w:tc>
        <w:tc>
          <w:tcPr>
            <w:tcW w:type="dxa" w:w="25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57K vs 110K; -74k revisions; U/E fell on participation (15292/15228/15283)</w:t>
            </w:r>
          </w:p>
        </w:tc>
        <w:tc>
          <w:tcPr>
            <w:tcW w:type="dxa" w:w="25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Splits on whether cuts now come (Citi/BNP) vs steady Fed (DB/MS) — see D</w:t>
            </w:r>
          </w:p>
        </w:tc>
      </w:tr>
      <w:tr>
        <w:tc>
          <w:tcPr>
            <w:tcW w:type="dxa" w:w="19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U/E fall is supply-driven, not strength</w:t>
            </w:r>
          </w:p>
        </w:tc>
        <w:tc>
          <w:tcPr>
            <w:tcW w:type="dxa" w:w="12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UBS, Citi</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4.2% reflects lower participation, not demand</w:t>
            </w:r>
          </w:p>
        </w:tc>
        <w:tc>
          <w:tcPr>
            <w:tcW w:type="dxa" w:w="25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Participation 61.5% from 61.8% (FACT); "lower immigration inflows" (15283)</w:t>
            </w:r>
          </w:p>
        </w:tc>
        <w:tc>
          <w:tcPr>
            <w:tcW w:type="dxa" w:w="25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Doesn't resolve whether soft supply is itself disinflationary or capacity-tightening</w:t>
            </w:r>
          </w:p>
        </w:tc>
      </w:tr>
      <w:tr>
        <w:tc>
          <w:tcPr>
            <w:tcW w:type="dxa" w:w="19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Core-PCE revision lowers measured inflation</w:t>
            </w:r>
          </w:p>
        </w:tc>
        <w:tc>
          <w:tcPr>
            <w:tcW w:type="dxa" w:w="12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Goldman, Barclays, DB</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Methodology change trims core PCE ~0.2–0.25pp</w:t>
            </w:r>
          </w:p>
        </w:tc>
        <w:tc>
          <w:tcPr>
            <w:tcW w:type="dxa" w:w="25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BEA Sep-30 retroactive change (14437/14557/14371)</w:t>
            </w:r>
          </w:p>
        </w:tc>
        <w:tc>
          <w:tcPr>
            <w:tcW w:type="dxa" w:w="25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Splits "big deal" (Citi) vs "refinement" (Barclays)</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25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25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5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BNP (15228)</w:t>
            </w:r>
          </w:p>
        </w:tc>
        <w:tc>
          <w:tcPr>
            <w:tcW w:type="dxa" w:w="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rates</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Market </w:t>
            </w:r>
            <w:r>
              <w:rPr>
                <w:rFonts w:ascii="Public Sans" w:hAnsi="Public Sans"/>
                <w:b/>
                <w:i w:val="0"/>
                <w:color w:val="3D3E3E"/>
                <w:sz w:val="16"/>
              </w:rPr>
              <w:t>underpricing cuts</w:t>
            </w:r>
            <w:r>
              <w:rPr>
                <w:rFonts w:ascii="Public Sans" w:hAnsi="Public Sans"/>
                <w:b w:val="0"/>
                <w:i w:val="0"/>
                <w:color w:val="3D3E3E"/>
                <w:sz w:val="16"/>
              </w:rPr>
              <w:t>; new 50-75k payroll trend; Fed dissents likely</w:t>
            </w:r>
          </w:p>
        </w:tc>
        <w:tc>
          <w:tcPr>
            <w:tcW w:type="dxa" w:w="2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Most dovish read; sees the miss as a trend-break</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demand is genuinely cooling, not just supply</w:t>
            </w:r>
          </w:p>
        </w:tc>
        <w:tc>
          <w:tcPr>
            <w:tcW w:type="dxa" w:w="2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rebound / revisions up next month</w:t>
            </w:r>
          </w:p>
        </w:tc>
      </w:tr>
      <w:tr>
        <w:tc>
          <w:tcPr>
            <w:tcW w:type="dxa" w:w="5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DB (15337)</w:t>
            </w:r>
          </w:p>
        </w:tc>
        <w:tc>
          <w:tcPr>
            <w:tcW w:type="dxa" w:w="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rates</w:t>
            </w:r>
          </w:p>
        </w:tc>
        <w:tc>
          <w:tcPr>
            <w:tcW w:type="dxa" w:w="25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Payrolls miss is </w:t>
            </w:r>
            <w:r>
              <w:rPr>
                <w:rFonts w:ascii="Public Sans" w:hAnsi="Public Sans"/>
                <w:b/>
                <w:i w:val="0"/>
                <w:color w:val="3D3E3E"/>
                <w:sz w:val="16"/>
              </w:rPr>
              <w:t>"more noise than signal"</w:t>
            </w:r>
            <w:r>
              <w:rPr>
                <w:rFonts w:ascii="Public Sans" w:hAnsi="Public Sans"/>
                <w:b w:val="0"/>
                <w:i w:val="0"/>
                <w:color w:val="3D3E3E"/>
                <w:sz w:val="16"/>
              </w:rPr>
              <w:t>; Fed looks through</w:t>
            </w:r>
          </w:p>
        </w:tc>
        <w:tc>
          <w:tcPr>
            <w:tcW w:type="dxa" w:w="2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Most hawkish read; downplays the print</w:t>
            </w:r>
          </w:p>
        </w:tc>
        <w:tc>
          <w:tcPr>
            <w:tcW w:type="dxa" w:w="25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One noisy month shouldn't move a "slightly restrictive" Fed</w:t>
            </w:r>
          </w:p>
        </w:tc>
        <w:tc>
          <w:tcPr>
            <w:tcW w:type="dxa" w:w="2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second soft print confirms a trend</w:t>
            </w:r>
          </w:p>
        </w:tc>
      </w:tr>
      <w:tr>
        <w:tc>
          <w:tcPr>
            <w:tcW w:type="dxa" w:w="5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MS (15365)</w:t>
            </w:r>
          </w:p>
        </w:tc>
        <w:tc>
          <w:tcPr>
            <w:tcW w:type="dxa" w:w="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UST curve</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Re-enter curve steepeners</w:t>
            </w:r>
            <w:r>
              <w:rPr>
                <w:rFonts w:ascii="Public Sans" w:hAnsi="Public Sans"/>
                <w:b w:val="0"/>
                <w:i w:val="0"/>
                <w:color w:val="3D3E3E"/>
                <w:sz w:val="16"/>
              </w:rPr>
              <w:t xml:space="preserve"> (6-7y); more soft prints ahead</w:t>
            </w:r>
          </w:p>
        </w:tc>
        <w:tc>
          <w:tcPr>
            <w:tcW w:type="dxa" w:w="2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Turns the macro call into a specific curve trade</w:t>
            </w:r>
          </w:p>
        </w:tc>
        <w:tc>
          <w:tcPr>
            <w:tcW w:type="dxa" w:w="25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softening feeds through to front-end over time</w:t>
            </w:r>
          </w:p>
        </w:tc>
        <w:tc>
          <w:tcPr>
            <w:tcW w:type="dxa" w:w="2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Re-accelerating jobs / sticky inflation flattens</w:t>
            </w:r>
          </w:p>
        </w:tc>
      </w:tr>
      <w:tr>
        <w:tc>
          <w:tcPr>
            <w:tcW w:type="dxa" w:w="5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 (14437)</w:t>
            </w:r>
          </w:p>
        </w:tc>
        <w:tc>
          <w:tcPr>
            <w:tcW w:type="dxa" w:w="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TIPS/BE</w:t>
            </w:r>
          </w:p>
        </w:tc>
        <w:tc>
          <w:tcPr>
            <w:tcW w:type="dxa" w:w="25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Core-PCE methodology change is </w:t>
            </w:r>
            <w:r>
              <w:rPr>
                <w:rFonts w:ascii="Public Sans" w:hAnsi="Public Sans"/>
                <w:b/>
                <w:i w:val="0"/>
                <w:color w:val="3D3E3E"/>
                <w:sz w:val="16"/>
              </w:rPr>
              <w:t>"a big deal"</w:t>
            </w:r>
            <w:r>
              <w:rPr>
                <w:rFonts w:ascii="Public Sans" w:hAnsi="Public Sans"/>
                <w:b w:val="0"/>
                <w:i w:val="0"/>
                <w:color w:val="3D3E3E"/>
                <w:sz w:val="16"/>
              </w:rPr>
              <w:t xml:space="preserve"> (−25bp)</w:t>
            </w:r>
          </w:p>
        </w:tc>
        <w:tc>
          <w:tcPr>
            <w:tcW w:type="dxa" w:w="2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Elevates a measurement wrinkle to a Fed input</w:t>
            </w:r>
          </w:p>
        </w:tc>
        <w:tc>
          <w:tcPr>
            <w:tcW w:type="dxa" w:w="25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Fed reacts to the measured series</w:t>
            </w:r>
          </w:p>
        </w:tc>
        <w:tc>
          <w:tcPr>
            <w:tcW w:type="dxa" w:w="2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Fed explicitly looks through the revision</w:t>
            </w:r>
          </w:p>
        </w:tc>
      </w:tr>
    </w:tbl>
    <w:p>
      <w:pPr>
        <w:spacing w:after="80" w:line="283" w:lineRule="auto"/>
      </w:pPr>
      <w:r>
        <w:rPr>
          <w:rFonts w:ascii="Public Sans" w:hAnsi="Public Sans"/>
          <w:b w:val="0"/>
          <w:i/>
          <w:color w:val="3D3E3E"/>
          <w:sz w:val="19"/>
        </w:rPr>
        <w:t>Trade rows expanded:</w:t>
      </w:r>
      <w:r>
        <w:rPr>
          <w:rFonts w:ascii="Public Sans" w:hAnsi="Public Sans"/>
          <w:b w:val="0"/>
          <w:i w:val="0"/>
          <w:color w:val="3D3E3E"/>
          <w:sz w:val="19"/>
        </w:rPr>
        <w:t xml:space="preserve"> #1 (MS steepeners), #2 (MS 10y TIPS + payer protection) — see D/B. Surfaced, not judged. </w:t>
      </w:r>
      <w:r>
        <w:rPr>
          <w:rFonts w:ascii="Public Sans" w:hAnsi="Public Sans"/>
          <w:b/>
          <w:i w:val="0"/>
          <w:color w:val="3D3E3E"/>
          <w:sz w:val="19"/>
        </w:rPr>
        <w:t>Warsh (carry-forward, re-verified):</w:t>
      </w:r>
      <w:r>
        <w:rPr>
          <w:rFonts w:ascii="Public Sans" w:hAnsi="Public Sans"/>
          <w:b w:val="0"/>
          <w:i w:val="0"/>
          <w:color w:val="3D3E3E"/>
          <w:sz w:val="19"/>
        </w:rPr>
        <w:t xml:space="preserve"> Goldman (14844) still has him "inflation risks have come down"; DB (15337) frames a July "family fight, no forward guidance" — the dovish-chair-vs-hawkish-dots tension now sits alongside a dovish data print, tilting the balance. </w:t>
      </w:r>
      <w:r>
        <w:rPr>
          <w:rFonts w:ascii="Public Sans" w:hAnsi="Public Sans"/>
          <w:b/>
          <w:i w:val="0"/>
          <w:color w:val="3D3E3E"/>
          <w:sz w:val="19"/>
        </w:rPr>
        <w:t>DEPTH:</w:t>
      </w:r>
      <w:r>
        <w:rPr>
          <w:rFonts w:ascii="Public Sans" w:hAnsi="Public Sans"/>
          <w:b w:val="0"/>
          <w:i w:val="0"/>
          <w:color w:val="3D3E3E"/>
          <w:sz w:val="19"/>
        </w:rPr>
        <w:t xml:space="preserve"> US econ.fact_indicator deep (140 indicators, latest 06-29); NFP/factory-orders actuals now booked in cb_events (TE source; BQL rows for the same events still show null actuals — TE is the source of record here).</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Japan — hike-path debate hardens; yen eases off the highs</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6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0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6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Terminal-rate debate escalates</w:t>
            </w:r>
            <w:r>
              <w:rPr>
                <w:rFonts w:ascii="Public Sans" w:hAnsi="Public Sans"/>
                <w:b w:val="0"/>
                <w:i w:val="0"/>
                <w:color w:val="3D3E3E"/>
                <w:sz w:val="16"/>
              </w:rPr>
              <w:t xml:space="preserve"> — BNP to 2.50%</w:t>
            </w:r>
          </w:p>
        </w:tc>
        <w:tc>
          <w:tcPr>
            <w:tcW w:type="dxa" w:w="9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 JPY</w:t>
            </w:r>
          </w:p>
        </w:tc>
        <w:tc>
          <w:tcPr>
            <w:tcW w:type="dxa" w:w="20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(new), Barclays, Nomura, MS</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hike path is being re-rated </w:t>
            </w:r>
            <w:r>
              <w:rPr>
                <w:rFonts w:ascii="Public Sans" w:hAnsi="Public Sans"/>
                <w:b w:val="0"/>
                <w:i/>
                <w:color w:val="3D3E3E"/>
                <w:sz w:val="16"/>
              </w:rPr>
              <w:t>up</w:t>
            </w:r>
            <w:r>
              <w:rPr>
                <w:rFonts w:ascii="Public Sans" w:hAnsi="Public Sans"/>
                <w:b w:val="0"/>
                <w:i w:val="0"/>
                <w:color w:val="3D3E3E"/>
                <w:sz w:val="16"/>
              </w:rPr>
              <w:t>, not just the next move</w:t>
            </w:r>
          </w:p>
        </w:tc>
      </w:tr>
      <w:tr>
        <w:tc>
          <w:tcPr>
            <w:tcW w:type="dxa" w:w="3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USD/JPY off highs</w:t>
            </w:r>
            <w:r>
              <w:rPr>
                <w:rFonts w:ascii="Public Sans" w:hAnsi="Public Sans"/>
                <w:b w:val="0"/>
                <w:i w:val="0"/>
                <w:color w:val="3D3E3E"/>
                <w:sz w:val="16"/>
              </w:rPr>
              <w:t xml:space="preserve"> post-NFP; intervention threat lingers</w:t>
            </w:r>
          </w:p>
        </w:tc>
        <w:tc>
          <w:tcPr>
            <w:tcW w:type="dxa" w:w="9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 FX vol</w:t>
            </w:r>
          </w:p>
        </w:tc>
        <w:tc>
          <w:tcPr>
            <w:tcW w:type="dxa" w:w="20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 SocGen, Nomura, HSBC, BNP</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soft US print did what jawboning couldn't</w:t>
            </w:r>
          </w:p>
        </w:tc>
      </w:tr>
      <w:tr>
        <w:tc>
          <w:tcPr>
            <w:tcW w:type="dxa" w:w="3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Behind-the-curve / fiscal-policy concern</w:t>
            </w:r>
          </w:p>
        </w:tc>
        <w:tc>
          <w:tcPr>
            <w:tcW w:type="dxa" w:w="9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 curve</w:t>
            </w:r>
          </w:p>
        </w:tc>
        <w:tc>
          <w:tcPr>
            <w:tcW w:type="dxa" w:w="20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market's worry: BoJ too slow vs rising inflation/fiscal risk</w:t>
            </w:r>
          </w:p>
        </w:tc>
      </w:tr>
      <w:tr>
        <w:tc>
          <w:tcPr>
            <w:tcW w:type="dxa" w:w="3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Tankan (comprehensive) confirms </w:t>
            </w:r>
            <w:r>
              <w:rPr>
                <w:rFonts w:ascii="Public Sans" w:hAnsi="Public Sans"/>
                <w:b/>
                <w:i w:val="0"/>
                <w:color w:val="3D3E3E"/>
                <w:sz w:val="16"/>
              </w:rPr>
              <w:t>more aggressive pricing</w:t>
            </w:r>
          </w:p>
        </w:tc>
        <w:tc>
          <w:tcPr>
            <w:tcW w:type="dxa" w:w="9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 BE, equity</w:t>
            </w:r>
          </w:p>
        </w:tc>
        <w:tc>
          <w:tcPr>
            <w:tcW w:type="dxa" w:w="20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Citi, UBS</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Corroborates the firmer hike path</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BoJ </w:t>
      </w:r>
      <w:r>
        <w:rPr>
          <w:rFonts w:ascii="Public Sans" w:hAnsi="Public Sans"/>
          <w:b/>
          <w:i w:val="0"/>
          <w:color w:val="3D3E3E"/>
          <w:sz w:val="19"/>
        </w:rPr>
        <w:t>at 1.00%</w:t>
      </w:r>
      <w:r>
        <w:rPr>
          <w:rFonts w:ascii="Public Sans" w:hAnsi="Public Sans"/>
          <w:b w:val="0"/>
          <w:i w:val="0"/>
          <w:color w:val="3D3E3E"/>
          <w:sz w:val="19"/>
        </w:rPr>
        <w:t xml:space="preserve"> (06-16 hike, FACT). The delta this window is that the </w:t>
      </w:r>
      <w:r>
        <w:rPr>
          <w:rFonts w:ascii="Public Sans" w:hAnsi="Public Sans"/>
          <w:b w:val="0"/>
          <w:i/>
          <w:color w:val="3D3E3E"/>
          <w:sz w:val="19"/>
        </w:rPr>
        <w:t>terminal</w:t>
      </w:r>
      <w:r>
        <w:rPr>
          <w:rFonts w:ascii="Public Sans" w:hAnsi="Public Sans"/>
          <w:b w:val="0"/>
          <w:i w:val="0"/>
          <w:color w:val="3D3E3E"/>
          <w:sz w:val="19"/>
        </w:rPr>
        <w:t xml:space="preserve"> debate hardened. </w:t>
      </w:r>
      <w:r>
        <w:rPr>
          <w:rFonts w:ascii="Public Sans" w:hAnsi="Public Sans"/>
          <w:b/>
          <w:i w:val="0"/>
          <w:color w:val="3D3E3E"/>
          <w:sz w:val="19"/>
        </w:rPr>
        <w:t>BNP (15399) raised its BoJ terminal-rate forecast to 2.50%</w:t>
      </w:r>
      <w:r>
        <w:rPr>
          <w:rFonts w:ascii="Public Sans" w:hAnsi="Public Sans"/>
          <w:b w:val="0"/>
          <w:i w:val="0"/>
          <w:color w:val="3D3E3E"/>
          <w:sz w:val="19"/>
        </w:rPr>
        <w:t xml:space="preserve">, citing significantly lifted Japan growth forecasts on the AI boom, household spending exceeding expectations, and continued wage growth alongside energy subsidies — a house explicitly re-rating the </w:t>
      </w:r>
      <w:r>
        <w:rPr>
          <w:rFonts w:ascii="Public Sans" w:hAnsi="Public Sans"/>
          <w:b w:val="0"/>
          <w:i/>
          <w:color w:val="3D3E3E"/>
          <w:sz w:val="19"/>
        </w:rPr>
        <w:t>path</w:t>
      </w:r>
      <w:r>
        <w:rPr>
          <w:rFonts w:ascii="Public Sans" w:hAnsi="Public Sans"/>
          <w:b w:val="0"/>
          <w:i w:val="0"/>
          <w:color w:val="3D3E3E"/>
          <w:sz w:val="19"/>
        </w:rPr>
        <w:t>, not just the next hike. Barclays (15072/15286) works the mirror-image risk — "concerns over fiscal policy and a behind-the-curve BoJ" — i.e. if the BoJ is too slow, the JGB curve prices the catch-up and fiscal risk. Nomura's comprehensive Tankan data set (15221) reads "more aggressive" corporate price-setting, and Citi (15236) and UBS reiterate the survey is supportive of the hike path and of Japanese equities. So the Tankan (carried from 07-02) is now fully corroborated across houses and feeds a firmer, higher terminal.</w:t>
      </w:r>
    </w:p>
    <w:p>
      <w:pPr>
        <w:spacing w:after="80" w:line="283" w:lineRule="auto"/>
      </w:pPr>
      <w:r>
        <w:rPr>
          <w:rFonts w:ascii="Public Sans" w:hAnsi="Public Sans"/>
          <w:b w:val="0"/>
          <w:i w:val="0"/>
          <w:color w:val="3D3E3E"/>
          <w:sz w:val="19"/>
        </w:rPr>
        <w:t xml:space="preserve">The currency did what jawboning could not: </w:t>
      </w:r>
      <w:r>
        <w:rPr>
          <w:rFonts w:ascii="Public Sans" w:hAnsi="Public Sans"/>
          <w:b/>
          <w:i w:val="0"/>
          <w:color w:val="3D3E3E"/>
          <w:sz w:val="19"/>
        </w:rPr>
        <w:t>USD/JPY came off its highs post-NFP</w:t>
      </w:r>
      <w:r>
        <w:rPr>
          <w:rFonts w:ascii="Public Sans" w:hAnsi="Public Sans"/>
          <w:b w:val="0"/>
          <w:i w:val="0"/>
          <w:color w:val="3D3E3E"/>
          <w:sz w:val="19"/>
        </w:rPr>
        <w:t xml:space="preserve"> (MS 15318 "USD/JPY off highs"; SocGen 15123 "short covering lifts JPY"). That reframes the intervention story from the 07-02 run — the near-imminent official threat (Mimura interview) is now reinforced by a dovish US print narrowing the rate differential, so the fade looks better supported. Nomura (15187) notes the market "grows increasingly wary of positioning" into a possibly-turning yen. The tradeable expression rotated: BNP (15134) closed its </w:t>
      </w:r>
      <w:r>
        <w:rPr>
          <w:rFonts w:ascii="Public Sans" w:hAnsi="Public Sans"/>
          <w:b/>
          <w:i w:val="0"/>
          <w:color w:val="3D3E3E"/>
          <w:sz w:val="19"/>
        </w:rPr>
        <w:t>JPY 2s5s10s</w:t>
      </w:r>
      <w:r>
        <w:rPr>
          <w:rFonts w:ascii="Public Sans" w:hAnsi="Public Sans"/>
          <w:b w:val="0"/>
          <w:i w:val="0"/>
          <w:color w:val="3D3E3E"/>
          <w:sz w:val="19"/>
        </w:rPr>
        <w:t xml:space="preserve"> as the belly richened 5y→10y post-BoJ — a curve-positioning cleanup rather than a directional call.</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8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8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Tankan supports a firmer hike path</w:t>
            </w:r>
          </w:p>
        </w:tc>
        <w:tc>
          <w:tcPr>
            <w:tcW w:type="dxa" w:w="12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Citi, UBS, Barclays</w:t>
            </w:r>
          </w:p>
        </w:tc>
        <w:tc>
          <w:tcPr>
            <w:tcW w:type="dxa" w:w="24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 sentiment + aggressive price-setting = more hikes</w:t>
            </w:r>
          </w:p>
        </w:tc>
        <w:tc>
          <w:tcPr>
            <w:tcW w:type="dxa" w:w="2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"More aggressive" pricing (15221); "supportive" (15236)</w:t>
            </w:r>
          </w:p>
        </w:tc>
        <w:tc>
          <w:tcPr>
            <w:tcW w:type="dxa" w:w="2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cb_events TE Tankan headline "index 16 vs 17" fell — a different series than the BoJ DI (carry-forward flag)</w:t>
            </w:r>
          </w:p>
        </w:tc>
      </w:tr>
      <w:tr>
        <w:tc>
          <w:tcPr>
            <w:tcW w:type="dxa" w:w="18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USD/JPY off highs; fade better supported</w:t>
            </w:r>
          </w:p>
        </w:tc>
        <w:tc>
          <w:tcPr>
            <w:tcW w:type="dxa" w:w="12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 SocGen, Nomura</w:t>
            </w:r>
          </w:p>
        </w:tc>
        <w:tc>
          <w:tcPr>
            <w:tcW w:type="dxa" w:w="24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NFP + intervention threat cap the top</w:t>
            </w:r>
          </w:p>
        </w:tc>
        <w:tc>
          <w:tcPr>
            <w:tcW w:type="dxa" w:w="2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"Off highs" (15318); "short covering" (15123)</w:t>
            </w:r>
          </w:p>
        </w:tc>
        <w:tc>
          <w:tcPr>
            <w:tcW w:type="dxa" w:w="2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executed intervention on the record — the top-cap is data + threat, not action</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7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7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BNP (15399)</w:t>
            </w:r>
          </w:p>
        </w:tc>
        <w:tc>
          <w:tcPr>
            <w:tcW w:type="dxa" w:w="4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Terminal rate to 2.50%</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Re-rates the whole path up; most hawkish terminal in-window</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AI-boom growth + firm household spending + wages sustain hikes</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Growth/wage momentum stalls → BoJ stops well short of 2.50%</w:t>
            </w:r>
          </w:p>
        </w:tc>
      </w:tr>
      <w:tr>
        <w:tc>
          <w:tcPr>
            <w:tcW w:type="dxa" w:w="7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 (15072)</w:t>
            </w:r>
          </w:p>
        </w:tc>
        <w:tc>
          <w:tcPr>
            <w:tcW w:type="dxa" w:w="48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 / curve</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Behind-the-curve + fiscal-risk</w:t>
            </w:r>
            <w:r>
              <w:rPr>
                <w:rFonts w:ascii="Public Sans" w:hAnsi="Public Sans"/>
                <w:b w:val="0"/>
                <w:i w:val="0"/>
                <w:color w:val="3D3E3E"/>
                <w:sz w:val="16"/>
              </w:rPr>
              <w:t xml:space="preserve"> steepener framing</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Prices the risk the BoJ is too </w:t>
            </w:r>
            <w:r>
              <w:rPr>
                <w:rFonts w:ascii="Public Sans" w:hAnsi="Public Sans"/>
                <w:b w:val="0"/>
                <w:i/>
                <w:color w:val="3D3E3E"/>
                <w:sz w:val="16"/>
              </w:rPr>
              <w:t>slow</w:t>
            </w:r>
            <w:r>
              <w:rPr>
                <w:rFonts w:ascii="Public Sans" w:hAnsi="Public Sans"/>
                <w:b w:val="0"/>
                <w:i w:val="0"/>
                <w:color w:val="3D3E3E"/>
                <w:sz w:val="16"/>
              </w:rPr>
              <w:t>, not too fast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concerns + delayed hikes steepen the curve</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BoJ front-loads / fiscal risk recedes</w:t>
            </w:r>
          </w:p>
        </w:tc>
      </w:tr>
      <w:tr>
        <w:tc>
          <w:tcPr>
            <w:tcW w:type="dxa" w:w="7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 (14702)</w:t>
            </w:r>
          </w:p>
        </w:tc>
        <w:tc>
          <w:tcPr>
            <w:tcW w:type="dxa" w:w="4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USD/JPY</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FY26 forecast </w:t>
            </w:r>
            <w:r>
              <w:rPr>
                <w:rFonts w:ascii="Public Sans" w:hAnsi="Public Sans"/>
                <w:b/>
                <w:i w:val="0"/>
                <w:color w:val="3D3E3E"/>
                <w:sz w:val="16"/>
              </w:rPr>
              <w:t>152.57</w:t>
            </w:r>
            <w:r>
              <w:rPr>
                <w:rFonts w:ascii="Public Sans" w:hAnsi="Public Sans"/>
                <w:b w:val="0"/>
                <w:i w:val="0"/>
                <w:color w:val="3D3E3E"/>
                <w:sz w:val="16"/>
              </w:rPr>
              <w:t xml:space="preserve"> — a reversal from spot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Outright mean-reversion vs the depreciation crowd</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Intervention + soft-US squeeze reverse yen shorts</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 differential re-widens; spot grinds higher</w:t>
            </w:r>
          </w:p>
        </w:tc>
      </w:tr>
    </w:tbl>
    <w:p>
      <w:pPr>
        <w:spacing w:after="80" w:line="283" w:lineRule="auto"/>
      </w:pPr>
      <w:r>
        <w:rPr>
          <w:rFonts w:ascii="Public Sans" w:hAnsi="Public Sans"/>
          <w:b/>
          <w:i w:val="0"/>
          <w:color w:val="3D3E3E"/>
          <w:sz w:val="19"/>
        </w:rPr>
        <w:t>Unreconciled (carry-forward, re-verified):</w:t>
      </w:r>
      <w:r>
        <w:rPr>
          <w:rFonts w:ascii="Public Sans" w:hAnsi="Public Sans"/>
          <w:b w:val="0"/>
          <w:i w:val="0"/>
          <w:color w:val="3D3E3E"/>
          <w:sz w:val="19"/>
        </w:rPr>
        <w:t xml:space="preserve"> TE "Tankan large-mfg index 16 vs 17" (cb_events) vs BoJ business-conditions </w:t>
      </w:r>
      <w:r>
        <w:rPr>
          <w:rFonts w:ascii="Public Sans" w:hAnsi="Public Sans"/>
          <w:b/>
          <w:i w:val="0"/>
          <w:color w:val="3D3E3E"/>
          <w:sz w:val="19"/>
        </w:rPr>
        <w:t>DI ~+37</w:t>
      </w:r>
      <w:r>
        <w:rPr>
          <w:rFonts w:ascii="Public Sans" w:hAnsi="Public Sans"/>
          <w:b w:val="0"/>
          <w:i w:val="0"/>
          <w:color w:val="3D3E3E"/>
          <w:sz w:val="19"/>
        </w:rPr>
        <w:t xml:space="preserve"> (house-cited) — both shown. </w:t>
      </w:r>
      <w:r>
        <w:rPr>
          <w:rFonts w:ascii="Public Sans" w:hAnsi="Public Sans"/>
          <w:b/>
          <w:i w:val="0"/>
          <w:color w:val="3D3E3E"/>
          <w:sz w:val="19"/>
        </w:rPr>
        <w:t>Intervention:</w:t>
      </w:r>
      <w:r>
        <w:rPr>
          <w:rFonts w:ascii="Public Sans" w:hAnsi="Public Sans"/>
          <w:b w:val="0"/>
          <w:i w:val="0"/>
          <w:color w:val="3D3E3E"/>
          <w:sz w:val="19"/>
        </w:rPr>
        <w:t xml:space="preserve"> signalled near-imminent (Mimura), </w:t>
      </w:r>
      <w:r>
        <w:rPr>
          <w:rFonts w:ascii="Public Sans" w:hAnsi="Public Sans"/>
          <w:b/>
          <w:i w:val="0"/>
          <w:color w:val="3D3E3E"/>
          <w:sz w:val="19"/>
        </w:rPr>
        <w:t>not executed</w:t>
      </w:r>
      <w:r>
        <w:rPr>
          <w:rFonts w:ascii="Public Sans" w:hAnsi="Public Sans"/>
          <w:b w:val="0"/>
          <w:i w:val="0"/>
          <w:color w:val="3D3E3E"/>
          <w:sz w:val="19"/>
        </w:rPr>
        <w:t xml:space="preserve">; USD/JPY eased on the US print, not on action. </w:t>
      </w:r>
      <w:r>
        <w:rPr>
          <w:rFonts w:ascii="Public Sans" w:hAnsi="Public Sans"/>
          <w:b/>
          <w:i w:val="0"/>
          <w:color w:val="3D3E3E"/>
          <w:sz w:val="19"/>
        </w:rPr>
        <w:t>Not loaded:</w:t>
      </w:r>
      <w:r>
        <w:rPr>
          <w:rFonts w:ascii="Public Sans" w:hAnsi="Public Sans"/>
          <w:b w:val="0"/>
          <w:i w:val="0"/>
          <w:color w:val="3D3E3E"/>
          <w:sz w:val="19"/>
        </w:rPr>
        <w:t xml:space="preserve"> JP econ.fact_indicator effectively absent (1 obs) — JP numbers are cb_events prints or sell-side.</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Australia — trade swings to deficit; the neutral-rate debate persists</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6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8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6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Goods trade swings to a A\$3.0B deficit</w:t>
            </w:r>
          </w:p>
        </w:tc>
        <w:tc>
          <w:tcPr>
            <w:tcW w:type="dxa" w:w="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ACGB</w:t>
            </w:r>
          </w:p>
        </w:tc>
        <w:tc>
          <w:tcPr>
            <w:tcW w:type="dxa" w:w="1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JPM, Westpac, UBS</w:t>
            </w:r>
          </w:p>
        </w:tc>
        <w:tc>
          <w:tcPr>
            <w:tcW w:type="dxa" w:w="3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sharp external-balance miss on weak ore exports</w:t>
            </w:r>
          </w:p>
        </w:tc>
      </w:tr>
      <w:tr>
        <w:tc>
          <w:tcPr>
            <w:tcW w:type="dxa" w:w="4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6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RBA </w:t>
            </w:r>
            <w:r>
              <w:rPr>
                <w:rFonts w:ascii="Public Sans" w:hAnsi="Public Sans"/>
                <w:b/>
                <w:i w:val="0"/>
                <w:color w:val="3D3E3E"/>
                <w:sz w:val="16"/>
              </w:rPr>
              <w:t>neutral-rate</w:t>
            </w:r>
            <w:r>
              <w:rPr>
                <w:rFonts w:ascii="Public Sans" w:hAnsi="Public Sans"/>
                <w:b w:val="0"/>
                <w:i w:val="0"/>
                <w:color w:val="3D3E3E"/>
                <w:sz w:val="16"/>
              </w:rPr>
              <w:t xml:space="preserve"> debate (opposite mechanisms)</w:t>
            </w:r>
          </w:p>
        </w:tc>
        <w:tc>
          <w:tcPr>
            <w:tcW w:type="dxa" w:w="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rates</w:t>
            </w:r>
          </w:p>
        </w:tc>
        <w:tc>
          <w:tcPr>
            <w:tcW w:type="dxa" w:w="1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BofA, Westpac</w:t>
            </w:r>
          </w:p>
        </w:tc>
        <w:tc>
          <w:tcPr>
            <w:tcW w:type="dxa" w:w="3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Same "tight" conclusion, opposite mechanism (carry-forward)</w:t>
            </w:r>
          </w:p>
        </w:tc>
      </w:tr>
      <w:tr>
        <w:tc>
          <w:tcPr>
            <w:tcW w:type="dxa" w:w="4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6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PMIs back above 50</w:t>
            </w:r>
            <w:r>
              <w:rPr>
                <w:rFonts w:ascii="Public Sans" w:hAnsi="Public Sans"/>
                <w:b w:val="0"/>
                <w:i w:val="0"/>
                <w:color w:val="3D3E3E"/>
                <w:sz w:val="16"/>
              </w:rPr>
              <w:t xml:space="preserve"> (services 50.5, composite 50.4)</w:t>
            </w:r>
          </w:p>
        </w:tc>
        <w:tc>
          <w:tcPr>
            <w:tcW w:type="dxa" w:w="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equity</w:t>
            </w:r>
          </w:p>
        </w:tc>
        <w:tc>
          <w:tcPr>
            <w:tcW w:type="dxa" w:w="1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ABS/cb_events, Westpac</w:t>
            </w:r>
          </w:p>
        </w:tc>
        <w:tc>
          <w:tcPr>
            <w:tcW w:type="dxa" w:w="3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Activity firming even as trade/housing soften</w:t>
            </w:r>
          </w:p>
        </w:tc>
      </w:tr>
      <w:tr>
        <w:tc>
          <w:tcPr>
            <w:tcW w:type="dxa" w:w="4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6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Two-speed housing</w:t>
            </w:r>
            <w:r>
              <w:rPr>
                <w:rFonts w:ascii="Public Sans" w:hAnsi="Public Sans"/>
                <w:b w:val="0"/>
                <w:i w:val="0"/>
                <w:color w:val="3D3E3E"/>
                <w:sz w:val="16"/>
              </w:rPr>
              <w:t xml:space="preserve"> — firm credit, falling prices</w:t>
            </w:r>
          </w:p>
        </w:tc>
        <w:tc>
          <w:tcPr>
            <w:tcW w:type="dxa" w:w="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banks</w:t>
            </w:r>
          </w:p>
        </w:tc>
        <w:tc>
          <w:tcPr>
            <w:tcW w:type="dxa" w:w="1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UBS, Goldman, MS</w:t>
            </w:r>
          </w:p>
        </w:tc>
        <w:tc>
          <w:tcPr>
            <w:tcW w:type="dxa" w:w="3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Complicates the tightening story (carry-forward)</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The AU delta is the </w:t>
      </w:r>
      <w:r>
        <w:rPr>
          <w:rFonts w:ascii="Public Sans" w:hAnsi="Public Sans"/>
          <w:b/>
          <w:i w:val="0"/>
          <w:color w:val="3D3E3E"/>
          <w:sz w:val="19"/>
        </w:rPr>
        <w:t>trade balance swinging to a A\$-3.018B deficit</w:t>
      </w:r>
      <w:r>
        <w:rPr>
          <w:rFonts w:ascii="Public Sans" w:hAnsi="Public Sans"/>
          <w:b w:val="0"/>
          <w:i w:val="0"/>
          <w:color w:val="3D3E3E"/>
          <w:sz w:val="19"/>
        </w:rPr>
        <w:t xml:space="preserve"> (survey A\$2.2B, prior A\$1.383B revised — FACT). JPM (15029) attributes it to a drop in metal-ore exports after April's strength, with imports also rising and rural goods still firming (+2.6% m/m); Goldman (14966), Westpac (15069) and UBS (15065) read it similarly as an export-led swing rather than a demand signal. It is a terms-of-trade wobble more than a growth scare, but it removes an external tailwind the AUD had leaned on. Against that, </w:t>
      </w:r>
      <w:r>
        <w:rPr>
          <w:rFonts w:ascii="Public Sans" w:hAnsi="Public Sans"/>
          <w:b/>
          <w:i w:val="0"/>
          <w:color w:val="3D3E3E"/>
          <w:sz w:val="19"/>
        </w:rPr>
        <w:t>services and composite PMIs moved back above 50</w:t>
      </w:r>
      <w:r>
        <w:rPr>
          <w:rFonts w:ascii="Public Sans" w:hAnsi="Public Sans"/>
          <w:b w:val="0"/>
          <w:i w:val="0"/>
          <w:color w:val="3D3E3E"/>
          <w:sz w:val="19"/>
        </w:rPr>
        <w:t xml:space="preserve"> (50.5 / 50.4, FACT), so domestic activity is firming even as the external and housing sides soften.</w:t>
      </w:r>
    </w:p>
    <w:p>
      <w:pPr>
        <w:spacing w:after="80" w:line="283" w:lineRule="auto"/>
      </w:pPr>
      <w:r>
        <w:rPr>
          <w:rFonts w:ascii="Public Sans" w:hAnsi="Public Sans"/>
          <w:b w:val="0"/>
          <w:i w:val="0"/>
          <w:color w:val="3D3E3E"/>
          <w:sz w:val="19"/>
        </w:rPr>
        <w:t xml:space="preserve">The rates debate is unchanged from the prior read and re-verified: the June minutes frame a </w:t>
      </w:r>
      <w:r>
        <w:rPr>
          <w:rFonts w:ascii="Public Sans" w:hAnsi="Public Sans"/>
          <w:b w:val="0"/>
          <w:i/>
          <w:color w:val="3D3E3E"/>
          <w:sz w:val="19"/>
        </w:rPr>
        <w:t>reaction-function</w:t>
      </w:r>
      <w:r>
        <w:rPr>
          <w:rFonts w:ascii="Public Sans" w:hAnsi="Public Sans"/>
          <w:b w:val="0"/>
          <w:i w:val="0"/>
          <w:color w:val="3D3E3E"/>
          <w:sz w:val="19"/>
        </w:rPr>
        <w:t xml:space="preserve"> question where the houses reach "tight for longer" via opposite mechanisms. Nomura (14304) reads a higher long-run neutral but keeps its profile unaltered (no hike, 4.35% into end-2026); BofA (14544) argues the short-run neutral is </w:t>
      </w:r>
      <w:r>
        <w:rPr>
          <w:rFonts w:ascii="Public Sans" w:hAnsi="Public Sans"/>
          <w:b w:val="0"/>
          <w:i/>
          <w:color w:val="3D3E3E"/>
          <w:sz w:val="19"/>
        </w:rPr>
        <w:t>falling</w:t>
      </w:r>
      <w:r>
        <w:rPr>
          <w:rFonts w:ascii="Public Sans" w:hAnsi="Public Sans"/>
          <w:b w:val="0"/>
          <w:i w:val="0"/>
          <w:color w:val="3D3E3E"/>
          <w:sz w:val="19"/>
        </w:rPr>
        <w:t xml:space="preserve"> so a static 4.35% is passively tightening ("quiet tightening," first cut Aug-2027). ANZ's Australian Macro Weekly (15386) frames the minutes as hawkish with the housing downturn continuing. Housing stays two-speed — prices soft, credit ~8% YoY (carry-forward, DEPTH). Pricing carries only ~17% of a hike by 11-Aug (Westpac 15131).</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1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1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4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4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21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Trade deficit is export-led, not a demand signal</w:t>
            </w:r>
          </w:p>
        </w:tc>
        <w:tc>
          <w:tcPr>
            <w:tcW w:type="dxa" w:w="11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Goldman, Westpac, UBS</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Ore-export drop after April strength drove the swing</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Metal-ore exports down; imports up (15029); May account (15069)</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terms-of-trade hit still pressures the AUD regardless of cause</w:t>
            </w:r>
          </w:p>
        </w:tc>
      </w:tr>
      <w:tr>
        <w:tc>
          <w:tcPr>
            <w:tcW w:type="dxa" w:w="21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RBA effectively tight; no near-term cut</w:t>
            </w:r>
          </w:p>
        </w:tc>
        <w:tc>
          <w:tcPr>
            <w:tcW w:type="dxa" w:w="11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BofA, Westpac</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Stance restrictive; cuts distant</w:t>
            </w:r>
          </w:p>
        </w:tc>
        <w:tc>
          <w:tcPr>
            <w:tcW w:type="dxa" w:w="24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Minutes neutral-rate language; OIS ~17% a hike by Aug (15131)</w:t>
            </w:r>
          </w:p>
        </w:tc>
        <w:tc>
          <w:tcPr>
            <w:tcW w:type="dxa" w:w="24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Disagree on </w:t>
            </w:r>
            <w:r>
              <w:rPr>
                <w:rFonts w:ascii="Public Sans" w:hAnsi="Public Sans"/>
                <w:b w:val="0"/>
                <w:i/>
                <w:color w:val="3D3E3E"/>
                <w:sz w:val="16"/>
              </w:rPr>
              <w:t>why</w:t>
            </w:r>
            <w:r>
              <w:rPr>
                <w:rFonts w:ascii="Public Sans" w:hAnsi="Public Sans"/>
                <w:b w:val="0"/>
                <w:i w:val="0"/>
                <w:color w:val="3D3E3E"/>
                <w:sz w:val="16"/>
              </w:rPr>
              <w:t xml:space="preserve"> neutral shifted — opposite mechanisms (see D)</w:t>
            </w:r>
          </w:p>
        </w:tc>
      </w:tr>
      <w:tr>
        <w:tc>
          <w:tcPr>
            <w:tcW w:type="dxa" w:w="21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Housing softening but credit resilient</w:t>
            </w:r>
          </w:p>
        </w:tc>
        <w:tc>
          <w:tcPr>
            <w:tcW w:type="dxa" w:w="11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Goldman, MS</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Prices down, credit ~8%</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Cotality down; credit +0.7% mom (14245)</w:t>
            </w:r>
          </w:p>
        </w:tc>
        <w:tc>
          <w:tcPr>
            <w:tcW w:type="dxa" w:w="24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Falling prices vs +8% credit left unreconciled</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0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BofA (14544)</w:t>
            </w:r>
          </w:p>
        </w:tc>
        <w:tc>
          <w:tcPr>
            <w:tcW w:type="dxa" w:w="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rates</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r>
              <w:rPr>
                <w:rFonts w:ascii="Public Sans" w:hAnsi="Public Sans"/>
                <w:b/>
                <w:i w:val="0"/>
                <w:color w:val="3D3E3E"/>
                <w:sz w:val="16"/>
              </w:rPr>
              <w:t>Quiet tightening</w:t>
            </w:r>
            <w:r>
              <w:rPr>
                <w:rFonts w:ascii="Public Sans" w:hAnsi="Public Sans"/>
                <w:b w:val="0"/>
                <w:i w:val="0"/>
                <w:color w:val="3D3E3E"/>
                <w:sz w:val="16"/>
              </w:rPr>
              <w:t>": short-run neutral falls; first cut Aug-2027</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Opposite mechanism to Nomura — cyclical neutral dropping</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Transmission via yields/housing credit tightens for the RBA</w:t>
            </w:r>
          </w:p>
        </w:tc>
        <w:tc>
          <w:tcPr>
            <w:tcW w:type="dxa" w:w="20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Neutral re-rises / demand re-accelerates</w:t>
            </w:r>
          </w:p>
        </w:tc>
      </w:tr>
      <w:tr>
        <w:tc>
          <w:tcPr>
            <w:tcW w:type="dxa" w:w="6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 (14304)</w:t>
            </w:r>
          </w:p>
        </w:tc>
        <w:tc>
          <w:tcPr>
            <w:tcW w:type="dxa" w:w="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rates</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Higher </w:t>
            </w:r>
            <w:r>
              <w:rPr>
                <w:rFonts w:ascii="Public Sans" w:hAnsi="Public Sans"/>
                <w:b/>
                <w:i w:val="0"/>
                <w:color w:val="3D3E3E"/>
                <w:sz w:val="16"/>
              </w:rPr>
              <w:t>long-run</w:t>
            </w:r>
            <w:r>
              <w:rPr>
                <w:rFonts w:ascii="Public Sans" w:hAnsi="Public Sans"/>
                <w:b w:val="0"/>
                <w:i w:val="0"/>
                <w:color w:val="3D3E3E"/>
                <w:sz w:val="16"/>
              </w:rPr>
              <w:t xml:space="preserve"> neutral, but </w:t>
            </w:r>
            <w:r>
              <w:rPr>
                <w:rFonts w:ascii="Public Sans" w:hAnsi="Public Sans"/>
                <w:b/>
                <w:i w:val="0"/>
                <w:color w:val="3D3E3E"/>
                <w:sz w:val="16"/>
              </w:rPr>
              <w:t>no hike</w:t>
            </w:r>
            <w:r>
              <w:rPr>
                <w:rFonts w:ascii="Public Sans" w:hAnsi="Public Sans"/>
                <w:b w:val="0"/>
                <w:i w:val="0"/>
                <w:color w:val="3D3E3E"/>
                <w:sz w:val="16"/>
              </w:rPr>
              <w:t xml:space="preserve"> — profile unaltered</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hawkish nuance yet holds the call</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neutral note is about tightness, not a signal to move</w:t>
            </w:r>
          </w:p>
        </w:tc>
        <w:tc>
          <w:tcPr>
            <w:tcW w:type="dxa" w:w="20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Board contemplates a hike at a coming meeting</w:t>
            </w:r>
          </w:p>
        </w:tc>
      </w:tr>
    </w:tbl>
    <w:p>
      <w:pPr>
        <w:spacing w:after="80" w:line="283" w:lineRule="auto"/>
      </w:pPr>
      <w:r>
        <w:rPr>
          <w:rFonts w:ascii="Public Sans" w:hAnsi="Public Sans"/>
          <w:b w:val="0"/>
          <w:i/>
          <w:color w:val="3D3E3E"/>
          <w:sz w:val="19"/>
        </w:rPr>
        <w:t>Trade context:</w:t>
      </w:r>
      <w:r>
        <w:rPr>
          <w:rFonts w:ascii="Public Sans" w:hAnsi="Public Sans"/>
          <w:b w:val="0"/>
          <w:i w:val="0"/>
          <w:color w:val="3D3E3E"/>
          <w:sz w:val="19"/>
        </w:rPr>
        <w:t xml:space="preserve"> DB (15145) took profit on kiwi shorts (an Antipodean-adjacent FX cleanup) — see NZ. </w:t>
      </w:r>
      <w:r>
        <w:rPr>
          <w:rFonts w:ascii="Public Sans" w:hAnsi="Public Sans"/>
          <w:b/>
          <w:i w:val="0"/>
          <w:color w:val="3D3E3E"/>
          <w:sz w:val="19"/>
        </w:rPr>
        <w:t>DEPTH:</w:t>
      </w:r>
      <w:r>
        <w:rPr>
          <w:rFonts w:ascii="Public Sans" w:hAnsi="Public Sans"/>
          <w:b w:val="0"/>
          <w:i w:val="0"/>
          <w:color w:val="3D3E3E"/>
          <w:sz w:val="19"/>
        </w:rPr>
        <w:t xml:space="preserve"> AU deep (215 indicators, latest 06-29) — trade, PMI and CPI-component detail available.</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New Zealand — Jul-8 converges toward a hike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7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85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36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7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Jul-8 now near-consensus +25bp to 2.50%</w:t>
            </w:r>
          </w:p>
        </w:tc>
        <w:tc>
          <w:tcPr>
            <w:tcW w:type="dxa" w:w="12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NZD rates, NZD, NZGB</w:t>
            </w:r>
          </w:p>
        </w:tc>
        <w:tc>
          <w:tcPr>
            <w:tcW w:type="dxa" w:w="28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HSBC, Nomura (hike); Westpac (hold)</w:t>
            </w:r>
          </w:p>
        </w:tc>
        <w:tc>
          <w:tcPr>
            <w:tcW w:type="dxa" w:w="33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07-02 three-way split has collapsed toward a hike</w:t>
            </w:r>
          </w:p>
        </w:tc>
      </w:tr>
      <w:tr>
        <w:tc>
          <w:tcPr>
            <w:tcW w:type="dxa" w:w="3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7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Framework vs forward guidance</w:t>
            </w:r>
            <w:r>
              <w:rPr>
                <w:rFonts w:ascii="Public Sans" w:hAnsi="Public Sans"/>
                <w:b w:val="0"/>
                <w:i w:val="0"/>
                <w:color w:val="3D3E3E"/>
                <w:sz w:val="16"/>
              </w:rPr>
              <w:t xml:space="preserve"> shift</w:t>
            </w:r>
          </w:p>
        </w:tc>
        <w:tc>
          <w:tcPr>
            <w:tcW w:type="dxa" w:w="12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rates</w:t>
            </w:r>
          </w:p>
        </w:tc>
        <w:tc>
          <w:tcPr>
            <w:tcW w:type="dxa" w:w="28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Westpac</w:t>
            </w:r>
          </w:p>
        </w:tc>
        <w:tc>
          <w:tcPr>
            <w:tcW w:type="dxa" w:w="336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How the RBNZ communicates the path, beyond the level</w:t>
            </w:r>
          </w:p>
        </w:tc>
      </w:tr>
      <w:tr>
        <w:tc>
          <w:tcPr>
            <w:tcW w:type="dxa" w:w="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7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Firming confidence + oil-shock persistence</w:t>
            </w:r>
          </w:p>
        </w:tc>
        <w:tc>
          <w:tcPr>
            <w:tcW w:type="dxa" w:w="12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NZD rates, BE</w:t>
            </w:r>
          </w:p>
        </w:tc>
        <w:tc>
          <w:tcPr>
            <w:tcW w:type="dxa" w:w="28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w:t>
            </w:r>
          </w:p>
        </w:tc>
        <w:tc>
          <w:tcPr>
            <w:tcW w:type="dxa" w:w="33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data supporting the hike case</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OCR </w:t>
      </w:r>
      <w:r>
        <w:rPr>
          <w:rFonts w:ascii="Public Sans" w:hAnsi="Public Sans"/>
          <w:b/>
          <w:i w:val="0"/>
          <w:color w:val="3D3E3E"/>
          <w:sz w:val="19"/>
        </w:rPr>
        <w:t>2.25%</w:t>
      </w:r>
      <w:r>
        <w:rPr>
          <w:rFonts w:ascii="Public Sans" w:hAnsi="Public Sans"/>
          <w:b w:val="0"/>
          <w:i w:val="0"/>
          <w:color w:val="3D3E3E"/>
          <w:sz w:val="19"/>
        </w:rPr>
        <w:t xml:space="preserve">; the </w:t>
      </w:r>
      <w:r>
        <w:rPr>
          <w:rFonts w:ascii="Public Sans" w:hAnsi="Public Sans"/>
          <w:b/>
          <w:i w:val="0"/>
          <w:color w:val="3D3E3E"/>
          <w:sz w:val="19"/>
        </w:rPr>
        <w:t>RBNZ decision is 2026-07-08</w:t>
      </w:r>
      <w:r>
        <w:rPr>
          <w:rFonts w:ascii="Public Sans" w:hAnsi="Public Sans"/>
          <w:b w:val="0"/>
          <w:i w:val="0"/>
          <w:color w:val="3D3E3E"/>
          <w:sz w:val="19"/>
        </w:rPr>
        <w:t xml:space="preserve"> (FACT, forward). The delta is that the call converged: the cb_events forecast moved to </w:t>
      </w:r>
      <w:r>
        <w:rPr>
          <w:rFonts w:ascii="Public Sans" w:hAnsi="Public Sans"/>
          <w:b/>
          <w:i w:val="0"/>
          <w:color w:val="3D3E3E"/>
          <w:sz w:val="19"/>
        </w:rPr>
        <w:t>2.50%</w:t>
      </w:r>
      <w:r>
        <w:rPr>
          <w:rFonts w:ascii="Public Sans" w:hAnsi="Public Sans"/>
          <w:b w:val="0"/>
          <w:i w:val="0"/>
          <w:color w:val="3D3E3E"/>
          <w:sz w:val="19"/>
        </w:rPr>
        <w:t xml:space="preserve"> (a hike; it was hold-2.25% at the 07-02 run), and UBS (15127 "+25bp hike in July," OCR to rise "sooner"), HSBC (15246 "we expect a hike in July," noting a 3Q hike had been its view and that the Governor was the deciding vote holding steady last time) and Nomura (15033) all joined ANZ (14581, "let's get started," +25bp to 2.50%). Westpac (15419 "from forward guidance to framework guidance") remains the lone hold-to-September holdout, still leaning on the Governor's conditionality. ANZ's weekly (15384) calls it "a nail biter," so even the hike camp concedes it is close. Pricing carries the hike into Jul-8. Confidence firmed further (ANZ-Roy Morgan bouncing back, 15330).</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8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1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8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9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9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8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hikes +25bp to 2.50% at Jul-8</w:t>
            </w:r>
          </w:p>
        </w:tc>
        <w:tc>
          <w:tcPr>
            <w:tcW w:type="dxa" w:w="11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HSBC, Nomura</w:t>
            </w:r>
          </w:p>
        </w:tc>
        <w:tc>
          <w:tcPr>
            <w:tcW w:type="dxa" w:w="18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July delivery of the forecast hike</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"+25bp hike in July" (15127); "we expect a hike" (15246); forecast now 2.50% (FACT)</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Westpac still holds → Sept; ANZ itself calls it "a nail biter" — not a done deal</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7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6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2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6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19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7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Westpac (15419)</w:t>
            </w:r>
          </w:p>
        </w:tc>
        <w:tc>
          <w:tcPr>
            <w:tcW w:type="dxa" w:w="4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NZD rates</w:t>
            </w:r>
          </w:p>
        </w:tc>
        <w:tc>
          <w:tcPr>
            <w:tcW w:type="dxa" w:w="26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Jul-8; lift-off later</w:t>
            </w:r>
            <w:r>
              <w:rPr>
                <w:rFonts w:ascii="Public Sans" w:hAnsi="Public Sans"/>
                <w:b w:val="0"/>
                <w:i w:val="0"/>
                <w:color w:val="3D3E3E"/>
                <w:sz w:val="16"/>
              </w:rPr>
              <w:t>; "framework not forward guidance"</w:t>
            </w:r>
          </w:p>
        </w:tc>
        <w:tc>
          <w:tcPr>
            <w:tcW w:type="dxa" w:w="22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Lone holdout as the Street converges on a hike</w:t>
            </w:r>
          </w:p>
        </w:tc>
        <w:tc>
          <w:tcPr>
            <w:tcW w:type="dxa" w:w="26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Governor stays conditional and communicates a framework, not a date</w:t>
            </w:r>
          </w:p>
        </w:tc>
        <w:tc>
          <w:tcPr>
            <w:tcW w:type="dxa" w:w="19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RBNZ hikes Jul-8 → Westpac a meeting late</w:t>
            </w:r>
          </w:p>
        </w:tc>
      </w:tr>
    </w:tbl>
    <w:p>
      <w:pPr>
        <w:spacing w:after="80" w:line="283" w:lineRule="auto"/>
      </w:pPr>
      <w:r>
        <w:rPr>
          <w:rFonts w:ascii="Public Sans" w:hAnsi="Public Sans"/>
          <w:b/>
          <w:i w:val="0"/>
          <w:color w:val="3D3E3E"/>
          <w:sz w:val="19"/>
        </w:rPr>
        <w:t>Reconciled vs 07-02:</w:t>
      </w:r>
      <w:r>
        <w:rPr>
          <w:rFonts w:ascii="Public Sans" w:hAnsi="Public Sans"/>
          <w:b w:val="0"/>
          <w:i w:val="0"/>
          <w:color w:val="3D3E3E"/>
          <w:sz w:val="19"/>
        </w:rPr>
        <w:t xml:space="preserve"> the earlier three-way (ANZ hike / Westpac hold / cb_events hold) has narrowed — the calendar consensus and three more houses now align with ANZ on a July hike; Westpac is the remaining dissent. </w:t>
      </w:r>
      <w:r>
        <w:rPr>
          <w:rFonts w:ascii="Public Sans" w:hAnsi="Public Sans"/>
          <w:b/>
          <w:i w:val="0"/>
          <w:color w:val="3D3E3E"/>
          <w:sz w:val="19"/>
        </w:rPr>
        <w:t>Not loaded:</w:t>
      </w:r>
      <w:r>
        <w:rPr>
          <w:rFonts w:ascii="Public Sans" w:hAnsi="Public Sans"/>
          <w:b w:val="0"/>
          <w:i w:val="0"/>
          <w:color w:val="3D3E3E"/>
          <w:sz w:val="19"/>
        </w:rPr>
        <w:t xml:space="preserve"> NZ econ.fact_indicator thin (46 indicators, latest 05-31).</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Indonesia — a bear emerges against the further-hiker  *(INSTRUMENT PENDING DEEPAK)*</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28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IDR: pause or turning point?</w:t>
            </w:r>
            <w:r>
              <w:rPr>
                <w:rFonts w:ascii="Public Sans" w:hAnsi="Public Sans"/>
                <w:b w:val="0"/>
                <w:i w:val="0"/>
                <w:color w:val="3D3E3E"/>
                <w:sz w:val="16"/>
              </w:rPr>
              <w:t xml:space="preserve"> — a genuine bull/bear split</w:t>
            </w:r>
          </w:p>
        </w:tc>
        <w:tc>
          <w:tcPr>
            <w:tcW w:type="dxa" w:w="9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IDR rates</w:t>
            </w:r>
          </w:p>
        </w:tc>
        <w:tc>
          <w:tcPr>
            <w:tcW w:type="dxa" w:w="2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(bearish) vs JPM (further hikes)</w:t>
            </w:r>
          </w:p>
        </w:tc>
        <w:tc>
          <w:tcPr>
            <w:tcW w:type="dxa" w:w="28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window's cleanest two-sided EM debate</w:t>
            </w:r>
          </w:p>
        </w:tc>
      </w:tr>
      <w:tr>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Inflation broadening</w:t>
            </w:r>
            <w:r>
              <w:rPr>
                <w:rFonts w:ascii="Public Sans" w:hAnsi="Public Sans"/>
                <w:b w:val="0"/>
                <w:i w:val="0"/>
                <w:color w:val="3D3E3E"/>
                <w:sz w:val="16"/>
              </w:rPr>
              <w:t xml:space="preserve"> + a large May trade deficit</w:t>
            </w:r>
          </w:p>
        </w:tc>
        <w:tc>
          <w:tcPr>
            <w:tcW w:type="dxa" w:w="9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C/A</w:t>
            </w:r>
          </w:p>
        </w:tc>
        <w:tc>
          <w:tcPr>
            <w:tcW w:type="dxa" w:w="2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Nomura, Goldman</w:t>
            </w:r>
          </w:p>
        </w:tc>
        <w:tc>
          <w:tcPr>
            <w:tcW w:type="dxa" w:w="28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squeeze forcing continued defence</w:t>
            </w:r>
          </w:p>
        </w:tc>
      </w:tr>
      <w:tr>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BI's </w:t>
            </w:r>
            <w:r>
              <w:rPr>
                <w:rFonts w:ascii="Public Sans" w:hAnsi="Public Sans"/>
                <w:b/>
                <w:i w:val="0"/>
                <w:color w:val="3D3E3E"/>
                <w:sz w:val="16"/>
              </w:rPr>
              <w:t>100bp of hikes "insufficient"</w:t>
            </w:r>
            <w:r>
              <w:rPr>
                <w:rFonts w:ascii="Public Sans" w:hAnsi="Public Sans"/>
                <w:b w:val="0"/>
                <w:i w:val="0"/>
                <w:color w:val="3D3E3E"/>
                <w:sz w:val="16"/>
              </w:rPr>
              <w:t xml:space="preserve"> so far</w:t>
            </w:r>
          </w:p>
        </w:tc>
        <w:tc>
          <w:tcPr>
            <w:tcW w:type="dxa" w:w="9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w:t>
            </w:r>
          </w:p>
        </w:tc>
        <w:tc>
          <w:tcPr>
            <w:tcW w:type="dxa" w:w="2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28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bear's core claim about the defence</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BI </w:t>
      </w:r>
      <w:r>
        <w:rPr>
          <w:rFonts w:ascii="Public Sans" w:hAnsi="Public Sans"/>
          <w:b/>
          <w:i w:val="0"/>
          <w:color w:val="3D3E3E"/>
          <w:sz w:val="19"/>
        </w:rPr>
        <w:t>at 5.75%</w:t>
      </w:r>
      <w:r>
        <w:rPr>
          <w:rFonts w:ascii="Public Sans" w:hAnsi="Public Sans"/>
          <w:b w:val="0"/>
          <w:i w:val="0"/>
          <w:color w:val="3D3E3E"/>
          <w:sz w:val="19"/>
        </w:rPr>
        <w:t xml:space="preserve"> (two June hikes, FACT). This window the Indonesia debate sharpened into a genuine two-sided call. </w:t>
      </w:r>
      <w:r>
        <w:rPr>
          <w:rFonts w:ascii="Public Sans" w:hAnsi="Public Sans"/>
          <w:b/>
          <w:i w:val="0"/>
          <w:color w:val="3D3E3E"/>
          <w:sz w:val="19"/>
        </w:rPr>
        <w:t>UBS (15130) turned outright bearish IDR</w:t>
      </w:r>
      <w:r>
        <w:rPr>
          <w:rFonts w:ascii="Public Sans" w:hAnsi="Public Sans"/>
          <w:b w:val="0"/>
          <w:i w:val="0"/>
          <w:color w:val="3D3E3E"/>
          <w:sz w:val="19"/>
        </w:rPr>
        <w:t xml:space="preserve"> — "Pause or Turning Point?" sees </w:t>
      </w:r>
      <w:r>
        <w:rPr>
          <w:rFonts w:ascii="Public Sans" w:hAnsi="Public Sans"/>
          <w:b/>
          <w:i w:val="0"/>
          <w:color w:val="3D3E3E"/>
          <w:sz w:val="19"/>
        </w:rPr>
        <w:t>USD/IDR drifting to 18,500-19,000 in 2H</w:t>
      </w:r>
      <w:r>
        <w:rPr>
          <w:rFonts w:ascii="Public Sans" w:hAnsi="Public Sans"/>
          <w:b w:val="0"/>
          <w:i w:val="0"/>
          <w:color w:val="3D3E3E"/>
          <w:sz w:val="19"/>
        </w:rPr>
        <w:t xml:space="preserve">, argues BI's cumulative 100bp of hikes "so far appear insufficient," and pins the outlook on three drivers: the Fed, Indonesia's current-account deficit, and the ID-US rate differential (with rate-sensitive loan/deposit flows down ~1ppt of GDP). Against that, </w:t>
      </w:r>
      <w:r>
        <w:rPr>
          <w:rFonts w:ascii="Public Sans" w:hAnsi="Public Sans"/>
          <w:b/>
          <w:i w:val="0"/>
          <w:color w:val="3D3E3E"/>
          <w:sz w:val="19"/>
        </w:rPr>
        <w:t>JPM (14806, carry-forward, re-verified) expects BI to hike further to 6.00% with risks of more</w:t>
      </w:r>
      <w:r>
        <w:rPr>
          <w:rFonts w:ascii="Public Sans" w:hAnsi="Public Sans"/>
          <w:b w:val="0"/>
          <w:i w:val="0"/>
          <w:color w:val="3D3E3E"/>
          <w:sz w:val="19"/>
        </w:rPr>
        <w:t>, on broadening June inflation (0.4% m/m, ~2.9% oya) and the large May trade-deficit swing (14862). So the same facts — broadening inflation, a deteriorating external balance, 100bp already delivered — produce opposite conclusions: UBS says the defence is failing and the currency breaks weaker; JPM says the defence continues via more hikes. That is the trade to interrogate. Goldman (14633) supplies the supply-side framing (fuel-led CPI origin).</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3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2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Inflation broadened; external balance deteriorating</w:t>
            </w:r>
          </w:p>
        </w:tc>
        <w:tc>
          <w:tcPr>
            <w:tcW w:type="dxa" w:w="9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Nomura, Goldman</w:t>
            </w:r>
          </w:p>
        </w:tc>
        <w:tc>
          <w:tcPr>
            <w:tcW w:type="dxa" w:w="2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rose/broadened; May trade swung to deficit</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0.4% m/m, 2.9% oya (14806); "accelerated" (14819); deficit (14862)</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Agreement on the facts masks opposite currency conclusions (see D)</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4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 (15130)</w:t>
            </w:r>
          </w:p>
        </w:tc>
        <w:tc>
          <w:tcPr>
            <w:tcW w:type="dxa" w:w="4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Bearish IDR</w:t>
            </w:r>
            <w:r>
              <w:rPr>
                <w:rFonts w:ascii="Public Sans" w:hAnsi="Public Sans"/>
                <w:b w:val="0"/>
                <w:i w:val="0"/>
                <w:color w:val="3D3E3E"/>
                <w:sz w:val="16"/>
              </w:rPr>
              <w:t xml:space="preserve"> to 18,500-19,000; 100bp of hikes "insufficient"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Says the currency defence is </w:t>
            </w:r>
            <w:r>
              <w:rPr>
                <w:rFonts w:ascii="Public Sans" w:hAnsi="Public Sans"/>
                <w:b w:val="0"/>
                <w:i/>
                <w:color w:val="3D3E3E"/>
                <w:sz w:val="16"/>
              </w:rPr>
              <w:t>failing</w:t>
            </w:r>
            <w:r>
              <w:rPr>
                <w:rFonts w:ascii="Public Sans" w:hAnsi="Public Sans"/>
                <w:b w:val="0"/>
                <w:i w:val="0"/>
                <w:color w:val="3D3E3E"/>
                <w:sz w:val="16"/>
              </w:rPr>
              <w:t xml:space="preserve"> where JPM says it continues</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 C/A deficit + rate differential overwhelm BI's hikes</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BI over-delivers hikes / Fed turns dovish enough to relieve IDR</w:t>
            </w:r>
          </w:p>
        </w:tc>
      </w:tr>
      <w:tr>
        <w:tc>
          <w:tcPr>
            <w:tcW w:type="dxa" w:w="48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 (14806)</w:t>
            </w:r>
          </w:p>
        </w:tc>
        <w:tc>
          <w:tcPr>
            <w:tcW w:type="dxa" w:w="4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rates</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BI </w:t>
            </w:r>
            <w:r>
              <w:rPr>
                <w:rFonts w:ascii="Public Sans" w:hAnsi="Public Sans"/>
                <w:b/>
                <w:i w:val="0"/>
                <w:color w:val="3D3E3E"/>
                <w:sz w:val="16"/>
              </w:rPr>
              <w:t>hikes to 6.00%</w:t>
            </w:r>
            <w:r>
              <w:rPr>
                <w:rFonts w:ascii="Public Sans" w:hAnsi="Public Sans"/>
                <w:b w:val="0"/>
                <w:i w:val="0"/>
                <w:color w:val="3D3E3E"/>
                <w:sz w:val="16"/>
              </w:rPr>
              <w:t>, more to come</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Names a terminal above spot; defence continues</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Broadening inflation + weak external balance force continued tightening</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CPI stabilises / rupiah steadies → BI pauses (the UBS "pause")</w:t>
            </w:r>
          </w:p>
        </w:tc>
      </w:tr>
    </w:tbl>
    <w:p>
      <w:pPr>
        <w:spacing w:after="80" w:line="283" w:lineRule="auto"/>
      </w:pPr>
      <w:r>
        <w:rPr>
          <w:rFonts w:ascii="Public Sans" w:hAnsi="Public Sans"/>
          <w:b/>
          <w:i w:val="0"/>
          <w:color w:val="3D3E3E"/>
          <w:sz w:val="19"/>
        </w:rPr>
        <w:t>Puzzle fit:</w:t>
      </w:r>
      <w:r>
        <w:rPr>
          <w:rFonts w:ascii="Public Sans" w:hAnsi="Public Sans"/>
          <w:b w:val="0"/>
          <w:i w:val="0"/>
          <w:color w:val="3D3E3E"/>
          <w:sz w:val="19"/>
        </w:rPr>
        <w:t xml:space="preserve"> currency-defence reaction function + broadening inflation + deteriorating external balance, now with a live bull/bear split. </w:t>
      </w:r>
      <w:r>
        <w:rPr>
          <w:rFonts w:ascii="Public Sans" w:hAnsi="Public Sans"/>
          <w:b/>
          <w:i w:val="0"/>
          <w:color w:val="3D3E3E"/>
          <w:sz w:val="19"/>
        </w:rPr>
        <w:t>No Spider instrument is named</w:t>
      </w:r>
      <w:r>
        <w:rPr>
          <w:rFonts w:ascii="Public Sans" w:hAnsi="Public Sans"/>
          <w:b w:val="0"/>
          <w:i w:val="0"/>
          <w:color w:val="3D3E3E"/>
          <w:sz w:val="19"/>
        </w:rPr>
        <w:t xml:space="preserve"> (SRBI vs IDR rates vs govvies); JPM's prior "SRBI yields high" reference is an observed condition only — the "use the bonds" instruction remains </w:t>
      </w:r>
      <w:r>
        <w:rPr>
          <w:rFonts w:ascii="Public Sans" w:hAnsi="Public Sans"/>
          <w:b/>
          <w:i w:val="0"/>
          <w:color w:val="3D3E3E"/>
          <w:sz w:val="19"/>
        </w:rPr>
        <w:t>PENDING DEEPAK</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ID econ.fact_indicator reasonably deep (91 indicators, latest 06-26).</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India — the RBI-inflows theme persists; CPI/monsoon the next test</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6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RBI measures drive INR inflows</w:t>
            </w:r>
            <w:r>
              <w:rPr>
                <w:rFonts w:ascii="Public Sans" w:hAnsi="Public Sans"/>
                <w:b w:val="0"/>
                <w:i w:val="0"/>
                <w:color w:val="3D3E3E"/>
                <w:sz w:val="16"/>
              </w:rPr>
              <w:t xml:space="preserve"> (FCNR(B), ECB-related)</w:t>
            </w:r>
          </w:p>
        </w:tc>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IGB</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Goldman (+ Barclays, prior)</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persistent FX/bonds cluster; one expression stopped out</w:t>
            </w:r>
          </w:p>
        </w:tc>
      </w:tr>
      <w:tr>
        <w:tc>
          <w:tcPr>
            <w:tcW w:type="dxa" w:w="4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June CPI likely rose; monsoon progress key</w:t>
            </w:r>
          </w:p>
        </w:tc>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rates, BE</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 Citi, JPM</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next inflation test into 07-03 data</w:t>
            </w:r>
          </w:p>
        </w:tc>
      </w:tr>
      <w:tr>
        <w:tc>
          <w:tcPr>
            <w:tcW w:type="dxa" w:w="4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Fiscal improvement</w:t>
            </w:r>
            <w:r>
              <w:rPr>
                <w:rFonts w:ascii="Public Sans" w:hAnsi="Public Sans"/>
                <w:b w:val="0"/>
                <w:i w:val="0"/>
                <w:color w:val="3D3E3E"/>
                <w:sz w:val="16"/>
              </w:rPr>
              <w:t xml:space="preserve"> on RBI dividend</w:t>
            </w:r>
          </w:p>
        </w:tc>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rates, IGB</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Nomura, MS</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Eases govvie supply (carry-forward)</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RBI </w:t>
      </w:r>
      <w:r>
        <w:rPr>
          <w:rFonts w:ascii="Public Sans" w:hAnsi="Public Sans"/>
          <w:b/>
          <w:i w:val="0"/>
          <w:color w:val="3D3E3E"/>
          <w:sz w:val="19"/>
        </w:rPr>
        <w:t>at 5.25%</w:t>
      </w:r>
      <w:r>
        <w:rPr>
          <w:rFonts w:ascii="Public Sans" w:hAnsi="Public Sans"/>
          <w:b w:val="0"/>
          <w:i w:val="0"/>
          <w:color w:val="3D3E3E"/>
          <w:sz w:val="19"/>
        </w:rPr>
        <w:t xml:space="preserve"> (06-05 hold, FACT). The RBI-inflows theme carries forward and remains the live axis: BNP (14665, sell EUR/INR) and Goldman (14730, constructive INR FX + bonds on carry + a narrowed C/A deficit) still lean on RBI measures — the FCNR(B) swap facility and ECB-related steps — drawing inflows and lowering INR volatility. One expression </w:t>
      </w:r>
      <w:r>
        <w:rPr>
          <w:rFonts w:ascii="Public Sans" w:hAnsi="Public Sans"/>
          <w:b w:val="0"/>
          <w:i/>
          <w:color w:val="3D3E3E"/>
          <w:sz w:val="19"/>
        </w:rPr>
        <w:t>failed the tape</w:t>
      </w:r>
      <w:r>
        <w:rPr>
          <w:rFonts w:ascii="Public Sans" w:hAnsi="Public Sans"/>
          <w:b w:val="0"/>
          <w:i w:val="0"/>
          <w:color w:val="3D3E3E"/>
          <w:sz w:val="19"/>
        </w:rPr>
        <w:t xml:space="preserve">: HSBC's sell SGD-INR was </w:t>
      </w:r>
      <w:r>
        <w:rPr>
          <w:rFonts w:ascii="Public Sans" w:hAnsi="Public Sans"/>
          <w:b/>
          <w:i w:val="0"/>
          <w:color w:val="3D3E3E"/>
          <w:sz w:val="19"/>
        </w:rPr>
        <w:t>stopped out at 74.00</w:t>
      </w:r>
      <w:r>
        <w:rPr>
          <w:rFonts w:ascii="Public Sans" w:hAnsi="Public Sans"/>
          <w:b w:val="0"/>
          <w:i w:val="0"/>
          <w:color w:val="3D3E3E"/>
          <w:sz w:val="19"/>
        </w:rPr>
        <w:t xml:space="preserve"> (15099) — a neutral fact worth noting against the constructive-INR consensus, showing the trade is not one-way. StanC's "A sigh of relief" (15035) frames the broader post-Iran EM unwind of tightening expectations that supports INR carry.</w:t>
      </w:r>
    </w:p>
    <w:p>
      <w:pPr>
        <w:spacing w:after="80" w:line="283" w:lineRule="auto"/>
      </w:pPr>
      <w:r>
        <w:rPr>
          <w:rFonts w:ascii="Public Sans" w:hAnsi="Public Sans"/>
          <w:b w:val="0"/>
          <w:i w:val="0"/>
          <w:color w:val="3D3E3E"/>
          <w:sz w:val="19"/>
        </w:rPr>
        <w:t xml:space="preserve">The next test is inflation: StanC (15326) and Citi expect </w:t>
      </w:r>
      <w:r>
        <w:rPr>
          <w:rFonts w:ascii="Public Sans" w:hAnsi="Public Sans"/>
          <w:b/>
          <w:i w:val="0"/>
          <w:color w:val="3D3E3E"/>
          <w:sz w:val="19"/>
        </w:rPr>
        <w:t>June CPI likely rose, with monsoon progress the key swing</w:t>
      </w:r>
      <w:r>
        <w:rPr>
          <w:rFonts w:ascii="Public Sans" w:hAnsi="Public Sans"/>
          <w:b w:val="0"/>
          <w:i w:val="0"/>
          <w:color w:val="3D3E3E"/>
          <w:sz w:val="19"/>
        </w:rPr>
        <w:t xml:space="preserve"> (weak-start/El Niño tail, carry-forward from MS 14301, JPM 14747). HSBC PMIs (07-03) point to still-firm-but-cooling activity (composite prior 59.3, services 59.8 — a step down from very high levels). So: an inflows-supported constructive INR story, with a food-inflation tail and one stopped-out cross as the counter-evidence.</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9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9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RBI measures support INR inflows / bonds</w:t>
            </w:r>
          </w:p>
        </w:tc>
        <w:tc>
          <w:tcPr>
            <w:tcW w:type="dxa" w:w="1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Goldman, Barclays</w:t>
            </w:r>
          </w:p>
        </w:tc>
        <w:tc>
          <w:tcPr>
            <w:tcW w:type="dxa" w:w="23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Inflow measures → constructive INR + bonds</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FCNR(B)/ECB (14665); carry + narrower C/A (14730)</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SGD-INR stopped at 74.00 (15099) — the trade is not one-way</w:t>
            </w:r>
          </w:p>
        </w:tc>
      </w:tr>
      <w:tr>
        <w:tc>
          <w:tcPr>
            <w:tcW w:type="dxa" w:w="19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June CPI rose; monsoon is the swing</w:t>
            </w:r>
          </w:p>
        </w:tc>
        <w:tc>
          <w:tcPr>
            <w:tcW w:type="dxa" w:w="10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 Citi, JPM</w:t>
            </w:r>
          </w:p>
        </w:tc>
        <w:tc>
          <w:tcPr>
            <w:tcW w:type="dxa" w:w="23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Food/monsoon drives the near-term inflation risk</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likely rose; monsoon key" (15326); El Niño (14747)</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07-03 CPI/PMI actuals not yet booked in cb_events</w:t>
            </w:r>
          </w:p>
        </w:tc>
      </w:tr>
      <w:tr>
        <w:tc>
          <w:tcPr>
            <w:tcW w:type="dxa" w:w="19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Fiscal improved on RBI dividend</w:t>
            </w:r>
          </w:p>
        </w:tc>
        <w:tc>
          <w:tcPr>
            <w:tcW w:type="dxa" w:w="1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Nomura, MS</w:t>
            </w:r>
          </w:p>
        </w:tc>
        <w:tc>
          <w:tcPr>
            <w:tcW w:type="dxa" w:w="23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Deficit narrowed on record dividend</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May fiscal + RBI dividend (14492/14467)</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one-off dividend flatters the run-rate</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7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7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1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16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8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7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Goldman (14730)</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FX + bonds</w:t>
            </w:r>
          </w:p>
        </w:tc>
        <w:tc>
          <w:tcPr>
            <w:tcW w:type="dxa" w:w="24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Constructive</w:t>
            </w:r>
            <w:r>
              <w:rPr>
                <w:rFonts w:ascii="Public Sans" w:hAnsi="Public Sans"/>
                <w:b w:val="0"/>
                <w:i w:val="0"/>
                <w:color w:val="3D3E3E"/>
                <w:sz w:val="16"/>
              </w:rPr>
              <w:t xml:space="preserve"> on carry + improving fundamentals</w:t>
            </w:r>
          </w:p>
        </w:tc>
        <w:tc>
          <w:tcPr>
            <w:tcW w:type="dxa" w:w="21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Broadest cross-asset INR-bull expression</w:t>
            </w:r>
          </w:p>
        </w:tc>
        <w:tc>
          <w:tcPr>
            <w:tcW w:type="dxa" w:w="16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Carry holds; C/A keeps narrowing</w:t>
            </w:r>
          </w:p>
        </w:tc>
        <w:tc>
          <w:tcPr>
            <w:tcW w:type="dxa" w:w="28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re-spike widens C/A; monsoon-food inflation spikes</w:t>
            </w:r>
          </w:p>
        </w:tc>
      </w:tr>
    </w:tbl>
    <w:p>
      <w:pPr>
        <w:spacing w:after="80" w:line="283" w:lineRule="auto"/>
      </w:pPr>
      <w:r>
        <w:rPr>
          <w:rFonts w:ascii="Public Sans" w:hAnsi="Public Sans"/>
          <w:b w:val="0"/>
          <w:i/>
          <w:color w:val="3D3E3E"/>
          <w:sz w:val="19"/>
        </w:rPr>
        <w:t>Trade rows expanded:</w:t>
      </w:r>
      <w:r>
        <w:rPr>
          <w:rFonts w:ascii="Public Sans" w:hAnsi="Public Sans"/>
          <w:b w:val="0"/>
          <w:i w:val="0"/>
          <w:color w:val="3D3E3E"/>
          <w:sz w:val="19"/>
        </w:rPr>
        <w:t xml:space="preserve"> #5 (BNP sell EUR/INR), #6 (Goldman constructive INR). Surfaced, not judged. </w:t>
      </w:r>
      <w:r>
        <w:rPr>
          <w:rFonts w:ascii="Public Sans" w:hAnsi="Public Sans"/>
          <w:b/>
          <w:i w:val="0"/>
          <w:color w:val="3D3E3E"/>
          <w:sz w:val="19"/>
        </w:rPr>
        <w:t>DEPTH:</w:t>
      </w:r>
      <w:r>
        <w:rPr>
          <w:rFonts w:ascii="Public Sans" w:hAnsi="Public Sans"/>
          <w:b w:val="0"/>
          <w:i w:val="0"/>
          <w:color w:val="3D3E3E"/>
          <w:sz w:val="19"/>
        </w:rPr>
        <w:t xml:space="preserve"> IN deep (279 indicators, latest 06-29) — food/CPI component follow-up (incl. fresh-food nowcaster) available for the monsoon tail.</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Singapore — MAS review live; a slight-easing lean</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8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29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July review</w:t>
            </w:r>
            <w:r>
              <w:rPr>
                <w:rFonts w:ascii="Public Sans" w:hAnsi="Public Sans"/>
                <w:b w:val="0"/>
                <w:i w:val="0"/>
                <w:color w:val="3D3E3E"/>
                <w:sz w:val="16"/>
              </w:rPr>
              <w:t xml:space="preserve"> — close call, lean to slight easing</w:t>
            </w:r>
          </w:p>
        </w:tc>
        <w:tc>
          <w:tcPr>
            <w:tcW w:type="dxa" w:w="10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 NEER, SGS</w:t>
            </w:r>
          </w:p>
        </w:tc>
        <w:tc>
          <w:tcPr>
            <w:tcW w:type="dxa" w:w="18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Nomura, Citi</w:t>
            </w:r>
          </w:p>
        </w:tc>
        <w:tc>
          <w:tcPr>
            <w:tcW w:type="dxa" w:w="29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live regional CB event</w:t>
            </w:r>
          </w:p>
        </w:tc>
      </w:tr>
      <w:tr>
        <w:tc>
          <w:tcPr>
            <w:tcW w:type="dxa" w:w="5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Composite PMI 57.4</w:t>
            </w:r>
            <w:r>
              <w:rPr>
                <w:rFonts w:ascii="Public Sans" w:hAnsi="Public Sans"/>
                <w:b w:val="0"/>
                <w:i w:val="0"/>
                <w:color w:val="3D3E3E"/>
                <w:sz w:val="16"/>
              </w:rPr>
              <w:t xml:space="preserve"> — activity strong</w:t>
            </w:r>
          </w:p>
        </w:tc>
        <w:tc>
          <w:tcPr>
            <w:tcW w:type="dxa" w:w="10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SGD, equity</w:t>
            </w:r>
          </w:p>
        </w:tc>
        <w:tc>
          <w:tcPr>
            <w:tcW w:type="dxa" w:w="18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cb_events/FACT</w:t>
            </w:r>
          </w:p>
        </w:tc>
        <w:tc>
          <w:tcPr>
            <w:tcW w:type="dxa" w:w="29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firm growth print into the review</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MAS runs the S\$NEER band, not a policy rate. Three houses preview the July review and converge on a </w:t>
      </w:r>
      <w:r>
        <w:rPr>
          <w:rFonts w:ascii="Public Sans" w:hAnsi="Public Sans"/>
          <w:b/>
          <w:i w:val="0"/>
          <w:color w:val="3D3E3E"/>
          <w:sz w:val="19"/>
        </w:rPr>
        <w:t>close call with a lean to slight easing</w:t>
      </w:r>
      <w:r>
        <w:rPr>
          <w:rFonts w:ascii="Public Sans" w:hAnsi="Public Sans"/>
          <w:b w:val="0"/>
          <w:i w:val="0"/>
          <w:color w:val="3D3E3E"/>
          <w:sz w:val="19"/>
        </w:rPr>
        <w:t xml:space="preserve">: Citi (14962) "still expect July slight easing" (re-centre/slope), with inflation concerns "centred less on the level"; Barclays (14656) "a close call between near-term inflation [and growth]"; Nomura (14815) "a possible tentative easing." The data cut against an easy easing call, though — the </w:t>
      </w:r>
      <w:r>
        <w:rPr>
          <w:rFonts w:ascii="Public Sans" w:hAnsi="Public Sans"/>
          <w:b/>
          <w:i w:val="0"/>
          <w:color w:val="3D3E3E"/>
          <w:sz w:val="19"/>
        </w:rPr>
        <w:t>S&amp;P composite PMI printed 57.4</w:t>
      </w:r>
      <w:r>
        <w:rPr>
          <w:rFonts w:ascii="Public Sans" w:hAnsi="Public Sans"/>
          <w:b w:val="0"/>
          <w:i w:val="0"/>
          <w:color w:val="3D3E3E"/>
          <w:sz w:val="19"/>
        </w:rPr>
        <w:t xml:space="preserve"> (well above the 51.5 forecast, FACT) and SIPMM manufacturing 51.3, so activity is firm. The tension is inflation-comfort vs still-solid growth.</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9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9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July: close call, lean slight easing</w:t>
            </w:r>
          </w:p>
        </w:tc>
        <w:tc>
          <w:tcPr>
            <w:tcW w:type="dxa" w:w="1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Nomura, Citi</w:t>
            </w:r>
          </w:p>
        </w:tc>
        <w:tc>
          <w:tcPr>
            <w:tcW w:type="dxa" w:w="23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modest re-centre/slope easing is the base case</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"Close call" (14656); "possible tentative" (14815); "still expect" (14962)</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Composite PMI 57.4 (FACT) argues against urgency to ease</w:t>
            </w:r>
          </w:p>
        </w:tc>
      </w:tr>
    </w:tbl>
    <w:p>
      <w:pPr>
        <w:spacing w:after="80" w:line="283" w:lineRule="auto"/>
      </w:pPr>
      <w:r>
        <w:rPr>
          <w:rFonts w:ascii="Public Sans" w:hAnsi="Public Sans"/>
          <w:b/>
          <w:i w:val="0"/>
          <w:color w:val="3D3E3E"/>
          <w:sz w:val="19"/>
        </w:rPr>
        <w:t>Not loaded:</w:t>
      </w:r>
      <w:r>
        <w:rPr>
          <w:rFonts w:ascii="Public Sans" w:hAnsi="Public Sans"/>
          <w:b w:val="0"/>
          <w:i w:val="0"/>
          <w:color w:val="3D3E3E"/>
          <w:sz w:val="19"/>
        </w:rPr>
        <w:t xml:space="preserve"> the MAS band is not a cb_events policy-rate row; SG has no in-window econ.fact_indicator rows (PMIs are cb_events).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Thailand — a challenging H2, oil-relief the counterweight</w:t>
      </w:r>
    </w:p>
    <w:p>
      <w:pPr>
        <w:spacing w:after="80" w:line="283" w:lineRule="auto"/>
      </w:pPr>
      <w:r>
        <w:rPr>
          <w:rFonts w:ascii="Public Sans" w:hAnsi="Public Sans"/>
          <w:b w:val="0"/>
          <w:i w:val="0"/>
          <w:color w:val="3D3E3E"/>
          <w:sz w:val="19"/>
        </w:rPr>
        <w:t xml:space="preserve">BoT </w:t>
      </w:r>
      <w:r>
        <w:rPr>
          <w:rFonts w:ascii="Public Sans" w:hAnsi="Public Sans"/>
          <w:b/>
          <w:i w:val="0"/>
          <w:color w:val="3D3E3E"/>
          <w:sz w:val="19"/>
        </w:rPr>
        <w:t>at 1.00%</w:t>
      </w:r>
      <w:r>
        <w:rPr>
          <w:rFonts w:ascii="Public Sans" w:hAnsi="Public Sans"/>
          <w:b w:val="0"/>
          <w:i w:val="0"/>
          <w:color w:val="3D3E3E"/>
          <w:sz w:val="19"/>
        </w:rPr>
        <w:t xml:space="preserve"> (06-24 hold, FACT); minutes 07-08. The delta is StanC's "Thailand — A challenging H2" (15036), reinforcing the soft-demand read (weak May consumption/investment, C/A deficit, carry-forward). The constructive counter persists via the oil-relief-to-GDP channel: BofA (14548) "GDP relief from lower oil prices and AI wave," HSBC/UBS (14562/14828) on energy-shock-to-margins. StanC's rates note (15035) favours receiving the THB curve as post-Iran EM tightening-expectations unwind — surfaced (trade #9), not judged. Consensus: soft now, constructive on the outlook; the hard data remains weak. </w:t>
      </w:r>
      <w:r>
        <w:rPr>
          <w:rFonts w:ascii="Public Sans" w:hAnsi="Public Sans"/>
          <w:b/>
          <w:i w:val="0"/>
          <w:color w:val="3D3E3E"/>
          <w:sz w:val="19"/>
        </w:rPr>
        <w:t>Not loaded:</w:t>
      </w:r>
      <w:r>
        <w:rPr>
          <w:rFonts w:ascii="Public Sans" w:hAnsi="Public Sans"/>
          <w:b w:val="0"/>
          <w:i w:val="0"/>
          <w:color w:val="3D3E3E"/>
          <w:sz w:val="19"/>
        </w:rPr>
        <w:t xml:space="preserve"> no in-window econ.fact_indicator rows.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United Kingdom — sticky, hawkish dissent, gilt-curve steepening</w:t>
      </w:r>
    </w:p>
    <w:p>
      <w:pPr>
        <w:spacing w:after="80" w:line="283" w:lineRule="auto"/>
      </w:pPr>
      <w:r>
        <w:rPr>
          <w:rFonts w:ascii="Public Sans" w:hAnsi="Public Sans"/>
          <w:b w:val="0"/>
          <w:i w:val="0"/>
          <w:color w:val="3D3E3E"/>
          <w:sz w:val="19"/>
        </w:rPr>
        <w:t xml:space="preserve">BoE </w:t>
      </w:r>
      <w:r>
        <w:rPr>
          <w:rFonts w:ascii="Public Sans" w:hAnsi="Public Sans"/>
          <w:b/>
          <w:i w:val="0"/>
          <w:color w:val="3D3E3E"/>
          <w:sz w:val="19"/>
        </w:rPr>
        <w:t>at 3.75%</w:t>
      </w:r>
      <w:r>
        <w:rPr>
          <w:rFonts w:ascii="Public Sans" w:hAnsi="Public Sans"/>
          <w:b w:val="0"/>
          <w:i w:val="0"/>
          <w:color w:val="3D3E3E"/>
          <w:sz w:val="19"/>
        </w:rPr>
        <w:t xml:space="preserve"> (06-18 hold, 7/2/0 with 2 hike dissents, FACT). Speaker-heavy into 07-03 (Bailey, the DMP 1y CPI-expectations series prior 3.7%, services/composite PMI finals). The differentiated thread carries forward and firmed: UBS (14426) "inflation shocks steepen the gilt curve," UK most exposed via the highest inflation-linked debt share; Barclays added "UK: Gilts in motion" (15289) and "leadership transition" risk (UBS 14824). UBS also closed a </w:t>
      </w:r>
      <w:r>
        <w:rPr>
          <w:rFonts w:ascii="Public Sans" w:hAnsi="Public Sans"/>
          <w:b/>
          <w:i w:val="0"/>
          <w:color w:val="3D3E3E"/>
          <w:sz w:val="19"/>
        </w:rPr>
        <w:t>BoE Sep'26 receiver at 5bps</w:t>
      </w:r>
      <w:r>
        <w:rPr>
          <w:rFonts w:ascii="Public Sans" w:hAnsi="Public Sans"/>
          <w:b w:val="0"/>
          <w:i w:val="0"/>
          <w:color w:val="3D3E3E"/>
          <w:sz w:val="19"/>
        </w:rPr>
        <w:t xml:space="preserve"> (15279) — a tactical rates cleanup. JPM's read of Mann (15250) flags "mixed signals" from the hawk. Consensus did not clear the ≥2-bank bar this window beyond the BoE mechanics; the gilt-steepening call remains UBS-led. </w:t>
      </w:r>
      <w:r>
        <w:rPr>
          <w:rFonts w:ascii="Public Sans" w:hAnsi="Public Sans"/>
          <w:b/>
          <w:i w:val="0"/>
          <w:color w:val="3D3E3E"/>
          <w:sz w:val="19"/>
        </w:rPr>
        <w:t>Not loaded:</w:t>
      </w:r>
      <w:r>
        <w:rPr>
          <w:rFonts w:ascii="Public Sans" w:hAnsi="Public Sans"/>
          <w:b w:val="0"/>
          <w:i w:val="0"/>
          <w:color w:val="3D3E3E"/>
          <w:sz w:val="19"/>
        </w:rPr>
        <w:t xml:space="preserve"> UK econ.fact_indicator thin (1 indicator, latest 06-02).</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Canada — steady BoC, mfg PMI firms</w:t>
      </w:r>
    </w:p>
    <w:p>
      <w:pPr>
        <w:spacing w:after="80" w:line="283" w:lineRule="auto"/>
      </w:pPr>
      <w:r>
        <w:rPr>
          <w:rFonts w:ascii="Public Sans" w:hAnsi="Public Sans"/>
          <w:b w:val="0"/>
          <w:i w:val="0"/>
          <w:color w:val="3D3E3E"/>
          <w:sz w:val="19"/>
        </w:rPr>
        <w:t xml:space="preserve">BoC </w:t>
      </w:r>
      <w:r>
        <w:rPr>
          <w:rFonts w:ascii="Public Sans" w:hAnsi="Public Sans"/>
          <w:b/>
          <w:i w:val="0"/>
          <w:color w:val="3D3E3E"/>
          <w:sz w:val="19"/>
        </w:rPr>
        <w:t>at 2.25%</w:t>
      </w:r>
      <w:r>
        <w:rPr>
          <w:rFonts w:ascii="Public Sans" w:hAnsi="Public Sans"/>
          <w:b w:val="0"/>
          <w:i w:val="0"/>
          <w:color w:val="3D3E3E"/>
          <w:sz w:val="19"/>
        </w:rPr>
        <w:t xml:space="preserve"> (06-10 hold, FACT); Business Outlook Survey + Consumer Expectations land 07-06. Manufacturing PMI printed </w:t>
      </w:r>
      <w:r>
        <w:rPr>
          <w:rFonts w:ascii="Public Sans" w:hAnsi="Public Sans"/>
          <w:b/>
          <w:i w:val="0"/>
          <w:color w:val="3D3E3E"/>
          <w:sz w:val="19"/>
        </w:rPr>
        <w:t>53.0</w:t>
      </w:r>
      <w:r>
        <w:rPr>
          <w:rFonts w:ascii="Public Sans" w:hAnsi="Public Sans"/>
          <w:b w:val="0"/>
          <w:i w:val="0"/>
          <w:color w:val="3D3E3E"/>
          <w:sz w:val="19"/>
        </w:rPr>
        <w:t xml:space="preserve"> (from 52.9, back in expansion, FACT). BofA's frame stays "Weak growth, steady BoC" (14376) — no urgency either way; nothing differentiated cleared the bar. </w:t>
      </w:r>
      <w:r>
        <w:rPr>
          <w:rFonts w:ascii="Public Sans" w:hAnsi="Public Sans"/>
          <w:b/>
          <w:i w:val="0"/>
          <w:color w:val="3D3E3E"/>
          <w:sz w:val="19"/>
        </w:rPr>
        <w:t>Not loaded:</w:t>
      </w:r>
      <w:r>
        <w:rPr>
          <w:rFonts w:ascii="Public Sans" w:hAnsi="Public Sans"/>
          <w:b w:val="0"/>
          <w:i w:val="0"/>
          <w:color w:val="3D3E3E"/>
          <w:sz w:val="19"/>
        </w:rPr>
        <w:t xml:space="preserve"> CA econ.fact_indicator absent (no in-window rows).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Philippines — quiet hike, external balance improving</w:t>
      </w:r>
    </w:p>
    <w:p>
      <w:pPr>
        <w:spacing w:after="80" w:line="283" w:lineRule="auto"/>
      </w:pPr>
      <w:r>
        <w:rPr>
          <w:rFonts w:ascii="Public Sans" w:hAnsi="Public Sans"/>
          <w:b w:val="0"/>
          <w:i w:val="0"/>
          <w:color w:val="3D3E3E"/>
          <w:sz w:val="19"/>
        </w:rPr>
        <w:t xml:space="preserve">BSP </w:t>
      </w:r>
      <w:r>
        <w:rPr>
          <w:rFonts w:ascii="Public Sans" w:hAnsi="Public Sans"/>
          <w:b/>
          <w:i w:val="0"/>
          <w:color w:val="3D3E3E"/>
          <w:sz w:val="19"/>
        </w:rPr>
        <w:t>at 4.75%</w:t>
      </w:r>
      <w:r>
        <w:rPr>
          <w:rFonts w:ascii="Public Sans" w:hAnsi="Public Sans"/>
          <w:b w:val="0"/>
          <w:i w:val="0"/>
          <w:color w:val="3D3E3E"/>
          <w:sz w:val="19"/>
        </w:rPr>
        <w:t xml:space="preserve"> (06-18 hike, FACT), part of the June EM-tightening cluster. In-window flow thin; filed as EM-tightening + external-balance improvement (trade deficit narrowed in May, JPM 14291). </w:t>
      </w:r>
      <w:r>
        <w:rPr>
          <w:rFonts w:ascii="Public Sans" w:hAnsi="Public Sans"/>
          <w:b/>
          <w:i w:val="0"/>
          <w:color w:val="3D3E3E"/>
          <w:sz w:val="19"/>
        </w:rPr>
        <w:t>Not loaded:</w:t>
      </w:r>
      <w:r>
        <w:rPr>
          <w:rFonts w:ascii="Public Sans" w:hAnsi="Public Sans"/>
          <w:b w:val="0"/>
          <w:i w:val="0"/>
          <w:color w:val="3D3E3E"/>
          <w:sz w:val="19"/>
        </w:rPr>
        <w:t xml:space="preserve"> no in-window econ.fact_indicator rows.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Malaysia — BNM Jul-9 preview, "La pausa"</w:t>
      </w:r>
    </w:p>
    <w:p>
      <w:pPr>
        <w:spacing w:after="80" w:line="283" w:lineRule="auto"/>
      </w:pPr>
      <w:r>
        <w:rPr>
          <w:rFonts w:ascii="Public Sans" w:hAnsi="Public Sans"/>
          <w:b w:val="0"/>
          <w:i w:val="0"/>
          <w:color w:val="3D3E3E"/>
          <w:sz w:val="19"/>
        </w:rPr>
        <w:t xml:space="preserve">OPR </w:t>
      </w:r>
      <w:r>
        <w:rPr>
          <w:rFonts w:ascii="Public Sans" w:hAnsi="Public Sans"/>
          <w:b/>
          <w:i w:val="0"/>
          <w:color w:val="3D3E3E"/>
          <w:sz w:val="19"/>
        </w:rPr>
        <w:t>2.75%</w:t>
      </w:r>
      <w:r>
        <w:rPr>
          <w:rFonts w:ascii="Public Sans" w:hAnsi="Public Sans"/>
          <w:b w:val="0"/>
          <w:i w:val="0"/>
          <w:color w:val="3D3E3E"/>
          <w:sz w:val="19"/>
        </w:rPr>
        <w:t xml:space="preserve">; </w:t>
      </w:r>
      <w:r>
        <w:rPr>
          <w:rFonts w:ascii="Public Sans" w:hAnsi="Public Sans"/>
          <w:b/>
          <w:i w:val="0"/>
          <w:color w:val="3D3E3E"/>
          <w:sz w:val="19"/>
        </w:rPr>
        <w:t>BNM decides 2026-07-09</w:t>
      </w:r>
      <w:r>
        <w:rPr>
          <w:rFonts w:ascii="Public Sans" w:hAnsi="Public Sans"/>
          <w:b w:val="0"/>
          <w:i w:val="0"/>
          <w:color w:val="3D3E3E"/>
          <w:sz w:val="19"/>
        </w:rPr>
        <w:t xml:space="preserve"> (FACT, forward). HSBC's preview (14288) is "La pausa" — houses expect a hold; StanC (15035) favours receiving 2Y MYR NDIRS as a liquidity/rates expression. Calendar-driven into next week. </w:t>
      </w:r>
      <w:r>
        <w:rPr>
          <w:rFonts w:ascii="Public Sans" w:hAnsi="Public Sans"/>
          <w:b/>
          <w:i w:val="0"/>
          <w:color w:val="3D3E3E"/>
          <w:sz w:val="19"/>
        </w:rPr>
        <w:t>Not loaded:</w:t>
      </w:r>
      <w:r>
        <w:rPr>
          <w:rFonts w:ascii="Public Sans" w:hAnsi="Public Sans"/>
          <w:b w:val="0"/>
          <w:i w:val="0"/>
          <w:color w:val="3D3E3E"/>
          <w:sz w:val="19"/>
        </w:rPr>
        <w:t xml:space="preserve"> no in-window econ.fact_indicator rows.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Hong Kong — peg follows Fed</w:t>
      </w:r>
    </w:p>
    <w:p>
      <w:pPr>
        <w:spacing w:after="80" w:line="283" w:lineRule="auto"/>
      </w:pPr>
      <w:r>
        <w:rPr>
          <w:rFonts w:ascii="Public Sans" w:hAnsi="Public Sans"/>
          <w:b w:val="0"/>
          <w:i w:val="0"/>
          <w:color w:val="3D3E3E"/>
          <w:sz w:val="19"/>
        </w:rPr>
        <w:t>USD-linked (no independent policy rate; rides US pricing via the peg/LAF). JPM's "Hong Kong: May data wrap-up" (15266) is the in-window read; nothing rate-relevant moved domestically. HK econ.fact_indicator exists (19 indicators, latest 06-03). Peg-follows-Fed; the soft US print flows through the peg, not through a domestic reaction function.</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5. Grounding ledger</w:t>
      </w:r>
      <w:r>
        <w:rPr>
          <w:rFonts w:ascii="Public Sans" w:hAnsi="Public Sans"/>
          <w:i/>
          <w:color w:val="7A7C7C"/>
          <w:sz w:val="16"/>
        </w:rPr>
        <w:t xml:space="preserve">   SYN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Rates / decisions / surprises → calendar.cb_events</w:t>
      </w:r>
      <w:r>
        <w:rPr>
          <w:rFonts w:ascii="Public Sans" w:hAnsi="Public Sans"/>
          <w:b w:val="0"/>
          <w:i w:val="0"/>
          <w:color w:val="3D3E3E"/>
          <w:sz w:val="19"/>
        </w:rPr>
        <w:t xml:space="preserve"> (BQL → TradingEconomics), window 2026-07-02→07-04. Verified decision rows: RBA 4.35% (06-16 hold), BoJ 1.00% (06-16 hike), BI 5.75% (06-09 &amp; 06-18 hikes), BSP 4.75% (06-18 hike), RBI 5.25% (06-05 hold), BoE 3.75% (06-18 hold, 7/2/0), Fed 3.75% (06-17 hold, dots up); RBNZ Jul-8 forecast </w:t>
      </w:r>
      <w:r>
        <w:rPr>
          <w:rFonts w:ascii="Public Sans" w:hAnsi="Public Sans"/>
          <w:b/>
          <w:i w:val="0"/>
          <w:color w:val="3D3E3E"/>
          <w:sz w:val="19"/>
        </w:rPr>
        <w:t>2.50%</w:t>
      </w:r>
      <w:r>
        <w:rPr>
          <w:rFonts w:ascii="Public Sans" w:hAnsi="Public Sans"/>
          <w:b w:val="0"/>
          <w:i w:val="0"/>
          <w:color w:val="3D3E3E"/>
          <w:sz w:val="19"/>
        </w:rPr>
        <w:t xml:space="preserve"> (moved from hold), BNM Jul-9 forecast hold. US June-payrolls block actuals now booked (NFP 57K, U/E 4.2%, participation 61.5%, factory orders -1.3%) and AU trade balance (A\$-3.018B).</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Component depth → econ.fact_indicator:</w:t>
      </w:r>
      <w:r>
        <w:rPr>
          <w:rFonts w:ascii="Public Sans" w:hAnsi="Public Sans"/>
          <w:b w:val="0"/>
          <w:i w:val="0"/>
          <w:color w:val="3D3E3E"/>
          <w:sz w:val="19"/>
        </w:rPr>
        <w:t xml:space="preserve"> deep IN (279) / AU (215) / US (140) / ID (91); thin NZ (46) / HK (19) / UK (1); no in-window rows CA / JP / TH / MY / SG / PH. Latest obs 06-29 (IN/AU/US), 06-26 (ID).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Views / trades / quotes → research.fact_chunk + Qdrant (research_gemini_embedding_2_3072d) + ingested Outlook bodies:</w:t>
      </w:r>
      <w:r>
        <w:rPr>
          <w:rFonts w:ascii="Public Sans" w:hAnsi="Public Sans"/>
          <w:b w:val="0"/>
          <w:i w:val="0"/>
          <w:color w:val="3D3E3E"/>
          <w:sz w:val="19"/>
        </w:rPr>
        <w:t xml:space="preserve"> 432 in-window reports across 13 vendors. Movers read at chunk level. Per-theme semantic sweeps: US payrolls reaction, BoJ terminal, RBNZ Jul-8, IDR turning-point, AU trade deficit, India inflows, MAS, post-Iran EM rates.</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Source-of-record note:</w:t>
      </w:r>
      <w:r>
        <w:rPr>
          <w:rFonts w:ascii="Public Sans" w:hAnsi="Public Sans"/>
          <w:b w:val="0"/>
          <w:i w:val="0"/>
          <w:color w:val="3D3E3E"/>
          <w:sz w:val="19"/>
        </w:rPr>
        <w:t xml:space="preserve"> where TE and BQL rows cover the same US labour events, the TE rows carry the booked actual and the BQL rows still show null — TE is the source of record for the NFP block this window.</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Unreconciled:</w:t>
      </w:r>
      <w:r>
        <w:rPr>
          <w:rFonts w:ascii="Public Sans" w:hAnsi="Public Sans"/>
          <w:b w:val="0"/>
          <w:i w:val="0"/>
          <w:color w:val="3D3E3E"/>
          <w:sz w:val="19"/>
        </w:rPr>
        <w:t xml:space="preserve"> (a) US NFP interpretation — Citi/BNP "cuts coming" vs DB/MS "noise, steady Fed"; both shown. (b) JP Tankan — TE "index 16 vs 17" vs BoJ </w:t>
      </w:r>
      <w:r>
        <w:rPr>
          <w:rFonts w:ascii="Public Sans" w:hAnsi="Public Sans"/>
          <w:b/>
          <w:i w:val="0"/>
          <w:color w:val="3D3E3E"/>
          <w:sz w:val="19"/>
        </w:rPr>
        <w:t>DI ~+37</w:t>
      </w:r>
      <w:r>
        <w:rPr>
          <w:rFonts w:ascii="Public Sans" w:hAnsi="Public Sans"/>
          <w:b w:val="0"/>
          <w:i w:val="0"/>
          <w:color w:val="3D3E3E"/>
          <w:sz w:val="19"/>
        </w:rPr>
        <w:t>; both shown. (c) Indonesia — UBS bearish IDR (defence failing) vs JPM further-hikes-to-6.00% (defence continues); both shown. (d) US core-PCE revision — Citi "big deal" vs Barclays "refinement". (e) AU neutral rate — Nomura (long-run up, no hike) vs BofA (short-run falls); opposite mechanisms.</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Reconciled vs 07-02:</w:t>
      </w:r>
      <w:r>
        <w:rPr>
          <w:rFonts w:ascii="Public Sans" w:hAnsi="Public Sans"/>
          <w:b w:val="0"/>
          <w:i w:val="0"/>
          <w:color w:val="3D3E3E"/>
          <w:sz w:val="19"/>
        </w:rPr>
        <w:t xml:space="preserve"> NZ Jul-8 narrowed from a three-way split to a near-consensus +25bp hike (ANZ/UBS/HSBC/Nomura + cb_events forecast 2.50%), Westpac the lone hold.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Not loaded / pre-print:</w:t>
      </w:r>
      <w:r>
        <w:rPr>
          <w:rFonts w:ascii="Public Sans" w:hAnsi="Public Sans"/>
          <w:b w:val="0"/>
          <w:i w:val="0"/>
          <w:color w:val="3D3E3E"/>
          <w:sz w:val="19"/>
        </w:rPr>
        <w:t xml:space="preserve"> IN and UK 07-03 PMI/CPI actuals not booked at run (survey/consensus only); sell-side-reported figures tagged as such.</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 intervention:</w:t>
      </w:r>
      <w:r>
        <w:rPr>
          <w:rFonts w:ascii="Public Sans" w:hAnsi="Public Sans"/>
          <w:b w:val="0"/>
          <w:i w:val="0"/>
          <w:color w:val="3D3E3E"/>
          <w:sz w:val="19"/>
        </w:rPr>
        <w:t xml:space="preserve"> signalled near-imminent (Mimura interview) — </w:t>
      </w:r>
      <w:r>
        <w:rPr>
          <w:rFonts w:ascii="Public Sans" w:hAnsi="Public Sans"/>
          <w:b/>
          <w:i w:val="0"/>
          <w:color w:val="3D3E3E"/>
          <w:sz w:val="19"/>
        </w:rPr>
        <w:t>not executed</w:t>
      </w:r>
      <w:r>
        <w:rPr>
          <w:rFonts w:ascii="Public Sans" w:hAnsi="Public Sans"/>
          <w:b w:val="0"/>
          <w:i w:val="0"/>
          <w:color w:val="3D3E3E"/>
          <w:sz w:val="19"/>
        </w:rPr>
        <w:t>; USD/JPY eased on the US print, not on action.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Indonesia instrument:</w:t>
      </w:r>
      <w:r>
        <w:rPr>
          <w:rFonts w:ascii="Public Sans" w:hAnsi="Public Sans"/>
          <w:b w:val="0"/>
          <w:i w:val="0"/>
          <w:color w:val="3D3E3E"/>
          <w:sz w:val="19"/>
        </w:rPr>
        <w:t xml:space="preserve"> no Spider instrument named — </w:t>
      </w:r>
      <w:r>
        <w:rPr>
          <w:rFonts w:ascii="Public Sans" w:hAnsi="Public Sans"/>
          <w:b/>
          <w:i w:val="0"/>
          <w:color w:val="3D3E3E"/>
          <w:sz w:val="19"/>
        </w:rPr>
        <w:t>PENDING DEEPAK</w:t>
      </w:r>
      <w:r>
        <w:rPr>
          <w:rFonts w:ascii="Public Sans" w:hAnsi="Public Sans"/>
          <w:b w:val="0"/>
          <w:i w:val="0"/>
          <w:color w:val="3D3E3E"/>
          <w:sz w:val="19"/>
        </w:rPr>
        <w:t>.</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Differentiated-view count (§4.D):</w:t>
      </w:r>
      <w:r>
        <w:rPr>
          <w:rFonts w:ascii="Public Sans" w:hAnsi="Public Sans"/>
          <w:b w:val="0"/>
          <w:i w:val="0"/>
          <w:color w:val="3D3E3E"/>
          <w:sz w:val="19"/>
        </w:rPr>
        <w:t xml:space="preserve"> US 4 · JP 3 · Indonesia 2 · AU 2 · NZ 1 · India 1 = </w:t>
      </w:r>
      <w:r>
        <w:rPr>
          <w:rFonts w:ascii="Public Sans" w:hAnsi="Public Sans"/>
          <w:b/>
          <w:i w:val="0"/>
          <w:color w:val="3D3E3E"/>
          <w:sz w:val="19"/>
        </w:rPr>
        <w:t>13 rows across 6 countries.</w:t>
      </w:r>
      <w:r>
        <w:rPr>
          <w:rFonts w:ascii="Public Sans" w:hAnsi="Public Sans"/>
          <w:b w:val="0"/>
          <w:i w:val="0"/>
          <w:color w:val="3D3E3E"/>
          <w:sz w:val="19"/>
        </w:rPr>
        <w:t xml:space="preserve"> Quiet countries (SG single consensus theme; TH / UK / CA / PH / MY / HK short reads).</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Daily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Daily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