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36"/>
        <w:gridCol w:w="7920"/>
      </w:tblGrid>
      <w:tr>
        <w:tc>
          <w:tcPr>
            <w:tcW w:type="dxa" w:w="2736"/>
            <w:shd w:val="clear" w:color="auto" w:fill="004527"/>
            <w:tcMar>
              <w:top w:w="140" w:type="dxa"/>
              <w:bottom w:w="14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320" cy="4746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v-logo-negati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474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shd w:val="clear" w:color="auto" w:fill="004527"/>
            <w:tcMar>
              <w:top w:w="140" w:type="dxa"/>
              <w:bottom w:w="14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color w:val="FFFFFF"/>
                <w:sz w:val="38"/>
              </w:rPr>
              <w:t>Spider — Daily Macro Research Digest</w:t>
            </w:r>
          </w:p>
          <w:p>
            <w:pPr>
              <w:spacing w:before="40" w:after="0"/>
              <w:jc w:val="right"/>
            </w:pPr>
            <w:r>
              <w:rPr>
                <w:rFonts w:ascii="Public Sans" w:hAnsi="Public Sans"/>
                <w:color w:val="B2D0B9"/>
                <w:sz w:val="20"/>
              </w:rPr>
              <w:t>Rates / FX desk  ·  2026-06-26  ·  Daily</w:t>
            </w:r>
          </w:p>
        </w:tc>
      </w:tr>
    </w:tbl>
    <w:p>
      <w:pPr>
        <w:spacing w:before="120" w:after="160"/>
        <w:pBdr>
          <w:bottom w:val="single" w:sz="12" w:space="2" w:color="004527"/>
        </w:pBdr>
      </w:pP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Rolling day into Friday 26 June 2026. FX &amp; rates PM desk read. Country-first. Every dashboard/calendar/trade row is grounded to a real DB row and picked up in the per-country prose below. Tags: FACT (printed data / booked event), VIEW (sell-side interpretation / desk colour / trade rec), SYN (Spider synthesis). Where a claim is &lt;99% grounded, or two sources disagree, it is flagged inline.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The regime, in one line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this is a </w:t>
      </w:r>
      <w:r>
        <w:rPr>
          <w:rFonts w:ascii="Public Sans" w:hAnsi="Public Sans"/>
          <w:b w:val="0"/>
          <w:i/>
          <w:color w:val="3D3E3E"/>
          <w:sz w:val="19"/>
        </w:rPr>
        <w:t>re-tightening / hawkish-shifted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cycle, not the 2024–25 easing one — RBA has hiked four times into 4.35%, BoJ is at 1.00% and hiking, Indonesia and Philippines both hiked in June, and the US–Iran peace deal has knocked Brent ~35% off its peak, flipping an energy shock into an EM-importer tailwind and firing a broad "debasement-trade" unwind. Read every note against that backdrop.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1. Central-bank / macro dashboard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Current-state snapshot, one row per covered country. Policy rate + last move verified against calendar.cb_events. "Next meeting" is the next scheduled decision booked in cb_events; where not booked forward it is flagged. HK runs a currency-board (no independent policy rate) — flagged.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1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Country</w:t>
            </w:r>
          </w:p>
        </w:tc>
        <w:tc>
          <w:tcPr>
            <w:tcW w:type="dxa" w:w="209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Policy rate</w:t>
            </w:r>
          </w:p>
        </w:tc>
        <w:tc>
          <w:tcPr>
            <w:tcW w:type="dxa" w:w="221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Last move (date)</w:t>
            </w:r>
          </w:p>
        </w:tc>
        <w:tc>
          <w:tcPr>
            <w:tcW w:type="dxa" w:w="233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Next meeting</w:t>
            </w:r>
          </w:p>
        </w:tc>
        <w:tc>
          <w:tcPr>
            <w:tcW w:type="dxa" w:w="329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Bias / key issue (SYN)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3.50–3.75% (FOMC lower/upper bound)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18 Jun (prior 3.5)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30 Jul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 hold; 9 dots carry a 2026 hike. Sticky core PCE (+0.3% m/m May) vs soft real spending — hold-vs-hike, not cut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AU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4.35% cash rate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16 Jun (hiked 3.60→4.35 Feb–May)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11 Aug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Re-tightening cycle; trimmed mean rose to 3.6% y/y. Hawkish hold; some houses price +25 to 4.60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JP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1.00% call rate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Hiked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+25 16 Jun (0.75→1.00)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31 Jul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Normalising; Tokyo core CPI 1.6% but rise is policy-driven, not demand. Next hike Q4-priced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ID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5.75% BI-Rate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Hiked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+25 18 Jun (5.50→5.75)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22 Jul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Currency-defence tightening; forecast had been +50. Instrument view PENDING DEEPAK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PH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4.75% BSP o/n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Hiked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+25 18 Jun (4.50→4.75)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27 Aug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Tightening into peso pressure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IN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5.25% repo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5 Jun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Not booked in cb_events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(Aug MPC, est.)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 hold but market prices +85bp of hikes; Gov actively pushing back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UK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3.75% Bank Rate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18 Jun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30 Jul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 hold; econ depth thin (see ledger)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CA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2.25% o/n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10 Jun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Not booked in cb_events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(Jul, est.)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 hold; econ depth thin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NZ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2.25% OCR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27 May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8 Jul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Easing cycle largely done; houses "confident" vs AU "uncertain"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TH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1.00% benchmark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Held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24 Jun (survey 1.0)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26 Aug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Floor-ish; baht overvaluation the live debate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MY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2.75% OPR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7 May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9 Jul 2026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On hold; trade surplus surge (electronics/AI) the story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KR (context)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2.50% base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28 May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Carried for cross-market context; outside core narrative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HK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Currency board — no policy rate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Base rate tracks Fed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Tracks FOMC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USDHKD toward 7.75–7.85 mid; front-end HIBOR/IRS the trade</w:t>
            </w:r>
          </w:p>
        </w:tc>
      </w:tr>
      <w:tr>
        <w:tc>
          <w:tcPr>
            <w:tcW w:type="dxa" w:w="71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SG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No policy rate — MAS runs S$NEER</w:t>
            </w:r>
          </w:p>
        </w:tc>
        <w:tc>
          <w:tcPr>
            <w:tcW w:type="dxa" w:w="221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S$NEER band</w:t>
            </w:r>
          </w:p>
        </w:tc>
        <w:tc>
          <w:tcPr>
            <w:tcW w:type="dxa" w:w="23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MAS Oct (semi-annual)</w:t>
            </w:r>
          </w:p>
        </w:tc>
        <w:tc>
          <w:tcPr>
            <w:tcW w:type="dxa" w:w="329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No 2H MAS tightening priced; front-end SORA carry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Flags: (i) IN and CA next-meeting dates are NOT booked forward in cb_events — shown as estimated cadence, not a booked row. (ii) HK "Composite Interest Rate" is the only HK rate row and is stale (2008); HK has no independent policy rate — correctly represented as currency-board. (iii) SG/MY/TH/PH/SG carry no econ.fact_indicator depth (see §5).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2. Calendar — what printed into 26 Jun, and what's imminent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Pure calendar. Actual/survey/prior from calendar.cb_events. No view expressed here — views are in §4. Surprise = actual vs survey.</w:t>
      </w: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Printed in the rolling window (24–26 Jun)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57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67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5"/>
              </w:rPr>
              <w:t>Country</w:t>
            </w:r>
          </w:p>
        </w:tc>
        <w:tc>
          <w:tcPr>
            <w:tcW w:type="dxa" w:w="288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96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34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5"/>
              </w:rPr>
              <w:t>Survey</w:t>
            </w:r>
          </w:p>
        </w:tc>
        <w:tc>
          <w:tcPr>
            <w:tcW w:type="dxa" w:w="163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5"/>
              </w:rPr>
              <w:t>Prior</w:t>
            </w:r>
          </w:p>
        </w:tc>
        <w:tc>
          <w:tcPr>
            <w:tcW w:type="dxa" w:w="259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5"/>
              </w:rPr>
              <w:t>Surprise (SYN)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24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AU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CPI YoY (monthly, May)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4.0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4.3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4.2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Downside on headline (fuel)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24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AU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CPI Trimmed Mean YoY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3.6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3.5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3.4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Upside</w:t>
            </w: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 xml:space="preserve"> — core sticky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24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TH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BoT benchmark rate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1.0 (held)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1.0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1.0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In line — held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24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MX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Bi-weekly CPI YoY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3.55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3.72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3.77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Downside; core 4.12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24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New Home Sales (k)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580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640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622 (rev 626)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Miss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AU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Employment Change (k)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+40.3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+32.5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−18.6 (rev −40.7)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Beat — jobs rebound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AU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Unemployment Rate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4.4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4.4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4.5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In line, down-tick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GDP Annualized QoQ (Q1 final)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2.1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1.6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1.6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Upward revision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Core PCE Price Index MoM (May)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0.3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0.3 (fcst 0.2)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0.2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At/above; core firm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Core PCE YoY (May)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3.41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3.4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3.29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Firm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Personal Spending MoM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0.71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0.6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0.5 (rev 0.4)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Beat (nominal)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Durable Goods Orders MoM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−4.5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−5.0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+8.0 (rev 8.5)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Less-bad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25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Initial Jobless Claims (k)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215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225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226 (rev 227)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Low — labour firm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26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JP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Tokyo CPI ex-Fresh Food YoY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1.6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1.6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1.3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In line; policy-driven rise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26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JP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Tokyo CPI ex-FF &amp; Energy YoY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1.9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1.8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1.6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Above</w:t>
            </w: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 xml:space="preserve"> — underlying firmer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26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MX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Banxico Overnight Rate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6.5 (held)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6.5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6.5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Held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26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SG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Industrial Production YoY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13.0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17.5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17.6 (rev 16.5)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Miss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26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TH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Gross Intl Reserves ($bn)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282.6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—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283.9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Slight draw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5"/>
              </w:rPr>
              <w:t>26 Jun</w:t>
            </w:r>
          </w:p>
        </w:tc>
        <w:tc>
          <w:tcPr>
            <w:tcW w:type="dxa" w:w="6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U. of Mich. Sentiment (final)</w:t>
            </w:r>
          </w:p>
        </w:tc>
        <w:tc>
          <w:tcPr>
            <w:tcW w:type="dxa" w:w="96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49.5</w:t>
            </w:r>
          </w:p>
        </w:tc>
        <w:tc>
          <w:tcPr>
            <w:tcW w:type="dxa" w:w="134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50.0</w:t>
            </w:r>
          </w:p>
        </w:tc>
        <w:tc>
          <w:tcPr>
            <w:tcW w:type="dxa" w:w="163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48.9</w:t>
            </w:r>
          </w:p>
        </w:tc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5"/>
              </w:rPr>
              <w:t>Soft, up-ticked</w:t>
            </w:r>
          </w:p>
        </w:tc>
      </w:tr>
    </w:tbl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Imminent (27–30 Jun)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27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9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Country</w:t>
            </w:r>
          </w:p>
        </w:tc>
        <w:tc>
          <w:tcPr>
            <w:tcW w:type="dxa" w:w="532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127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Survey</w:t>
            </w:r>
          </w:p>
        </w:tc>
        <w:tc>
          <w:tcPr>
            <w:tcW w:type="dxa" w:w="127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Prior</w:t>
            </w:r>
          </w:p>
        </w:tc>
      </w:tr>
      <w:tr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29 Jun</w:t>
            </w:r>
          </w:p>
        </w:tc>
        <w:tc>
          <w:tcPr>
            <w:tcW w:type="dxa" w:w="14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Industrial Production YoY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4.5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4.9</w:t>
            </w:r>
          </w:p>
        </w:tc>
      </w:tr>
      <w:tr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29 Jun</w:t>
            </w:r>
          </w:p>
        </w:tc>
        <w:tc>
          <w:tcPr>
            <w:tcW w:type="dxa" w:w="14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Retail Sales YoY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3.0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2.1</w:t>
            </w:r>
          </w:p>
        </w:tc>
      </w:tr>
      <w:tr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29 Jun</w:t>
            </w:r>
          </w:p>
        </w:tc>
        <w:tc>
          <w:tcPr>
            <w:tcW w:type="dxa" w:w="14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UK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Mortgage Approvals (k)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63.0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65.9</w:t>
            </w:r>
          </w:p>
        </w:tc>
      </w:tr>
      <w:tr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29 Jun</w:t>
            </w:r>
          </w:p>
        </w:tc>
        <w:tc>
          <w:tcPr>
            <w:tcW w:type="dxa" w:w="14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Dallas Fed Mfg Activity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1.0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0.4</w:t>
            </w:r>
          </w:p>
        </w:tc>
      </w:tr>
      <w:tr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30 Jun</w:t>
            </w:r>
          </w:p>
        </w:tc>
        <w:tc>
          <w:tcPr>
            <w:tcW w:type="dxa" w:w="14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GDP MoM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0.4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−0.1</w:t>
            </w:r>
          </w:p>
        </w:tc>
      </w:tr>
      <w:tr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30 Jun</w:t>
            </w:r>
          </w:p>
        </w:tc>
        <w:tc>
          <w:tcPr>
            <w:tcW w:type="dxa" w:w="14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Jobless Rate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2.5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2.5</w:t>
            </w:r>
          </w:p>
        </w:tc>
      </w:tr>
      <w:tr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30 Jun</w:t>
            </w:r>
          </w:p>
        </w:tc>
        <w:tc>
          <w:tcPr>
            <w:tcW w:type="dxa" w:w="14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UK</w:t>
            </w:r>
          </w:p>
        </w:tc>
        <w:tc>
          <w:tcPr>
            <w:tcW w:type="dxa" w:w="53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GDP QoQ (final)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0.6</w:t>
            </w:r>
          </w:p>
        </w:tc>
        <w:tc>
          <w:tcPr>
            <w:tcW w:type="dxa" w:w="127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0.6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3. Cross-cutting trade-ideas table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What the houses are floating into 26 Jun, across countries. One row per idea: the trade · key driver · assumption it rests on · falsifier · provenance. Not judged — surfaced. Each row is expanded in the relevant §4 country block. Capped and distilled from research.fact_chunk + Qdrant.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5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5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Trade</w:t>
            </w:r>
          </w:p>
        </w:tc>
        <w:tc>
          <w:tcPr>
            <w:tcW w:type="dxa" w:w="23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Key driver / rationale</w:t>
            </w:r>
          </w:p>
        </w:tc>
        <w:tc>
          <w:tcPr>
            <w:tcW w:type="dxa" w:w="23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23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  <w:tc>
          <w:tcPr>
            <w:tcW w:type="dxa" w:w="126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House (report id)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Receive 2y INR (OIS)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RBI Gov publicly pushing back on hike pricing; 1y OIS carries +85bp of hikes centred Oct/Dec that GS thinks won't be delivered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RBI won't use domestic rates to defend INR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RBI hikes o/n fix / policy to defend a sliding rupee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Goldman (12546)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Long 10y IGB vs OIS / on-curve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10y IGB cheap on 5x10x30 fly (series highs) + FCNR flow distorting NDS/XCCY basis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supply stays orderly; FCNR flow persists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10y bond supply shock or fly re-richens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Goldman (12546)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Pay 1y1y THB (vs SGD)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THB fundamentally overvalued; surging investment + policy resistance make baht a funder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BoT resists baht strength; China excess-capacity drag persists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BoT tolerates strength / THB weakens on its own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JPM (13290)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Pay front-end HKD IRS vs USD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HKMA aggregate balance low → upward pressure on front IRS; dividend-season USD demand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Local liquidity tightens near-term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HKMA injects liquidity; HIBOR eases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Barclays (12523)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USDHKD toward 7.75–7.85 mid (upper band)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Carry + funding demand keep pair supported after 7.83–7.84 consolidation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Convertibility band holds; no HK rate spike unwind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Sharp HIBOR spike unwinds the carry demand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Barclays (12523)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6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Fade high HK vs US rates (bias, not yet on)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Low LDR + bearish HK equity momentum argue against sustained HK&gt;US front rates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Liquidity normalises after dividend season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 funding stress persists (à la 2022 jumbo-hike analogue)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Goldman (13372)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7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Receive front-end SORA (carry)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Clients see current inflation + USD-rally speed as insufficient to trigger MAS tightening in 2H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MAS holds S$NEER; no 2H tightening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MAS tightens the slope/band in Oct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Goldman (13372) / JPM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8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Closed: long AUDNZD (booked +0.72%)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Tactical long from 15 Jun taken off after AU data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 (realised)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 (closed)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BNP (12732)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9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NZD over AUD (rates/FX lean)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 inflation set to undershoot RBNZ; AU trimmed mean sticky → RBA can't ease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RBNZ delivers cuts, RBA stuck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 inflation rolls fast / NZ reflates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JPM (12942), GS (13195)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10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AUD downside skew ("how low can you go")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AUD below equilibrium fair value; commodity/carry mix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Fair-value model holds; terms-of-trade soften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Iron-ore/terms-of-trade snap-back; RBA hike repriced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BofA (12638)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11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Fed hold 2026 (rates lean, vs 9 hawkish dots)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Tariff pass-through ending → core-goods disinflation; May PCE not a barrier to hold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Tariff impulse fades; labour cools gently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Core PCE re-accelerates → dots win, Fed hikes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Morgan Stanley (13336)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12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 reacceleration is a "mirage" (receive-lean bias)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Firm GDP/PCE headlines mask soft underlying demand + income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income/demand keep fading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Consumption + income re-accelerate durably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Barclays (13717)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13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UW THB FX (GBI-EM)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Same baht-overvaluation thesis as #3, expressed in cash FX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Baht mean-reverts from overvalued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Exporter flows keep baht bid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JPM (13290)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14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Relative SGD NEER resilience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Dollar risk-premium narrative + foreign inflows underpin SGD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USD stays soft into summer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Sharp USD rally / MAS eases slope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Barclays (12522)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15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Broad EM-local long into oil relief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US–Iran peace deal → Brent −35%; energy-importer EM Asia tailwind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Truce holds; oil stays sub-$80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Truce breaks / oil re-spikes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Barclays (12523), Citi (13145)</w:t>
            </w:r>
          </w:p>
        </w:tc>
      </w:tr>
      <w:tr>
        <w:tc>
          <w:tcPr>
            <w:tcW w:type="dxa" w:w="25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16</w:t>
            </w:r>
          </w:p>
        </w:tc>
        <w:tc>
          <w:tcPr>
            <w:tcW w:type="dxa" w:w="21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Debasement-trade unwind (gold/USD-hedge reduction)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Post-"Warsh FOMC" positioning unwind top-of-mind at SG client meetings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Warsh-era Fed credible on inflation</w:t>
            </w:r>
          </w:p>
        </w:tc>
        <w:tc>
          <w:tcPr>
            <w:tcW w:type="dxa" w:w="23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Fiscal/inflation fear re-ignites the hedge</w:t>
            </w:r>
          </w:p>
        </w:tc>
        <w:tc>
          <w:tcPr>
            <w:tcW w:type="dxa" w:w="12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Goldman (13372)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4. Per-country read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Ordered by what genuinely moved into 26 Jun. Each block: A) Themes in play (ranked) · B) The "why" (how houses reason) · C) Consensus (≥2 banks: shared claim · evidence · what consensus misses) · D) Differentiated (Bank · Asset · View · Why different · Hidden assumption · Falsifier).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Australia — the day's biggest mover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3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9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84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88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53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39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Sticky underlying inflation</w:t>
            </w:r>
          </w:p>
        </w:tc>
        <w:tc>
          <w:tcPr>
            <w:tcW w:type="dxa" w:w="28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 / CB reaction function</w:t>
            </w:r>
          </w:p>
        </w:tc>
        <w:tc>
          <w:tcPr>
            <w:tcW w:type="dxa" w:w="488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trimmed mean 3.6% y/y (survey 3.5), above SoMP path</w:t>
            </w:r>
          </w:p>
        </w:tc>
      </w:tr>
      <w:tr>
        <w:tc>
          <w:tcPr>
            <w:tcW w:type="dxa" w:w="53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39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Labour rebound</w:t>
            </w:r>
          </w:p>
        </w:tc>
        <w:tc>
          <w:tcPr>
            <w:tcW w:type="dxa" w:w="28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88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employment +40.3k, UR 4.4%</w:t>
            </w:r>
          </w:p>
        </w:tc>
      </w:tr>
      <w:tr>
        <w:tc>
          <w:tcPr>
            <w:tcW w:type="dxa" w:w="53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39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RBA hold-vs-hike</w:t>
            </w:r>
          </w:p>
        </w:tc>
        <w:tc>
          <w:tcPr>
            <w:tcW w:type="dxa" w:w="28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rates / reaction function</w:t>
            </w:r>
          </w:p>
        </w:tc>
        <w:tc>
          <w:tcPr>
            <w:tcW w:type="dxa" w:w="488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4.35% held 16 Jun after four hikes; some see +25 to 4.60</w:t>
            </w:r>
          </w:p>
        </w:tc>
      </w:tr>
      <w:tr>
        <w:tc>
          <w:tcPr>
            <w:tcW w:type="dxa" w:w="53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239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AUD direction</w:t>
            </w:r>
          </w:p>
        </w:tc>
        <w:tc>
          <w:tcPr>
            <w:tcW w:type="dxa" w:w="28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488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Fuel-driven headline drop vs sticky core; fair-value debate</w:t>
            </w:r>
          </w:p>
        </w:tc>
      </w:tr>
      <w:tr>
        <w:tc>
          <w:tcPr>
            <w:tcW w:type="dxa" w:w="53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239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Housing re-acceleration</w:t>
            </w:r>
          </w:p>
        </w:tc>
        <w:tc>
          <w:tcPr>
            <w:tcW w:type="dxa" w:w="28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 transmission</w:t>
            </w:r>
          </w:p>
        </w:tc>
        <w:tc>
          <w:tcPr>
            <w:tcW w:type="dxa" w:w="488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New-dwelling +5.6% y/y (May), rents +3.6%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Australia moved most this window because two prints pulled in opposite directions and forced the houses to take a side. </w:t>
      </w:r>
      <w:r>
        <w:rPr>
          <w:rFonts w:ascii="Public Sans" w:hAnsi="Public Sans"/>
          <w:b/>
          <w:i w:val="0"/>
          <w:color w:val="3D3E3E"/>
          <w:sz w:val="19"/>
        </w:rPr>
        <w:t>FACT: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May monthly CPI (released 24 Jun) printed headline </w:t>
      </w:r>
      <w:r>
        <w:rPr>
          <w:rFonts w:ascii="Public Sans" w:hAnsi="Public Sans"/>
          <w:b/>
          <w:i w:val="0"/>
          <w:color w:val="3D3E3E"/>
          <w:sz w:val="19"/>
        </w:rPr>
        <w:t>4.0% y/y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a downside miss to the 4.3% survey, driven almost entirely by fuel (automotive-fuel component decelerating as global crude fell) — while the </w:t>
      </w:r>
      <w:r>
        <w:rPr>
          <w:rFonts w:ascii="Public Sans" w:hAnsi="Public Sans"/>
          <w:b/>
          <w:i w:val="0"/>
          <w:color w:val="3D3E3E"/>
          <w:sz w:val="19"/>
        </w:rPr>
        <w:t>trimmed mean rose to 3.6% y/y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, </w:t>
      </w:r>
      <w:r>
        <w:rPr>
          <w:rFonts w:ascii="Public Sans" w:hAnsi="Public Sans"/>
          <w:b w:val="0"/>
          <w:i/>
          <w:color w:val="3D3E3E"/>
          <w:sz w:val="19"/>
        </w:rPr>
        <w:t>above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3.5% survey and up from 3.4% (econ.fact_indicator ABS.CPI.TRIMMED_MEAN_M_YOY.AU: Mar 3.3 → Apr 3.4 → May 3.6). The next day (25 Jun) </w:t>
      </w:r>
      <w:r>
        <w:rPr>
          <w:rFonts w:ascii="Public Sans" w:hAnsi="Public Sans"/>
          <w:b/>
          <w:i w:val="0"/>
          <w:color w:val="3D3E3E"/>
          <w:sz w:val="19"/>
        </w:rPr>
        <w:t>employment rebounded +40.3k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with unemployment ticking to 4.4%. So the desk is looking at a labour market that reheated and a core inflation gauge that is </w:t>
      </w:r>
      <w:r>
        <w:rPr>
          <w:rFonts w:ascii="Public Sans" w:hAnsi="Public Sans"/>
          <w:b w:val="0"/>
          <w:i/>
          <w:color w:val="3D3E3E"/>
          <w:sz w:val="19"/>
        </w:rPr>
        <w:t>rising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while the headline optically improves on cheap fuel.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The house reasoning splits cleanly on whether the headline or the core is the signal. The bulls-on-cuts read the fuel-led headline drop and call the future "lower"; the hawks read the trimmed-mean up-move plus the jobs beat and argue the RBA's re-tightening (3.60→4.35 across Feb–May, cb_events) isn't finished. Component depth supports the sticky-core camp: non-tradables held at 4.7% y/y, services firmed to 3.7% (from 3.5%), and new-dwelling inflation </w:t>
      </w:r>
      <w:r>
        <w:rPr>
          <w:rFonts w:ascii="Public Sans" w:hAnsi="Public Sans"/>
          <w:b w:val="0"/>
          <w:i/>
          <w:color w:val="3D3E3E"/>
          <w:sz w:val="19"/>
        </w:rPr>
        <w:t>accelerated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to 5.6% — the domestically-generated pieces are not cooling. The pure fuel disinflation is the only thing pulling headline down (electricity is still +21.1% y/y but decelerating off a very high base).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headline inflation is falling but underlying/core is too high for comfort; near-term RBA easing is off the table.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JPM (12553) "CPI tracking further below SoMP forecasts" on headline yet flags core; HSBC (12515) "Too high, but the future looks lower"; ANZ (12518/13270) tracks Q2 trimmed mean at ~3.7% q/q-equivalent; UBS (12561) notes fuel "has dropped sharply over Q2, obscuring underlying inflation."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most notes frame the headline miss as the story and treat the trimmed-mean up-tick as noise; the component depth (services + new-dwelling </w:t>
      </w:r>
      <w:r>
        <w:rPr>
          <w:rFonts w:ascii="Public Sans" w:hAnsi="Public Sans"/>
          <w:b w:val="0"/>
          <w:i/>
          <w:color w:val="3D3E3E"/>
          <w:sz w:val="19"/>
        </w:rPr>
        <w:t>rising</w:t>
      </w:r>
      <w:r>
        <w:rPr>
          <w:rFonts w:ascii="Public Sans" w:hAnsi="Public Sans"/>
          <w:b w:val="0"/>
          <w:i w:val="0"/>
          <w:color w:val="3D3E3E"/>
          <w:sz w:val="19"/>
        </w:rPr>
        <w:t>) says the underlying impulse is broadening, which the "future looks lower" framing under-weights.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68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6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5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5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52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02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6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 (13195)</w:t>
            </w:r>
          </w:p>
        </w:tc>
        <w:tc>
          <w:tcPr>
            <w:tcW w:type="dxa" w:w="36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"RBA Uncertainty, RBNZ Confidence" — genuinely two-sided on RBA next move, high conviction RBNZ cuts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Refuses the consensus dovish lean on AU; splits AU vs NZ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Housing/balance-sheet strength keeps AU demand resilient</w:t>
            </w:r>
          </w:p>
        </w:tc>
        <w:tc>
          <w:tcPr>
            <w:tcW w:type="dxa" w:w="202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 labour cracks → RBA cuts become obvious</w:t>
            </w:r>
          </w:p>
        </w:tc>
      </w:tr>
      <w:tr>
        <w:tc>
          <w:tcPr>
            <w:tcW w:type="dxa" w:w="6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JPM (12942)</w:t>
            </w:r>
          </w:p>
        </w:tc>
        <w:tc>
          <w:tcPr>
            <w:tcW w:type="dxa" w:w="36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Rates/FX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Positioning should favour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NZD over AUD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Expresses the AU-stuck / NZ-cutting divergence as a cross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RBNZ eases while RBA can't</w:t>
            </w:r>
          </w:p>
        </w:tc>
        <w:tc>
          <w:tcPr>
            <w:tcW w:type="dxa" w:w="202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 inflation rolls faster than NZ</w:t>
            </w:r>
          </w:p>
        </w:tc>
      </w:tr>
      <w:tr>
        <w:tc>
          <w:tcPr>
            <w:tcW w:type="dxa" w:w="6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BofA (12638)</w:t>
            </w:r>
          </w:p>
        </w:tc>
        <w:tc>
          <w:tcPr>
            <w:tcW w:type="dxa" w:w="36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FX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AUD "how low can you go" — below equilibrium fair value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Bearish AUD into a hawkish-RBA tape (contrarian on carry)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Fair-value model dominates near-term rate support</w:t>
            </w:r>
          </w:p>
        </w:tc>
        <w:tc>
          <w:tcPr>
            <w:tcW w:type="dxa" w:w="202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RBA hike repriced / terms-of-trade snap back</w:t>
            </w:r>
          </w:p>
        </w:tc>
      </w:tr>
      <w:tr>
        <w:tc>
          <w:tcPr>
            <w:tcW w:type="dxa" w:w="6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BNP (12732)</w:t>
            </w:r>
          </w:p>
        </w:tc>
        <w:tc>
          <w:tcPr>
            <w:tcW w:type="dxa" w:w="36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FX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Closed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long AUDNZD at +0.72% after the data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Took risk off rather than press — colour on where the tactical crowd sits</w:t>
            </w:r>
          </w:p>
        </w:tc>
        <w:tc>
          <w:tcPr>
            <w:tcW w:type="dxa" w:w="252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AU/NZ spread had run its course</w:t>
            </w:r>
          </w:p>
        </w:tc>
        <w:tc>
          <w:tcPr>
            <w:tcW w:type="dxa" w:w="202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 (realised/closed)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United States — the core-PCE / GDP swing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4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09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300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00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Sticky core PCE</w:t>
            </w:r>
          </w:p>
        </w:tc>
        <w:tc>
          <w:tcPr>
            <w:tcW w:type="dxa" w:w="30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 / Fed reaction function</w:t>
            </w:r>
          </w:p>
        </w:tc>
        <w:tc>
          <w:tcPr>
            <w:tcW w:type="dxa" w:w="50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May core PCE +0.3% m/m, 3.41% y/y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Growth revision up</w:t>
            </w:r>
          </w:p>
        </w:tc>
        <w:tc>
          <w:tcPr>
            <w:tcW w:type="dxa" w:w="30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Fiscal/growth</w:t>
            </w:r>
          </w:p>
        </w:tc>
        <w:tc>
          <w:tcPr>
            <w:tcW w:type="dxa" w:w="50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Q1 GDP final revised 1.6→2.1%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Hold-vs-hike (9 dots)</w:t>
            </w:r>
          </w:p>
        </w:tc>
        <w:tc>
          <w:tcPr>
            <w:tcW w:type="dxa" w:w="30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rates</w:t>
            </w:r>
          </w:p>
        </w:tc>
        <w:tc>
          <w:tcPr>
            <w:tcW w:type="dxa" w:w="50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June dots carry a 2026 hike; Fed held 18 Jun at 3.50–3.75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Real-demand softness</w:t>
            </w:r>
          </w:p>
        </w:tc>
        <w:tc>
          <w:tcPr>
            <w:tcW w:type="dxa" w:w="30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Growth quality</w:t>
            </w:r>
          </w:p>
        </w:tc>
        <w:tc>
          <w:tcPr>
            <w:tcW w:type="dxa" w:w="50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PCE fell −0.1% m/m in May</w:t>
            </w:r>
          </w:p>
        </w:tc>
      </w:tr>
      <w:tr>
        <w:tc>
          <w:tcPr>
            <w:tcW w:type="dxa" w:w="5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209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Debasement-trade unwind</w:t>
            </w:r>
          </w:p>
        </w:tc>
        <w:tc>
          <w:tcPr>
            <w:tcW w:type="dxa" w:w="30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 flows</w:t>
            </w:r>
          </w:p>
        </w:tc>
        <w:tc>
          <w:tcPr>
            <w:tcW w:type="dxa" w:w="50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Post-"Warsh FOMC" positioning reversal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The US window was defined by a firm-nominal / soft-real split. </w:t>
      </w:r>
      <w:r>
        <w:rPr>
          <w:rFonts w:ascii="Public Sans" w:hAnsi="Public Sans"/>
          <w:b/>
          <w:i w:val="0"/>
          <w:color w:val="3D3E3E"/>
          <w:sz w:val="19"/>
        </w:rPr>
        <w:t>FACT: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May core PCE index rose to 130.082 from 129.63 = </w:t>
      </w:r>
      <w:r>
        <w:rPr>
          <w:rFonts w:ascii="Public Sans" w:hAnsi="Public Sans"/>
          <w:b/>
          <w:i w:val="0"/>
          <w:color w:val="3D3E3E"/>
          <w:sz w:val="19"/>
        </w:rPr>
        <w:t>+0.35% m/m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(rounds to 0.3; above the 0.2 sell-side forecast), core PCE </w:t>
      </w:r>
      <w:r>
        <w:rPr>
          <w:rFonts w:ascii="Public Sans" w:hAnsi="Public Sans"/>
          <w:b/>
          <w:i w:val="0"/>
          <w:color w:val="3D3E3E"/>
          <w:sz w:val="19"/>
        </w:rPr>
        <w:t>3.41% y/y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(econ.fact_indicator BEA.CPI.PCE_CORE_PRICE_IDX.US). Headline PCE index +0.48% m/m. Nominal personal spending beat at +0.71%, and Q1 GDP was revised </w:t>
      </w:r>
      <w:r>
        <w:rPr>
          <w:rFonts w:ascii="Public Sans" w:hAnsi="Public Sans"/>
          <w:b w:val="0"/>
          <w:i/>
          <w:color w:val="3D3E3E"/>
          <w:sz w:val="19"/>
        </w:rPr>
        <w:t>up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to 2.1% from 1.6%. But </w:t>
      </w:r>
      <w:r>
        <w:rPr>
          <w:rFonts w:ascii="Public Sans" w:hAnsi="Public Sans"/>
          <w:b/>
          <w:i w:val="0"/>
          <w:color w:val="3D3E3E"/>
          <w:sz w:val="19"/>
        </w:rPr>
        <w:t>real PCE actually fell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in May (16,792,132 → 16,773,429 = −0.11%), and durable-goods orders dropped −4.5%. So the reacceleration is in the price/nominal series, not in real volumes.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This is why the two flagship US notes land on opposite conclusions from the same data. The hold-camp (MS) reads the core-goods disinflation pipeline (tariff pass-through ending) and says the May PCE doesn't force a hike despite nine FOMC participants penciling one. The dovish-skeptic (Barclays) reads the real-demand and income softness and calls the whole reacceleration a "mirage," keeping a Fed-on-hold-then-eventually-easier bias. Citi ("The economy is not overheating") sits with the not-overheating read and a ~1.9% Q2 GDP track. The debate is squarely hold-vs-hike — nobody in this window is arguing for a near-term cut.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Fed stays on hold in 2026; the June dots' hike bias is not the base case.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MS (13336) "The data road map to rate hikes" retains no-hike baseline despite 9 hawkish dots; Citi (13661) "The economy is not overheating," Q2 GDP ~1.9%; Barclays (13717) Fed "remains on hold."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consensus leans on "tariff pass-through is ending" to deliver core-goods disinflation — if that pass-through instead lingers (or a fresh tariff round lands), the 0.3% m/m core prints stop being a one-off and the nine dots become the base case. Consensus is short that tail.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95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60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39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39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17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13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9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Morgan Stanley (13336)</w:t>
            </w:r>
          </w:p>
        </w:tc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23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Fed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holds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all 2026 despite 9 dots carrying a hike; lays out exact data that would flip them</w:t>
            </w:r>
          </w:p>
        </w:tc>
        <w:tc>
          <w:tcPr>
            <w:tcW w:type="dxa" w:w="23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Explicitly maps its own falsifiers rather than asserting</w:t>
            </w:r>
          </w:p>
        </w:tc>
        <w:tc>
          <w:tcPr>
            <w:tcW w:type="dxa" w:w="217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Tariff pass-through ends → core-goods disinflation</w:t>
            </w:r>
          </w:p>
        </w:tc>
        <w:tc>
          <w:tcPr>
            <w:tcW w:type="dxa" w:w="213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Core PCE re-accelerates / labour stays hot → hike</w:t>
            </w:r>
          </w:p>
        </w:tc>
      </w:tr>
      <w:tr>
        <w:tc>
          <w:tcPr>
            <w:tcW w:type="dxa" w:w="9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Barclays (13717)</w:t>
            </w:r>
          </w:p>
        </w:tc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Rates/macro</w:t>
            </w:r>
          </w:p>
        </w:tc>
        <w:tc>
          <w:tcPr>
            <w:tcW w:type="dxa" w:w="23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Reacceleration is a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"mirage"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— headlines firm, underpinnings fragile</w:t>
            </w:r>
          </w:p>
        </w:tc>
        <w:tc>
          <w:tcPr>
            <w:tcW w:type="dxa" w:w="23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Fades the strong GDP/PCE tape on income/real-demand internals</w:t>
            </w:r>
          </w:p>
        </w:tc>
        <w:tc>
          <w:tcPr>
            <w:tcW w:type="dxa" w:w="217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income + demand keep decelerating</w:t>
            </w:r>
          </w:p>
        </w:tc>
        <w:tc>
          <w:tcPr>
            <w:tcW w:type="dxa" w:w="213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Durable consumption + income re-accelerate</w:t>
            </w:r>
          </w:p>
        </w:tc>
      </w:tr>
      <w:tr>
        <w:tc>
          <w:tcPr>
            <w:tcW w:type="dxa" w:w="95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 (13372)</w:t>
            </w:r>
          </w:p>
        </w:tc>
        <w:tc>
          <w:tcPr>
            <w:tcW w:type="dxa" w:w="60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Cross-asset/FX</w:t>
            </w:r>
          </w:p>
        </w:tc>
        <w:tc>
          <w:tcPr>
            <w:tcW w:type="dxa" w:w="23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Debasement-trade unwind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post-Warsh FOMC is the dominant client flow</w:t>
            </w:r>
          </w:p>
        </w:tc>
        <w:tc>
          <w:tcPr>
            <w:tcW w:type="dxa" w:w="239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Frames US via a positioning/flow lens, not a data lens</w:t>
            </w:r>
          </w:p>
        </w:tc>
        <w:tc>
          <w:tcPr>
            <w:tcW w:type="dxa" w:w="217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Warsh-era Fed seen as inflation-credible</w:t>
            </w:r>
          </w:p>
        </w:tc>
        <w:tc>
          <w:tcPr>
            <w:tcW w:type="dxa" w:w="213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Fiscal/inflation fear re-ignites the USD-hedge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India — the RBI-pushback / FCNR story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56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08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86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14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30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RBI reaction function</w:t>
            </w:r>
          </w:p>
        </w:tc>
        <w:tc>
          <w:tcPr>
            <w:tcW w:type="dxa" w:w="18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514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Gov publicly pushes back on hike pricing (unscheduled ET interview)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30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FCNR / capital-attraction package</w:t>
            </w:r>
          </w:p>
        </w:tc>
        <w:tc>
          <w:tcPr>
            <w:tcW w:type="dxa" w:w="18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Fiscal / flows</w:t>
            </w:r>
          </w:p>
        </w:tc>
        <w:tc>
          <w:tcPr>
            <w:tcW w:type="dxa" w:w="514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Six-point RBI+MoF package incl. FCNR(B) swap window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30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Rate-hike pricing</w:t>
            </w:r>
          </w:p>
        </w:tc>
        <w:tc>
          <w:tcPr>
            <w:tcW w:type="dxa" w:w="18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Real rates</w:t>
            </w:r>
          </w:p>
        </w:tc>
        <w:tc>
          <w:tcPr>
            <w:tcW w:type="dxa" w:w="514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1y OIS prices +85bp of hikes (Oct/Dec-centred)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30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IGB relative value</w:t>
            </w:r>
          </w:p>
        </w:tc>
        <w:tc>
          <w:tcPr>
            <w:tcW w:type="dxa" w:w="18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</w:t>
            </w:r>
          </w:p>
        </w:tc>
        <w:tc>
          <w:tcPr>
            <w:tcW w:type="dxa" w:w="514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10y IGB cheap on 5x10x30 fly at series highs</w:t>
            </w:r>
          </w:p>
        </w:tc>
      </w:tr>
      <w:tr>
        <w:tc>
          <w:tcPr>
            <w:tcW w:type="dxa" w:w="5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5</w:t>
            </w:r>
          </w:p>
        </w:tc>
        <w:tc>
          <w:tcPr>
            <w:tcW w:type="dxa" w:w="30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 path</w:t>
            </w:r>
          </w:p>
        </w:tc>
        <w:tc>
          <w:tcPr>
            <w:tcW w:type="dxa" w:w="18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514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CPI 4.5% y/y May; houses see peak ~5.9% Q3 FY27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India is the cleanest reaction-function story in the window. </w:t>
      </w:r>
      <w:r>
        <w:rPr>
          <w:rFonts w:ascii="Public Sans" w:hAnsi="Public Sans"/>
          <w:b/>
          <w:i w:val="0"/>
          <w:color w:val="3D3E3E"/>
          <w:sz w:val="19"/>
        </w:rPr>
        <w:t>VIEW (GS 12546):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RBI Governor used an unscheduled interview with ET to </w:t>
      </w:r>
      <w:r>
        <w:rPr>
          <w:rFonts w:ascii="Public Sans" w:hAnsi="Public Sans"/>
          <w:b w:val="0"/>
          <w:i/>
          <w:color w:val="3D3E3E"/>
          <w:sz w:val="19"/>
        </w:rPr>
        <w:t>directly push back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on market hike pricing — GS reads this as "little appetite to use domestic rates to defend the INR, either in policy rates or via a higher overnight fix within the corridor." Against that, the OIS curve carries </w:t>
      </w:r>
      <w:r>
        <w:rPr>
          <w:rFonts w:ascii="Public Sans" w:hAnsi="Public Sans"/>
          <w:b/>
          <w:i w:val="0"/>
          <w:color w:val="3D3E3E"/>
          <w:sz w:val="19"/>
        </w:rPr>
        <w:t>+85bp of hikes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in 1y, concentrated on the Oct/Dec meetings. That gap — market pricing tightening the Gov is signalling away from — is the entire trade.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Overlaid on it is the flow plumbing. </w:t>
      </w:r>
      <w:r>
        <w:rPr>
          <w:rFonts w:ascii="Public Sans" w:hAnsi="Public Sans"/>
          <w:b/>
          <w:i w:val="0"/>
          <w:color w:val="3D3E3E"/>
          <w:sz w:val="19"/>
        </w:rPr>
        <w:t>VIEW (Barclays 12522):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June MPC's headline wasn't the repo pause (held 5.25%, cb_events) but a </w:t>
      </w:r>
      <w:r>
        <w:rPr>
          <w:rFonts w:ascii="Public Sans" w:hAnsi="Public Sans"/>
          <w:b/>
          <w:i w:val="0"/>
          <w:color w:val="3D3E3E"/>
          <w:sz w:val="19"/>
        </w:rPr>
        <w:t>six-point RBI+MoF package to attract foreign capital</w:t>
      </w:r>
      <w:r>
        <w:rPr>
          <w:rFonts w:ascii="Public Sans" w:hAnsi="Public Sans"/>
          <w:b w:val="0"/>
          <w:i w:val="0"/>
          <w:color w:val="3D3E3E"/>
          <w:sz w:val="19"/>
        </w:rPr>
        <w:t>, including a special FCNR(B) deposit-swap window that fully hedges banks' cost on 3–5y NRI deposits, plus a concessional FX-swap facility. GS notes the FCNR flow is distorting the NDS/XCCY basis and, together with an RBI discount, is a reason 10y IGBs look cheap (5x10x30 fly at series highs; 10y the best RV point on the curve). On inflation, Barclays sees CPI at 4.5% y/y (May), rising into June on fuel, peaking ~5.9% in Q3 FY27 near the top of the 2–6% band — but with core "contained so far," which is what lets the RBI hold and jawbone rather than hike.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RBI stays on hold near-term and the capital-attraction / FCNR package is the real policy lever, not the repo rate.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GS (12546) RBI pushing back on hike pricing; Barclays (12522) "repo pause was not the highlight… the slew of measures took the spotlight."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consensus treats the FCNR/flow package as unambiguously INR-supportive; less discussed is that a fully-hedged bank swap window transmits into the FX-forward/XCCY basis and can move the </w:t>
      </w:r>
      <w:r>
        <w:rPr>
          <w:rFonts w:ascii="Public Sans" w:hAnsi="Public Sans"/>
          <w:b w:val="0"/>
          <w:i/>
          <w:color w:val="3D3E3E"/>
          <w:sz w:val="19"/>
        </w:rPr>
        <w:t>hedged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cost of INR assets even if spot behaves — a second-order effect the flow-desk (GS) sees but the macro notes underplay.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5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7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58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58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197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39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7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 (12546)</w:t>
            </w:r>
          </w:p>
        </w:tc>
        <w:tc>
          <w:tcPr>
            <w:tcW w:type="dxa" w:w="3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25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Receive 2y INR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— fade the +85bp of priced hikes</w:t>
            </w:r>
          </w:p>
        </w:tc>
        <w:tc>
          <w:tcPr>
            <w:tcW w:type="dxa" w:w="25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Trades directly against market pricing on a reaction-function call</w:t>
            </w:r>
          </w:p>
        </w:tc>
        <w:tc>
          <w:tcPr>
            <w:tcW w:type="dxa" w:w="19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RBI won't use domestic rates to defend INR</w:t>
            </w:r>
          </w:p>
        </w:tc>
        <w:tc>
          <w:tcPr>
            <w:tcW w:type="dxa" w:w="239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RBI hikes / lifts o/n fix to defend a falling rupee</w:t>
            </w:r>
          </w:p>
        </w:tc>
      </w:tr>
      <w:tr>
        <w:tc>
          <w:tcPr>
            <w:tcW w:type="dxa" w:w="7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 (12546)</w:t>
            </w:r>
          </w:p>
        </w:tc>
        <w:tc>
          <w:tcPr>
            <w:tcW w:type="dxa" w:w="3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25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Long 10y IGB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(vs OIS / on-curve) — best RV point</w:t>
            </w:r>
          </w:p>
        </w:tc>
        <w:tc>
          <w:tcPr>
            <w:tcW w:type="dxa" w:w="25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Uses the FCNR/XCCY distortion as an entry, not a risk</w:t>
            </w:r>
          </w:p>
        </w:tc>
        <w:tc>
          <w:tcPr>
            <w:tcW w:type="dxa" w:w="19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FCNR flow persists; supply orderly</w:t>
            </w:r>
          </w:p>
        </w:tc>
        <w:tc>
          <w:tcPr>
            <w:tcW w:type="dxa" w:w="239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Bond-supply shock; fly re-richens</w:t>
            </w:r>
          </w:p>
        </w:tc>
      </w:tr>
      <w:tr>
        <w:tc>
          <w:tcPr>
            <w:tcW w:type="dxa" w:w="7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Barclays (12522)</w:t>
            </w:r>
          </w:p>
        </w:tc>
        <w:tc>
          <w:tcPr>
            <w:tcW w:type="dxa" w:w="37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Macro/FX</w:t>
            </w:r>
          </w:p>
        </w:tc>
        <w:tc>
          <w:tcPr>
            <w:tcW w:type="dxa" w:w="25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CPI peaks ~5.9% Q3 FY27, core contained → RBI can hold and jawbone</w:t>
            </w:r>
          </w:p>
        </w:tc>
        <w:tc>
          <w:tcPr>
            <w:tcW w:type="dxa" w:w="25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Explicit inflation-peak path underpinning the hold</w:t>
            </w:r>
          </w:p>
        </w:tc>
        <w:tc>
          <w:tcPr>
            <w:tcW w:type="dxa" w:w="197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Fuel pass-through is the transient driver</w:t>
            </w:r>
          </w:p>
        </w:tc>
        <w:tc>
          <w:tcPr>
            <w:tcW w:type="dxa" w:w="239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Core breaks higher → RBI forced to hike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Japan — Tokyo CPI up, but for the "wrong" reason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4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6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15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48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6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Tokyo CPI composition</w:t>
            </w:r>
          </w:p>
        </w:tc>
        <w:tc>
          <w:tcPr>
            <w:tcW w:type="dxa" w:w="21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54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Core (ex-FF) 1.6% y/y (from 1.3); ex-FF&amp;energy 1.9%</w:t>
            </w:r>
          </w:p>
        </w:tc>
      </w:tr>
      <w:tr>
        <w:tc>
          <w:tcPr>
            <w:tcW w:type="dxa" w:w="6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BoJ normalisation path</w:t>
            </w:r>
          </w:p>
        </w:tc>
        <w:tc>
          <w:tcPr>
            <w:tcW w:type="dxa" w:w="21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54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16 Jun hike to 1.00%; next hike Q4-priced</w:t>
            </w:r>
          </w:p>
        </w:tc>
      </w:tr>
      <w:tr>
        <w:tc>
          <w:tcPr>
            <w:tcW w:type="dxa" w:w="6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JGB curve / basis</w:t>
            </w:r>
          </w:p>
        </w:tc>
        <w:tc>
          <w:tcPr>
            <w:tcW w:type="dxa" w:w="21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54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BoJ purchase taper by bucket; 10y ~2.27%</w:t>
            </w:r>
          </w:p>
        </w:tc>
      </w:tr>
      <w:tr>
        <w:tc>
          <w:tcPr>
            <w:tcW w:type="dxa" w:w="6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4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 pass-through</w:t>
            </w:r>
          </w:p>
        </w:tc>
        <w:tc>
          <w:tcPr>
            <w:tcW w:type="dxa" w:w="21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Inflation</w:t>
            </w:r>
          </w:p>
        </w:tc>
        <w:tc>
          <w:tcPr>
            <w:tcW w:type="dxa" w:w="54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Higher crude pass-through "remains limited"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Japan's 26-Jun print is a composition story. </w:t>
      </w:r>
      <w:r>
        <w:rPr>
          <w:rFonts w:ascii="Public Sans" w:hAnsi="Public Sans"/>
          <w:b/>
          <w:i w:val="0"/>
          <w:color w:val="3D3E3E"/>
          <w:sz w:val="19"/>
        </w:rPr>
        <w:t>FACT: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Tokyo core CPI (ex-fresh-food) rose to </w:t>
      </w:r>
      <w:r>
        <w:rPr>
          <w:rFonts w:ascii="Public Sans" w:hAnsi="Public Sans"/>
          <w:b/>
          <w:i w:val="0"/>
          <w:color w:val="3D3E3E"/>
          <w:sz w:val="19"/>
        </w:rPr>
        <w:t>1.6% y/y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from 1.3% (in line), and ex-fresh-food-&amp;-energy to </w:t>
      </w:r>
      <w:r>
        <w:rPr>
          <w:rFonts w:ascii="Public Sans" w:hAnsi="Public Sans"/>
          <w:b/>
          <w:i w:val="0"/>
          <w:color w:val="3D3E3E"/>
          <w:sz w:val="19"/>
        </w:rPr>
        <w:t>1.9%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(above the 1.8 survey). </w:t>
      </w:r>
      <w:r>
        <w:rPr>
          <w:rFonts w:ascii="Public Sans" w:hAnsi="Public Sans"/>
          <w:b/>
          <w:i w:val="0"/>
          <w:color w:val="3D3E3E"/>
          <w:sz w:val="19"/>
        </w:rPr>
        <w:t>VIEW (Nomura 13337):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pick-up is "largely due to policy factors" — the disappearance of last year's water-charge subsidy base effect — and crude-oil pass-through "remains limited." So the underlying-underlying gauge (1.9%) firmed, but the headline core move is mechanical, not fresh demand-pull.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For rates, the plumbing note (Nomura Yen Rates Daily, 13407/12612) shows the BoJ's JGB purchases by maturity bucket and the taper progressing; the 10y sits ~2.27% with the basis grinding.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with the BoJ already at 1.00% and Tokyo underlying at 1.9%, the composition split matters — a policy-driven headline gives the BoJ cover to </w:t>
      </w:r>
      <w:r>
        <w:rPr>
          <w:rFonts w:ascii="Public Sans" w:hAnsi="Public Sans"/>
          <w:b w:val="0"/>
          <w:i/>
          <w:color w:val="3D3E3E"/>
          <w:sz w:val="19"/>
        </w:rPr>
        <w:t>pause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while the ex-energy firming keeps the next-hike option (Q4-priced across the forecast tables) alive. Note the grounding caveat: Japan carries almost no econ.fact_indicator depth (5 series, stale), so the component read here leans on cb_events + sell-side, not on a loaded ABS-equivalent.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BoJ continues gradual normalisation; the next hike is a Q4-2026 event, not imminent.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cross-house forecast tables (Barclays 12897, SocGen 13657) both pencil a further +25 to 1.25% in Q4-2026; Nomura (13337) frames the CPI up-move as policy-driven, consistent with no rush.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ex-FF&amp;energy 1.9% above-survey print is under-emphasised — if the mechanical base effects fade </w:t>
      </w:r>
      <w:r>
        <w:rPr>
          <w:rFonts w:ascii="Public Sans" w:hAnsi="Public Sans"/>
          <w:b w:val="0"/>
          <w:i/>
          <w:color w:val="3D3E3E"/>
          <w:sz w:val="19"/>
        </w:rPr>
        <w:t>and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underlying stays ~1.9%, the "gradual" cadence could compress faster than the Q4 base case.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66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28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61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61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190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56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66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Nomura (13337)</w:t>
            </w:r>
          </w:p>
        </w:tc>
        <w:tc>
          <w:tcPr>
            <w:tcW w:type="dxa" w:w="28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Macro</w:t>
            </w:r>
          </w:p>
        </w:tc>
        <w:tc>
          <w:tcPr>
            <w:tcW w:type="dxa" w:w="26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Tokyo CPI rise is policy-driven, oil pass-through limited → discounts the headline</w:t>
            </w:r>
          </w:p>
        </w:tc>
        <w:tc>
          <w:tcPr>
            <w:tcW w:type="dxa" w:w="261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Reads </w:t>
            </w:r>
            <w:r>
              <w:rPr>
                <w:rFonts w:ascii="Public Sans" w:hAnsi="Public Sans"/>
                <w:b w:val="0"/>
                <w:i/>
                <w:color w:val="3D3E3E"/>
                <w:sz w:val="16"/>
              </w:rPr>
              <w:t>through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the print rather than reacting to the core up-tick</w:t>
            </w:r>
          </w:p>
        </w:tc>
        <w:tc>
          <w:tcPr>
            <w:tcW w:type="dxa" w:w="19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Base effects, not demand, drive the move</w:t>
            </w:r>
          </w:p>
        </w:tc>
        <w:tc>
          <w:tcPr>
            <w:tcW w:type="dxa" w:w="25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Underlying (1.9%) sustains after base effects roll off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Hong Kong — funding-driven, band-anchored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5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61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41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98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6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61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USDHKD toward upper band</w:t>
            </w:r>
          </w:p>
        </w:tc>
        <w:tc>
          <w:tcPr>
            <w:tcW w:type="dxa" w:w="14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59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Carry + dividend-season USD demand</w:t>
            </w:r>
          </w:p>
        </w:tc>
      </w:tr>
      <w:tr>
        <w:tc>
          <w:tcPr>
            <w:tcW w:type="dxa" w:w="6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61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Front-end HKD IRS/HIBOR</w:t>
            </w:r>
          </w:p>
        </w:tc>
        <w:tc>
          <w:tcPr>
            <w:tcW w:type="dxa" w:w="14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 / flows</w:t>
            </w:r>
          </w:p>
        </w:tc>
        <w:tc>
          <w:tcPr>
            <w:tcW w:type="dxa" w:w="59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Low HKMA aggregate balance → front-IRS pressure</w:t>
            </w:r>
          </w:p>
        </w:tc>
      </w:tr>
      <w:tr>
        <w:tc>
          <w:tcPr>
            <w:tcW w:type="dxa" w:w="6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61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HK-vs-US rate spread</w:t>
            </w:r>
          </w:p>
        </w:tc>
        <w:tc>
          <w:tcPr>
            <w:tcW w:type="dxa" w:w="14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</w:t>
            </w:r>
          </w:p>
        </w:tc>
        <w:tc>
          <w:tcPr>
            <w:tcW w:type="dxa" w:w="598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Low LDR + weak HK equities argue against sustained HK&gt;US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HK is a pure plumbing story — no policy rate (currency board; the only HK rate row in cb_events, "Composite Interest Rate," is stale to 2008, correctly flagged). </w:t>
      </w:r>
      <w:r>
        <w:rPr>
          <w:rFonts w:ascii="Public Sans" w:hAnsi="Public Sans"/>
          <w:b/>
          <w:i w:val="0"/>
          <w:color w:val="3D3E3E"/>
          <w:sz w:val="19"/>
        </w:rPr>
        <w:t>VIEW (Barclays 12523):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USD demand (dividend-payment season + carry) keeps USDHKD supported; after consolidating 7.83–7.84 they see it toward the 7.75–7.85 convertibility-band middle later this year. On rates, the HKMA aggregate balance has stayed low, keeping upward pressure on the front-end IRS curve, so Barclays expects HKD front IRS to underperform USD IRS near-term. </w:t>
      </w:r>
      <w:r>
        <w:rPr>
          <w:rFonts w:ascii="Public Sans" w:hAnsi="Public Sans"/>
          <w:b/>
          <w:i w:val="0"/>
          <w:color w:val="3D3E3E"/>
          <w:sz w:val="19"/>
        </w:rPr>
        <w:t>VIEW (GS 13372):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opposite side of the same coin — GS is </w:t>
      </w:r>
      <w:r>
        <w:rPr>
          <w:rFonts w:ascii="Public Sans" w:hAnsi="Public Sans"/>
          <w:b w:val="0"/>
          <w:i/>
          <w:color w:val="3D3E3E"/>
          <w:sz w:val="19"/>
        </w:rPr>
        <w:t>biased to eventually fade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high HK-vs-US rates given a low loan-to-deposit ratio and bearish HK equity momentum, invoking the 2022 jumbo-hike episode as the analogue for how these funding spikes eventually normalise. HK econ depth is modest (29 series) but the trade is a liquidity/basis call, not a data call.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HK front-end funding pressure is real and dividend-season-driven; the convertibility band is not in question.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Barclays (12523) low aggregate balance → front-IRS pressure; GS (13372) acknowledges high HK vs US rates now.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two houses agree on the </w:t>
      </w:r>
      <w:r>
        <w:rPr>
          <w:rFonts w:ascii="Public Sans" w:hAnsi="Public Sans"/>
          <w:b w:val="0"/>
          <w:i/>
          <w:color w:val="3D3E3E"/>
          <w:sz w:val="19"/>
        </w:rPr>
        <w:t>now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but disagree on </w:t>
      </w:r>
      <w:r>
        <w:rPr>
          <w:rFonts w:ascii="Public Sans" w:hAnsi="Public Sans"/>
          <w:b w:val="0"/>
          <w:i/>
          <w:color w:val="3D3E3E"/>
          <w:sz w:val="19"/>
        </w:rPr>
        <w:t>duration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Barclays plays the near-term pressure, GS the eventual fade — which is the actual decision, and neither frames the crossover timing precisely.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76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8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62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53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62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172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76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 (13372)</w:t>
            </w:r>
          </w:p>
        </w:tc>
        <w:tc>
          <w:tcPr>
            <w:tcW w:type="dxa" w:w="3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26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Bias to fade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high HK vs US rates (not yet on)</w:t>
            </w:r>
          </w:p>
        </w:tc>
        <w:tc>
          <w:tcPr>
            <w:tcW w:type="dxa" w:w="253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Contrarian to the near-term-pressure crowd</w:t>
            </w:r>
          </w:p>
        </w:tc>
        <w:tc>
          <w:tcPr>
            <w:tcW w:type="dxa" w:w="26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Liquidity normalises post-dividends; weak HK equities cap rates</w:t>
            </w:r>
          </w:p>
        </w:tc>
        <w:tc>
          <w:tcPr>
            <w:tcW w:type="dxa" w:w="172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Funding stress persists (2022-style)</w:t>
            </w:r>
          </w:p>
        </w:tc>
      </w:tr>
      <w:tr>
        <w:tc>
          <w:tcPr>
            <w:tcW w:type="dxa" w:w="76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Barclays (12523)</w:t>
            </w:r>
          </w:p>
        </w:tc>
        <w:tc>
          <w:tcPr>
            <w:tcW w:type="dxa" w:w="38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Rates/FX</w:t>
            </w:r>
          </w:p>
        </w:tc>
        <w:tc>
          <w:tcPr>
            <w:tcW w:type="dxa" w:w="26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Play the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near-term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front-IRS pressure + USDHKD to upper band</w:t>
            </w:r>
          </w:p>
        </w:tc>
        <w:tc>
          <w:tcPr>
            <w:tcW w:type="dxa" w:w="253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Trades the immediate plumbing, opposite horizon to GS</w:t>
            </w:r>
          </w:p>
        </w:tc>
        <w:tc>
          <w:tcPr>
            <w:tcW w:type="dxa" w:w="262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Aggregate balance stays low into dividend season</w:t>
            </w:r>
          </w:p>
        </w:tc>
        <w:tc>
          <w:tcPr>
            <w:tcW w:type="dxa" w:w="172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HKMA injects liquidity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Thailand — the baht-overvaluation funder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5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08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19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71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65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0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BoT on hold</w:t>
            </w:r>
          </w:p>
        </w:tc>
        <w:tc>
          <w:tcPr>
            <w:tcW w:type="dxa" w:w="21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571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Held 1.00% on 24 Jun</w:t>
            </w:r>
          </w:p>
        </w:tc>
      </w:tr>
      <w:tr>
        <w:tc>
          <w:tcPr>
            <w:tcW w:type="dxa" w:w="65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0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Baht overvaluation</w:t>
            </w:r>
          </w:p>
        </w:tc>
        <w:tc>
          <w:tcPr>
            <w:tcW w:type="dxa" w:w="21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571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THB "fundamentally overvalued," competitiveness drag</w:t>
            </w:r>
          </w:p>
        </w:tc>
      </w:tr>
      <w:tr>
        <w:tc>
          <w:tcPr>
            <w:tcW w:type="dxa" w:w="65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08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Oil-relief tailwind</w:t>
            </w:r>
          </w:p>
        </w:tc>
        <w:tc>
          <w:tcPr>
            <w:tcW w:type="dxa" w:w="21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</w:t>
            </w:r>
          </w:p>
        </w:tc>
        <w:tc>
          <w:tcPr>
            <w:tcW w:type="dxa" w:w="571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Brent sub-$80 helps the importer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FACT: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BoT held at 1.00% on 24 Jun (survey 1.0). With the policy rate effectively at a floor, the live debate is the currency. </w:t>
      </w:r>
      <w:r>
        <w:rPr>
          <w:rFonts w:ascii="Public Sans" w:hAnsi="Public Sans"/>
          <w:b/>
          <w:i w:val="0"/>
          <w:color w:val="3D3E3E"/>
          <w:sz w:val="19"/>
        </w:rPr>
        <w:t>VIEW (JPM 13290):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baht is "fundamentally overvalued," and surging investment plus policy resistance to a weaker currency make THB a natural </w:t>
      </w:r>
      <w:r>
        <w:rPr>
          <w:rFonts w:ascii="Public Sans" w:hAnsi="Public Sans"/>
          <w:b w:val="0"/>
          <w:i/>
          <w:color w:val="3D3E3E"/>
          <w:sz w:val="19"/>
        </w:rPr>
        <w:t>funder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its strength is a vulnerability because Thai manufacturing competitiveness is challenged by China's excess-capacity export glut. JPM is bearish THB local-currency and expresses it two ways: pay 1y1y THB (vs SGD) in rates, and UW THB in cash FX on the GBI-EM. The oil-relief theme (Citi 13145, "Through the Oil Shock: Five Lenses on ASEAN") is a supportive macro backdrop for the importer but doesn't change the overvaluation call. Thailand carries no econ.fact_indicator depth (see §5), so this read is cb_events (the hold) plus sell-side.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BoT is at/near its floor and the baht's real strength is the key macro vulnerability.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JPM (13290) overvaluation + funder thesis; Citi (13145) frames ASEAN via the oil shock reversing, THB an importer beneficiary.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oil-relief bulls and the overvaluation bears are talking past each other — cheaper oil </w:t>
      </w:r>
      <w:r>
        <w:rPr>
          <w:rFonts w:ascii="Public Sans" w:hAnsi="Public Sans"/>
          <w:b w:val="0"/>
          <w:i/>
          <w:color w:val="3D3E3E"/>
          <w:sz w:val="19"/>
        </w:rPr>
        <w:t>improves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Thailand's external balance, which could keep the baht bid and delay the mean-reversion the funder trade needs.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53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8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41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41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36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55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53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JPM (13290)</w:t>
            </w:r>
          </w:p>
        </w:tc>
        <w:tc>
          <w:tcPr>
            <w:tcW w:type="dxa" w:w="38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Rates/FX</w:t>
            </w:r>
          </w:p>
        </w:tc>
        <w:tc>
          <w:tcPr>
            <w:tcW w:type="dxa" w:w="24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Pay 1y1y THB (vs SGD)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+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UW THB FX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— baht as funder</w:t>
            </w:r>
          </w:p>
        </w:tc>
        <w:tc>
          <w:tcPr>
            <w:tcW w:type="dxa" w:w="24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Turns a valuation view into a paired funding trade</w:t>
            </w:r>
          </w:p>
        </w:tc>
        <w:tc>
          <w:tcPr>
            <w:tcW w:type="dxa" w:w="236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Policy resists baht strength; China glut persists</w:t>
            </w:r>
          </w:p>
        </w:tc>
        <w:tc>
          <w:tcPr>
            <w:tcW w:type="dxa" w:w="255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BoT tolerates strength / exporter flows keep baht bid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Indonesia — surprise hawkish hold, then hike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5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82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17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00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6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8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BI hike (currency defence)</w:t>
            </w:r>
          </w:p>
        </w:tc>
        <w:tc>
          <w:tcPr>
            <w:tcW w:type="dxa" w:w="217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50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+25 to 5.75% on 18 Jun (forecast had been +50)</w:t>
            </w:r>
          </w:p>
        </w:tc>
      </w:tr>
      <w:tr>
        <w:tc>
          <w:tcPr>
            <w:tcW w:type="dxa" w:w="6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8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Local-market carry</w:t>
            </w:r>
          </w:p>
        </w:tc>
        <w:tc>
          <w:tcPr>
            <w:tcW w:type="dxa" w:w="217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Cross-market</w:t>
            </w:r>
          </w:p>
        </w:tc>
        <w:tc>
          <w:tcPr>
            <w:tcW w:type="dxa" w:w="50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IndoGB / IDR positioning</w:t>
            </w:r>
          </w:p>
        </w:tc>
      </w:tr>
      <w:tr>
        <w:tc>
          <w:tcPr>
            <w:tcW w:type="dxa" w:w="65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8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Instrument view</w:t>
            </w:r>
          </w:p>
        </w:tc>
        <w:tc>
          <w:tcPr>
            <w:tcW w:type="dxa" w:w="217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—</w:t>
            </w:r>
          </w:p>
        </w:tc>
        <w:tc>
          <w:tcPr>
            <w:tcW w:type="dxa" w:w="500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PENDING DEEPAK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FACT: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Bank Indonesia hiked the BI-Rate +25bp to </w:t>
      </w:r>
      <w:r>
        <w:rPr>
          <w:rFonts w:ascii="Public Sans" w:hAnsi="Public Sans"/>
          <w:b/>
          <w:i w:val="0"/>
          <w:color w:val="3D3E3E"/>
          <w:sz w:val="19"/>
        </w:rPr>
        <w:t>5.75%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on 18 Jun (from 5.50%; deposit-facility 4.75%, lending-facility 6.5% — cb_events). The sell-side forecast tables had carried a </w:t>
      </w:r>
      <w:r>
        <w:rPr>
          <w:rFonts w:ascii="Public Sans" w:hAnsi="Public Sans"/>
          <w:b w:val="0"/>
          <w:i/>
          <w:color w:val="3D3E3E"/>
          <w:sz w:val="19"/>
        </w:rPr>
        <w:t>larger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+50 move (Barclays 12897 shows "Tightening: 20 May 26 … Jun 26 (+50)"), so the delivered +25 is, relative to some house paths, a </w:t>
      </w:r>
      <w:r>
        <w:rPr>
          <w:rFonts w:ascii="Public Sans" w:hAnsi="Public Sans"/>
          <w:b w:val="0"/>
          <w:i/>
          <w:color w:val="3D3E3E"/>
          <w:sz w:val="19"/>
        </w:rPr>
        <w:t>dovish surprise within a hawkish action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BI tightened for currency defence but by less than the hawks feared. Forecast tables now diverge on the path: BofA (13084) pencils cuts back toward 5.00% then 4.75% into 2027, while Barclays/SocGen carry BI flat-to-lower. </w:t>
      </w:r>
      <w:r>
        <w:rPr>
          <w:rFonts w:ascii="Public Sans" w:hAnsi="Public Sans"/>
          <w:b/>
          <w:i w:val="0"/>
          <w:color w:val="3D3E3E"/>
          <w:sz w:val="19"/>
        </w:rPr>
        <w:t>VIEW (Citi 13279):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Asia model overlay shows a small IDR / 5y IndoGB overweight via cash.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Indonesia has good econ.fact_indicator depth (303 series) but the day's action is a rate decision + flow call, not a component-data day.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Instrument note (impersonal): the specific Indonesia instrument to wire into the standing read is PENDING DEEPAK and is not asserted here.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BI's June hike is a currency-defence move, and the medium-term path is toward easing once IDR stabilises.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BofA (13084) forecasts BI to 5.00%/4.75% by 2027; Barclays (12522) IDR forecast path 17,600–18,200.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delivered +25 vs the feared +50 is the actual surprise, and houses have not fully re-anchored the front-end path to it — the forecast tables still range widely (5.00 to 5.75 near-term).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67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45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70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53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14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14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67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BofA (13084)</w:t>
            </w:r>
          </w:p>
        </w:tc>
        <w:tc>
          <w:tcPr>
            <w:tcW w:type="dxa" w:w="4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27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BI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eases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back to 5.00% then 4.75% into 2027</w:t>
            </w:r>
          </w:p>
        </w:tc>
        <w:tc>
          <w:tcPr>
            <w:tcW w:type="dxa" w:w="25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Most dovish forward path vs flat-carriers</w:t>
            </w:r>
          </w:p>
        </w:tc>
        <w:tc>
          <w:tcPr>
            <w:tcW w:type="dxa" w:w="21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stabilises → BI can unwind defence</w:t>
            </w:r>
          </w:p>
        </w:tc>
        <w:tc>
          <w:tcPr>
            <w:tcW w:type="dxa" w:w="21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pressure persists → BI holds/hikes</w:t>
            </w:r>
          </w:p>
        </w:tc>
      </w:tr>
      <w:tr>
        <w:tc>
          <w:tcPr>
            <w:tcW w:type="dxa" w:w="67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Citi (13279)</w:t>
            </w:r>
          </w:p>
        </w:tc>
        <w:tc>
          <w:tcPr>
            <w:tcW w:type="dxa" w:w="4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FX/Rates</w:t>
            </w:r>
          </w:p>
        </w:tc>
        <w:tc>
          <w:tcPr>
            <w:tcW w:type="dxa" w:w="27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Small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IDR + 5y IndoGB overweight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(model overlay)</w:t>
            </w:r>
          </w:p>
        </w:tc>
        <w:tc>
          <w:tcPr>
            <w:tcW w:type="dxa" w:w="25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Expresses constructive carry despite the hike</w:t>
            </w:r>
          </w:p>
        </w:tc>
        <w:tc>
          <w:tcPr>
            <w:tcW w:type="dxa" w:w="21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Carry compensates for residual FX risk</w:t>
            </w:r>
          </w:p>
        </w:tc>
        <w:tc>
          <w:tcPr>
            <w:tcW w:type="dxa" w:w="21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IDR sell-off overwhelms carry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Malaysia — the electronics/AI trade-surplus story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4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6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15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48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6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Trade-surplus surge</w:t>
            </w:r>
          </w:p>
        </w:tc>
        <w:tc>
          <w:tcPr>
            <w:tcW w:type="dxa" w:w="21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External / flows</w:t>
            </w:r>
          </w:p>
        </w:tc>
        <w:tc>
          <w:tcPr>
            <w:tcW w:type="dxa" w:w="54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Surplus doubled to ~19% GDP on electronics/AI capex</w:t>
            </w:r>
          </w:p>
        </w:tc>
      </w:tr>
      <w:tr>
        <w:tc>
          <w:tcPr>
            <w:tcW w:type="dxa" w:w="6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Exporter FX conversion</w:t>
            </w:r>
          </w:p>
        </w:tc>
        <w:tc>
          <w:tcPr>
            <w:tcW w:type="dxa" w:w="21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54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Excess FX deposits +$7bn to 6.2% GDP</w:t>
            </w:r>
          </w:p>
        </w:tc>
      </w:tr>
      <w:tr>
        <w:tc>
          <w:tcPr>
            <w:tcW w:type="dxa" w:w="6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36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BNM on hold</w:t>
            </w:r>
          </w:p>
        </w:tc>
        <w:tc>
          <w:tcPr>
            <w:tcW w:type="dxa" w:w="215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548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OPR 2.75% (held 7 May)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VIEW (JPM 13290):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Malaysia's trade surplus has </w:t>
      </w:r>
      <w:r>
        <w:rPr>
          <w:rFonts w:ascii="Public Sans" w:hAnsi="Public Sans"/>
          <w:b w:val="0"/>
          <w:i/>
          <w:color w:val="3D3E3E"/>
          <w:sz w:val="19"/>
        </w:rPr>
        <w:t>doubled to ~19% of GDP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over the past year on an electronics-export surge tied to "relentless AI-capex spending." The catch is conversion — exporters aren't repatriating, with excess FX deposits rising $7bn to 6.2% GDP, so the ringgit isn't getting the full benefit of the external strength.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BNM is on hold at 2.75% (cb_events, 7 May), so MYR is a flow/conversion story rather than a rate story; the AI-capex export cycle (a genuine 2026 theme) is doing the macro work. Malaysia has no econ.fact_indicator depth loaded (§5), so this is a sell-side + cb_events read.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Malaysia's external position is strong on the electronics/AI cycle; BNM comfortably on hold.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JPM (13290) surplus doubling; ANZ (12890) "tech supercycle lends staying power."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poor exporter-conversion dynamic caps how much of the surplus translates into MYR strength — the bullish-external narrative may not deliver a bullish-currency outcome.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61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44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01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301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145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212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61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JPM (13290)</w:t>
            </w:r>
          </w:p>
        </w:tc>
        <w:tc>
          <w:tcPr>
            <w:tcW w:type="dxa" w:w="44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FX/flows</w:t>
            </w:r>
          </w:p>
        </w:tc>
        <w:tc>
          <w:tcPr>
            <w:tcW w:type="dxa" w:w="301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External strength ≠ MYR strength while conversion lags</w:t>
            </w:r>
          </w:p>
        </w:tc>
        <w:tc>
          <w:tcPr>
            <w:tcW w:type="dxa" w:w="301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Focuses on the flow-plumbing, not the headline surplus</w:t>
            </w:r>
          </w:p>
        </w:tc>
        <w:tc>
          <w:tcPr>
            <w:tcW w:type="dxa" w:w="14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Exporters keep hoarding FX</w:t>
            </w:r>
          </w:p>
        </w:tc>
        <w:tc>
          <w:tcPr>
            <w:tcW w:type="dxa" w:w="212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Conversion normalises → MYR catches up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Singapore — SORA carry, no MAS tightening priced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76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53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52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83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7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5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Front-end SORA carry</w:t>
            </w:r>
          </w:p>
        </w:tc>
        <w:tc>
          <w:tcPr>
            <w:tcW w:type="dxa" w:w="15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58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Clients receiving front SORA for carry</w:t>
            </w:r>
          </w:p>
        </w:tc>
      </w:tr>
      <w:tr>
        <w:tc>
          <w:tcPr>
            <w:tcW w:type="dxa" w:w="7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5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S$NEER resilience</w:t>
            </w:r>
          </w:p>
        </w:tc>
        <w:tc>
          <w:tcPr>
            <w:tcW w:type="dxa" w:w="15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58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Dollar risk-premium + inflows underpin SGD</w:t>
            </w:r>
          </w:p>
        </w:tc>
      </w:tr>
      <w:tr>
        <w:tc>
          <w:tcPr>
            <w:tcW w:type="dxa" w:w="7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3</w:t>
            </w:r>
          </w:p>
        </w:tc>
        <w:tc>
          <w:tcPr>
            <w:tcW w:type="dxa" w:w="253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IP miss</w:t>
            </w:r>
          </w:p>
        </w:tc>
        <w:tc>
          <w:tcPr>
            <w:tcW w:type="dxa" w:w="15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Growth</w:t>
            </w:r>
          </w:p>
        </w:tc>
        <w:tc>
          <w:tcPr>
            <w:tcW w:type="dxa" w:w="583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Industrial production 13.0% y/y vs 17.5 survey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FACT: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SG industrial production printed </w:t>
      </w:r>
      <w:r>
        <w:rPr>
          <w:rFonts w:ascii="Public Sans" w:hAnsi="Public Sans"/>
          <w:b/>
          <w:i w:val="0"/>
          <w:color w:val="3D3E3E"/>
          <w:sz w:val="19"/>
        </w:rPr>
        <w:t>13.0% y/y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on 26 Jun, a miss to the 17.5 survey (prior revised to 16.5). Singapore has no policy rate — MAS runs the S$NEER — so the trades are rates-carry and currency. </w:t>
      </w:r>
      <w:r>
        <w:rPr>
          <w:rFonts w:ascii="Public Sans" w:hAnsi="Public Sans"/>
          <w:b/>
          <w:i w:val="0"/>
          <w:color w:val="3D3E3E"/>
          <w:sz w:val="19"/>
        </w:rPr>
        <w:t>VIEW (GS 13372):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most clients still like </w:t>
      </w:r>
      <w:r>
        <w:rPr>
          <w:rFonts w:ascii="Public Sans" w:hAnsi="Public Sans"/>
          <w:b w:val="0"/>
          <w:i/>
          <w:color w:val="3D3E3E"/>
          <w:sz w:val="19"/>
        </w:rPr>
        <w:t>receiving front-end SORA for carry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, judging that current inflation and the speed of the USD rally are not enough to trigger MAS liquidity tightening in 2H. </w:t>
      </w:r>
      <w:r>
        <w:rPr>
          <w:rFonts w:ascii="Public Sans" w:hAnsi="Public Sans"/>
          <w:b/>
          <w:i w:val="0"/>
          <w:color w:val="3D3E3E"/>
          <w:sz w:val="19"/>
        </w:rPr>
        <w:t>VIEW (Barclays 12522):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SGD-NEER should stay relatively resilient on the broad dollar risk-premium narrative and foreign inflows.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IP miss is a growth wobble but doesn't touch the core view — the SG read is a carry + no-2H-MAS-tightening consensus.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MAS tightening in 2H-2026; front-end SORA carry attractive, SGD-NEER resilient.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GS (13372) receive-SORA carry; Barclays (12522) SGD-NEER resilience.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it's a consensus-crowded carry position — the risk isn't the base case but the exit, if a sharp USD rally forces MAS to lean on the slope.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878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5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187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3220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286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146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878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 (13372)</w:t>
            </w:r>
          </w:p>
        </w:tc>
        <w:tc>
          <w:tcPr>
            <w:tcW w:type="dxa" w:w="35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187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Receive front-end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SORA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 for carry</w:t>
            </w:r>
          </w:p>
        </w:tc>
        <w:tc>
          <w:tcPr>
            <w:tcW w:type="dxa" w:w="3220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Positioning/colour from SG client meetings, not a model call</w:t>
            </w:r>
          </w:p>
        </w:tc>
        <w:tc>
          <w:tcPr>
            <w:tcW w:type="dxa" w:w="286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MAS holds; USD rally too slow to force tightening</w:t>
            </w:r>
          </w:p>
        </w:tc>
        <w:tc>
          <w:tcPr>
            <w:tcW w:type="dxa" w:w="14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MAS tightens slope in Oct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Philippines — quiet after the hike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14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522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380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4186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114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1522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BSP hike</w:t>
            </w:r>
          </w:p>
        </w:tc>
        <w:tc>
          <w:tcPr>
            <w:tcW w:type="dxa" w:w="380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4186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+25 to 4.75% on 18 Jun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B–D (short, honest note):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Beyond the 18 Jun BSP hike to 4.75% (from 4.50%, cb_events), nothing PH-specific resonated in the 24–26 Jun flow — PH appears in cross-EM forecast tables (Barclays USDPHP path 60.0–62.0; BofA) but no differentiated stand-alone PH note landed in the window. No econ.fact_indicator depth loaded for PH. Consensus (implicit, from forecast tables): BSP holds after the June hike, peso range-bound. No differentiated single-country view to surface. </w:t>
      </w:r>
      <w:r>
        <w:rPr>
          <w:rFonts w:ascii="Public Sans" w:hAnsi="Public Sans"/>
          <w:b/>
          <w:i w:val="0"/>
          <w:color w:val="3D3E3E"/>
          <w:sz w:val="19"/>
        </w:rPr>
        <w:t>Calendar-only / no differentiated flow this window.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New Zealand — the "confident-cuts" counterpart to AU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A. Themes in play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659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41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2197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Puzzle piece</w:t>
            </w:r>
          </w:p>
        </w:tc>
        <w:tc>
          <w:tcPr>
            <w:tcW w:type="dxa" w:w="538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What drove it</w:t>
            </w:r>
          </w:p>
        </w:tc>
      </w:tr>
      <w:tr>
        <w:tc>
          <w:tcPr>
            <w:tcW w:type="dxa" w:w="65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1</w:t>
            </w:r>
          </w:p>
        </w:tc>
        <w:tc>
          <w:tcPr>
            <w:tcW w:type="dxa" w:w="241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RBNZ easing confidence</w:t>
            </w:r>
          </w:p>
        </w:tc>
        <w:tc>
          <w:tcPr>
            <w:tcW w:type="dxa" w:w="21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CB reaction function</w:t>
            </w:r>
          </w:p>
        </w:tc>
        <w:tc>
          <w:tcPr>
            <w:tcW w:type="dxa" w:w="53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Houses see inflation undershooting RBNZ forecasts</w:t>
            </w:r>
          </w:p>
        </w:tc>
      </w:tr>
      <w:tr>
        <w:tc>
          <w:tcPr>
            <w:tcW w:type="dxa" w:w="659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2</w:t>
            </w:r>
          </w:p>
        </w:tc>
        <w:tc>
          <w:tcPr>
            <w:tcW w:type="dxa" w:w="241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NZD vs AUD</w:t>
            </w:r>
          </w:p>
        </w:tc>
        <w:tc>
          <w:tcPr>
            <w:tcW w:type="dxa" w:w="219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Currency</w:t>
            </w:r>
          </w:p>
        </w:tc>
        <w:tc>
          <w:tcPr>
            <w:tcW w:type="dxa" w:w="538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  <w:shd w:val="clear" w:color="auto" w:fill="F1F5F2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 cuts vs AU stuck</w:t>
            </w:r>
          </w:p>
        </w:tc>
      </w:tr>
    </w:tbl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B. The "why" (SYN + VIEW)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 xml:space="preserve">NZ is covered almost entirely as the mirror of Australia. </w:t>
      </w:r>
      <w:r>
        <w:rPr>
          <w:rFonts w:ascii="Public Sans" w:hAnsi="Public Sans"/>
          <w:b/>
          <w:i w:val="0"/>
          <w:color w:val="3D3E3E"/>
          <w:sz w:val="19"/>
        </w:rPr>
        <w:t>VIEW (GS 13195):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"RBNZ Confidence" — GS expects inflation to </w:t>
      </w:r>
      <w:r>
        <w:rPr>
          <w:rFonts w:ascii="Public Sans" w:hAnsi="Public Sans"/>
          <w:b w:val="0"/>
          <w:i/>
          <w:color w:val="3D3E3E"/>
          <w:sz w:val="19"/>
        </w:rPr>
        <w:t>undershoot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RBNZ forecasts, giving the RBNZ room to keep easing (OCR 2.25%, held 27 May, next 8 Jul). </w:t>
      </w:r>
      <w:r>
        <w:rPr>
          <w:rFonts w:ascii="Public Sans" w:hAnsi="Public Sans"/>
          <w:b/>
          <w:i w:val="0"/>
          <w:color w:val="3D3E3E"/>
          <w:sz w:val="19"/>
        </w:rPr>
        <w:t>VIEW (JPM 12942):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positioning should favour NZD over AUD precisely because RBNZ can cut while the RBA is stuck on sticky trimmed mean. </w:t>
      </w:r>
      <w:r>
        <w:rPr>
          <w:rFonts w:ascii="Public Sans" w:hAnsi="Public Sans"/>
          <w:b/>
          <w:i w:val="0"/>
          <w:color w:val="3D3E3E"/>
          <w:sz w:val="19"/>
        </w:rPr>
        <w:t>SYN: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NZ has deep econ.fact_indicator depth (1,112 series) but no NZ-specific data printed in this window (last obs 31 May) — so this is a reaction-function/relative-value read, not a data day. The RBNZ-confident / RBA-uncertain split is the single cleanest cross in the APAC flow.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C. Consensus views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Shared claim (≥2 banks):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RBNZ has more easing room than the RBA; NZ inflation undershoots. </w:t>
      </w:r>
      <w:r>
        <w:rPr>
          <w:rFonts w:ascii="Public Sans" w:hAnsi="Public Sans"/>
          <w:b/>
          <w:i w:val="0"/>
          <w:color w:val="3D3E3E"/>
          <w:sz w:val="19"/>
        </w:rPr>
        <w:t>Evidence: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GS (13195) undershoot call; JPM (12942) NZD-over-AUD. </w:t>
      </w:r>
      <w:r>
        <w:rPr>
          <w:rFonts w:ascii="Public Sans" w:hAnsi="Public Sans"/>
          <w:b/>
          <w:i w:val="0"/>
          <w:color w:val="3D3E3E"/>
          <w:sz w:val="19"/>
        </w:rPr>
        <w:t>What consensus is missing (SYN):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trade is a </w:t>
      </w:r>
      <w:r>
        <w:rPr>
          <w:rFonts w:ascii="Public Sans" w:hAnsi="Public Sans"/>
          <w:b w:val="0"/>
          <w:i/>
          <w:color w:val="3D3E3E"/>
          <w:sz w:val="19"/>
        </w:rPr>
        <w:t>relative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one — if AU inflation rolls over faster than expected, the RBA catches down to the RBNZ and the divergence trade compresses.</w:t>
      </w:r>
    </w:p>
    <w:p>
      <w:pPr>
        <w:spacing w:after="80" w:line="283" w:lineRule="auto"/>
      </w:pPr>
      <w:r>
        <w:rPr>
          <w:rFonts w:ascii="Public Sans" w:hAnsi="Public Sans"/>
          <w:b w:val="0"/>
          <w:i w:val="0"/>
          <w:color w:val="3D3E3E"/>
          <w:sz w:val="19"/>
        </w:rPr>
        <w:t>#### D. Differentiated / unique 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CD8"/>
          <w:left w:val="single" w:sz="4" w:space="0" w:color="D9DCD8"/>
          <w:bottom w:val="single" w:sz="4" w:space="0" w:color="D9DCD8"/>
          <w:right w:val="single" w:sz="4" w:space="0" w:color="D9DCD8"/>
          <w:insideH w:val="single" w:sz="4" w:space="0" w:color="D9DCD8"/>
          <w:insideV w:val="single" w:sz="4" w:space="0" w:color="D9DCD8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903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Bank</w:t>
            </w:r>
          </w:p>
        </w:tc>
        <w:tc>
          <w:tcPr>
            <w:tcW w:type="dxa" w:w="36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31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3311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Why different</w:t>
            </w:r>
          </w:p>
        </w:tc>
        <w:tc>
          <w:tcPr>
            <w:tcW w:type="dxa" w:w="1505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Hidden assumption</w:t>
            </w:r>
          </w:p>
        </w:tc>
        <w:tc>
          <w:tcPr>
            <w:tcW w:type="dxa" w:w="1264"/>
            <w:shd w:val="clear" w:color="auto" w:fill="004527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Public Sans" w:hAnsi="Public Sans"/>
                <w:b/>
                <w:color w:val="FFFFFF"/>
                <w:sz w:val="16"/>
              </w:rPr>
              <w:t>Falsifier</w:t>
            </w:r>
          </w:p>
        </w:tc>
      </w:tr>
      <w:tr>
        <w:tc>
          <w:tcPr>
            <w:tcW w:type="dxa" w:w="903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Goldman (13195)</w:t>
            </w:r>
          </w:p>
        </w:tc>
        <w:tc>
          <w:tcPr>
            <w:tcW w:type="dxa" w:w="36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Rates</w:t>
            </w:r>
          </w:p>
        </w:tc>
        <w:tc>
          <w:tcPr>
            <w:tcW w:type="dxa" w:w="3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 xml:space="preserve">RBNZ eases with </w:t>
            </w:r>
            <w:r>
              <w:rPr>
                <w:rFonts w:ascii="Public Sans" w:hAnsi="Public Sans"/>
                <w:b/>
                <w:i w:val="0"/>
                <w:color w:val="3D3E3E"/>
                <w:sz w:val="16"/>
              </w:rPr>
              <w:t>confidence</w:t>
            </w: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; inflation undershoots forecasts</w:t>
            </w:r>
          </w:p>
        </w:tc>
        <w:tc>
          <w:tcPr>
            <w:tcW w:type="dxa" w:w="3311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Pairs high-conviction NZ against explicitly-uncertain AU</w:t>
            </w:r>
          </w:p>
        </w:tc>
        <w:tc>
          <w:tcPr>
            <w:tcW w:type="dxa" w:w="1505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 disinflation sustained</w:t>
            </w:r>
          </w:p>
        </w:tc>
        <w:tc>
          <w:tcPr>
            <w:tcW w:type="dxa" w:w="1264"/>
            <w:tcMar>
              <w:top w:w="40" w:type="dxa"/>
              <w:bottom w:w="40" w:type="dxa"/>
              <w:start w:w="80" w:type="dxa"/>
              <w:end w:w="80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</w:pPr>
            <w:r>
              <w:rPr>
                <w:rFonts w:ascii="Public Sans" w:hAnsi="Public Sans"/>
                <w:b w:val="0"/>
                <w:i w:val="0"/>
                <w:color w:val="3D3E3E"/>
                <w:sz w:val="16"/>
              </w:rPr>
              <w:t>NZ inflation re-firms</w:t>
            </w:r>
          </w:p>
        </w:tc>
      </w:tr>
    </w:tbl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United Kingdom — calendar-only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A–D (short, honest note):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differentiated UK single-country note resonated in the 24–26 Jun flow; the UK appears only in cross-house global forecast tables (BoE Bank Rate 3.75% held 18 Jun, cb_events; houses split on the timing of the </w:t>
      </w:r>
      <w:r>
        <w:rPr>
          <w:rFonts w:ascii="Public Sans" w:hAnsi="Public Sans"/>
          <w:b w:val="0"/>
          <w:i/>
          <w:color w:val="3D3E3E"/>
          <w:sz w:val="19"/>
        </w:rPr>
        <w:t>next cut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, generally H2-2027 in the tables — Barclays 12897, HSBC 13112). Imminent: mortgage approvals (29 Jun, 63.0 survey) and final Q1 GDP (30 Jun, 0.6% q/q). </w:t>
      </w:r>
      <w:r>
        <w:rPr>
          <w:rFonts w:ascii="Public Sans" w:hAnsi="Public Sans"/>
          <w:b/>
          <w:i w:val="0"/>
          <w:color w:val="3D3E3E"/>
          <w:sz w:val="19"/>
        </w:rPr>
        <w:t>UK econ.fact_indicator depth is thin (6 series) — say so, no depth faked.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Consensus (from tables): BoE on hold; no near-term move. No differentiated view to surface.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00" w:after="60"/>
        <w:keepNext/>
        <w:pBdr>
          <w:bottom w:val="single" w:sz="4" w:space="2" w:color="E0E9E4"/>
        </w:pBdr>
      </w:pPr>
      <w:r>
        <w:rPr>
          <w:rFonts w:ascii="Georgia" w:hAnsi="Georgia"/>
          <w:b/>
          <w:color w:val="4D806A"/>
          <w:sz w:val="23"/>
        </w:rPr>
        <w:t>Canada — calendar-only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A–D (short, honest note):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differentiated Canada single-country note in the window; BoC held at 2.25% on 10 Jun (cb_events), appearing only in global forecast tables. The live item is imminent, not printed: </w:t>
      </w:r>
      <w:r>
        <w:rPr>
          <w:rFonts w:ascii="Public Sans" w:hAnsi="Public Sans"/>
          <w:b/>
          <w:i w:val="0"/>
          <w:color w:val="3D3E3E"/>
          <w:sz w:val="19"/>
        </w:rPr>
        <w:t>GDP MoM on 30 Jun (survey 0.4% vs prior −0.1%)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— a rebound the tables expect. </w:t>
      </w:r>
      <w:r>
        <w:rPr>
          <w:rFonts w:ascii="Public Sans" w:hAnsi="Public Sans"/>
          <w:b/>
          <w:i w:val="0"/>
          <w:color w:val="3D3E3E"/>
          <w:sz w:val="19"/>
        </w:rPr>
        <w:t>CA econ.fact_indicator depth is thin (4 series, stale to Apr) — no depth faked.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No differentiated view to surface this window. </w:t>
      </w:r>
      <w:r>
        <w:rPr>
          <w:rFonts w:ascii="Public Sans" w:hAnsi="Public Sans"/>
          <w:b/>
          <w:i w:val="0"/>
          <w:color w:val="3D3E3E"/>
          <w:sz w:val="19"/>
        </w:rPr>
        <w:t>Calendar-only.</w:t>
      </w:r>
    </w:p>
    <w:p>
      <w:pPr>
        <w:spacing w:before="80" w:after="80"/>
        <w:pBdr>
          <w:bottom w:val="single" w:sz="6" w:space="2" w:color="D9DCD8"/>
        </w:pBdr>
      </w:pPr>
    </w:p>
    <w:p>
      <w:pPr>
        <w:spacing w:before="240" w:after="100"/>
        <w:keepNext/>
        <w:pBdr>
          <w:bottom w:val="single" w:sz="6" w:space="2" w:color="D9DCD8"/>
        </w:pBdr>
      </w:pPr>
      <w:r>
        <w:rPr>
          <w:rFonts w:ascii="Georgia" w:hAnsi="Georgia"/>
          <w:b/>
          <w:color w:val="004527"/>
          <w:sz w:val="27"/>
        </w:rPr>
        <w:t>5. Grounding ledger</w:t>
      </w:r>
    </w:p>
    <w:p>
      <w:pPr>
        <w:spacing w:after="80" w:line="283" w:lineRule="auto"/>
      </w:pPr>
      <w:r>
        <w:rPr>
          <w:rFonts w:ascii="Public Sans" w:hAnsi="Public Sans"/>
          <w:b w:val="0"/>
          <w:i/>
          <w:color w:val="3D3E3E"/>
          <w:sz w:val="19"/>
        </w:rPr>
        <w:t>Sources and layers only. Three layers kept separate: what printed (cb_events) · component depth (fact_indicator) · views/trades/quotes (fact_chunk + Qdrant semantic search + ingested Outlook rows). Confidence and disagreements flagged.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Layer 1 — What printed + surprise (calendar.cb_events).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All policy-rate levels, last-move dates, held/hiked/cut tags, and the §2 actual/survey/prior figures are read directly from cb_events rows for country_ids 3/7/20/22/24/26/27/30/31/35/37/42/43/46/47, event_date window 24–26 Jun (plus last-decision lookback and next-meeting forward scan). RBA hiking sequence (3.60→3.85→4.10→4.35, Feb–May) verified against four dated decision rows. BoJ +25→1.00, ID +25→5.75, PH +25→4.75 all verified against dated rows. Banxico (MX) held 6.5% and BoT held 1.0% verified.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Layer 2 — Component depth (econ.fact_indicator).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Deep and used: </w:t>
      </w:r>
      <w:r>
        <w:rPr>
          <w:rFonts w:ascii="Public Sans" w:hAnsi="Public Sans"/>
          <w:b/>
          <w:i w:val="0"/>
          <w:color w:val="3D3E3E"/>
          <w:sz w:val="19"/>
        </w:rPr>
        <w:t>AU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(539 series; CPI headline/trimmed-mean/weighted-median + goods/services/non-tradables/housing/rents/new-dwelling/electricity components, latest obs 2026-05-01 — the print released 24 Jun); </w:t>
      </w:r>
      <w:r>
        <w:rPr>
          <w:rFonts w:ascii="Public Sans" w:hAnsi="Public Sans"/>
          <w:b/>
          <w:i w:val="0"/>
          <w:color w:val="3D3E3E"/>
          <w:sz w:val="19"/>
        </w:rPr>
        <w:t>US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(219 series; core &amp; headline PCE chain indices + real PCE, latest obs 2026-05-01 — the May print released 25 Jun); </w:t>
      </w:r>
      <w:r>
        <w:rPr>
          <w:rFonts w:ascii="Public Sans" w:hAnsi="Public Sans"/>
          <w:b/>
          <w:i w:val="0"/>
          <w:color w:val="3D3E3E"/>
          <w:sz w:val="19"/>
        </w:rPr>
        <w:t>IN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(1,459), </w:t>
      </w:r>
      <w:r>
        <w:rPr>
          <w:rFonts w:ascii="Public Sans" w:hAnsi="Public Sans"/>
          <w:b/>
          <w:i w:val="0"/>
          <w:color w:val="3D3E3E"/>
          <w:sz w:val="19"/>
        </w:rPr>
        <w:t>NZ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(1,112), </w:t>
      </w:r>
      <w:r>
        <w:rPr>
          <w:rFonts w:ascii="Public Sans" w:hAnsi="Public Sans"/>
          <w:b/>
          <w:i w:val="0"/>
          <w:color w:val="3D3E3E"/>
          <w:sz w:val="19"/>
        </w:rPr>
        <w:t>ID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(303), </w:t>
      </w:r>
      <w:r>
        <w:rPr>
          <w:rFonts w:ascii="Public Sans" w:hAnsi="Public Sans"/>
          <w:b/>
          <w:i w:val="0"/>
          <w:color w:val="3D3E3E"/>
          <w:sz w:val="19"/>
        </w:rPr>
        <w:t>HK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(29) available. </w:t>
      </w:r>
      <w:r>
        <w:rPr>
          <w:rFonts w:ascii="Public Sans" w:hAnsi="Public Sans"/>
          <w:b/>
          <w:i w:val="0"/>
          <w:color w:val="3D3E3E"/>
          <w:sz w:val="19"/>
        </w:rPr>
        <w:t>Thin/absent — no depth faked: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JP (5 series, stale to Apr), CA (4, stale to Apr), UK (6). </w:t>
      </w:r>
      <w:r>
        <w:rPr>
          <w:rFonts w:ascii="Public Sans" w:hAnsi="Public Sans"/>
          <w:b/>
          <w:i w:val="0"/>
          <w:color w:val="3D3E3E"/>
          <w:sz w:val="19"/>
        </w:rPr>
        <w:t>No econ.fact_indicator rows at all: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TH, MY, SG, PH — those reads are cb_events + sell-side only, stated inline.</w:t>
      </w:r>
    </w:p>
    <w:p>
      <w:pPr>
        <w:spacing w:after="80" w:line="283" w:lineRule="auto"/>
      </w:pPr>
      <w:r>
        <w:rPr>
          <w:rFonts w:ascii="Public Sans" w:hAnsi="Public Sans"/>
          <w:b/>
          <w:i w:val="0"/>
          <w:color w:val="3D3E3E"/>
          <w:sz w:val="19"/>
        </w:rPr>
        <w:t>Layer 3 — Views / trades / quotes (research.dim_report + research.fact_chunk + Qdrant semantic search + ingested Outlook rows).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~1,400 reports in the 24–26 Jun window across 20+ vendors. Per-theme Qdrant semantic queries run for: CB reaction-function/trades, India RBI/FCNR/rupee, US core-PCE/GDP/Fed, Japan BoJ/Tokyo-CPI/JGB, ASEAN (TH/ID/MY/SG/PH) rates-FX. Report IDs cited: </w:t>
      </w:r>
      <w:r>
        <w:rPr>
          <w:rFonts w:ascii="Public Sans" w:hAnsi="Public Sans"/>
          <w:b/>
          <w:i w:val="0"/>
          <w:color w:val="3D3E3E"/>
          <w:sz w:val="19"/>
        </w:rPr>
        <w:t>AU/NZ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13195, 12942, 12638, 12732, 12553, 12515, 12518, 13270, 12561, 13333; </w:t>
      </w:r>
      <w:r>
        <w:rPr>
          <w:rFonts w:ascii="Public Sans" w:hAnsi="Public Sans"/>
          <w:b/>
          <w:i w:val="0"/>
          <w:color w:val="3D3E3E"/>
          <w:sz w:val="19"/>
        </w:rPr>
        <w:t>US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13336, 13717, 13661, 13372; </w:t>
      </w:r>
      <w:r>
        <w:rPr>
          <w:rFonts w:ascii="Public Sans" w:hAnsi="Public Sans"/>
          <w:b/>
          <w:i w:val="0"/>
          <w:color w:val="3D3E3E"/>
          <w:sz w:val="19"/>
        </w:rPr>
        <w:t>IN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12546, 12522; </w:t>
      </w:r>
      <w:r>
        <w:rPr>
          <w:rFonts w:ascii="Public Sans" w:hAnsi="Public Sans"/>
          <w:b/>
          <w:i w:val="0"/>
          <w:color w:val="3D3E3E"/>
          <w:sz w:val="19"/>
        </w:rPr>
        <w:t>JP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13337, 13407, 12612; </w:t>
      </w:r>
      <w:r>
        <w:rPr>
          <w:rFonts w:ascii="Public Sans" w:hAnsi="Public Sans"/>
          <w:b/>
          <w:i w:val="0"/>
          <w:color w:val="3D3E3E"/>
          <w:sz w:val="19"/>
        </w:rPr>
        <w:t>HK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12523, 13372; </w:t>
      </w:r>
      <w:r>
        <w:rPr>
          <w:rFonts w:ascii="Public Sans" w:hAnsi="Public Sans"/>
          <w:b/>
          <w:i w:val="0"/>
          <w:color w:val="3D3E3E"/>
          <w:sz w:val="19"/>
        </w:rPr>
        <w:t>TH/ASEAN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13290, 13145, 13279; </w:t>
      </w:r>
      <w:r>
        <w:rPr>
          <w:rFonts w:ascii="Public Sans" w:hAnsi="Public Sans"/>
          <w:b/>
          <w:i w:val="0"/>
          <w:color w:val="3D3E3E"/>
          <w:sz w:val="19"/>
        </w:rPr>
        <w:t>ID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13084, 13279; </w:t>
      </w:r>
      <w:r>
        <w:rPr>
          <w:rFonts w:ascii="Public Sans" w:hAnsi="Public Sans"/>
          <w:b/>
          <w:i w:val="0"/>
          <w:color w:val="3D3E3E"/>
          <w:sz w:val="19"/>
        </w:rPr>
        <w:t>MY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13290, 12890; </w:t>
      </w:r>
      <w:r>
        <w:rPr>
          <w:rFonts w:ascii="Public Sans" w:hAnsi="Public Sans"/>
          <w:b/>
          <w:i w:val="0"/>
          <w:color w:val="3D3E3E"/>
          <w:sz w:val="19"/>
        </w:rPr>
        <w:t>SG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13372, 12522; cross-EM forecast tables 12897, 13112, 13657, 12688. Outlook desk-commentary rows (source_type=desk_commentary) present in the window for DB/GS/Nomura and folded into the flow read.</w:t>
      </w:r>
    </w:p>
    <w:p>
      <w:pPr>
        <w:spacing w:before="120" w:after="40"/>
        <w:keepNext/>
      </w:pPr>
      <w:r>
        <w:rPr>
          <w:rFonts w:ascii="Public Sans" w:hAnsi="Public Sans"/>
          <w:b/>
          <w:i w:val="0"/>
          <w:color w:val="001830"/>
          <w:sz w:val="19"/>
        </w:rPr>
        <w:t>Flags: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Unreconciled (AU CPI):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cb_events carries two AU CPI representations on 24 Jun — a "CPI YoY" row (actual 4.0 vs survey 4.3) and a separate "trimmed mean YoY" row (actual 3.6 vs survey 3.5). Both are shown; the headline-miss / core-beat split is the real signal and is flagged rather than collapsed.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Sell-side-reported, not yet BQL-booked (~95%):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RBA "+25 to 4.60" hike-path calls, the India "+85bp priced in 1y OIS," and next-hike timings (BoJ Q4, etc.) are from house forecast tables, not booked cb_events rows — tagged VIEW.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Not booked forward: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IN and CA next-meeting dates are not in cb_events; shown as estimated cadence.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HK stale row: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only HK rate row ("Composite Interest Rate") is dated 2008; HK is a currency board with no independent policy rate — represented as such, not as a live decision.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Indonesia instrument: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the specific standing-read instrument is PENDING DEEPAK — not asserted anywhere in this digest.</w:t>
      </w:r>
    </w:p>
    <w:p>
      <w:pPr>
        <w:spacing w:after="50" w:line="269" w:lineRule="auto"/>
        <w:ind w:left="259"/>
      </w:pPr>
      <w:r>
        <w:rPr>
          <w:rFonts w:ascii="Public Sans" w:hAnsi="Public Sans"/>
          <w:color w:val="4D806A"/>
          <w:sz w:val="16"/>
        </w:rPr>
        <w:t xml:space="preserve">▪  </w:t>
      </w:r>
      <w:r>
        <w:rPr>
          <w:rFonts w:ascii="Public Sans" w:hAnsi="Public Sans"/>
          <w:b/>
          <w:i w:val="0"/>
          <w:color w:val="3D3E3E"/>
          <w:sz w:val="19"/>
        </w:rPr>
        <w:t>PH / UK / CA:</w:t>
      </w:r>
      <w:r>
        <w:rPr>
          <w:rFonts w:ascii="Public Sans" w:hAnsi="Public Sans"/>
          <w:b w:val="0"/>
          <w:i w:val="0"/>
          <w:color w:val="3D3E3E"/>
          <w:sz w:val="19"/>
        </w:rPr>
        <w:t xml:space="preserve"> honest short notes — no differentiated single-country flow resonated in the window; not dropped.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8208"/>
      </w:tblGrid>
      <w:tr>
        <w:tc>
          <w:tcPr>
            <w:tcW w:type="dxa" w:w="2448"/>
            <w:shd w:val="clear" w:color="auto" w:fill="001830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4287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v-logo-negati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428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8"/>
            <w:shd w:val="clear" w:color="auto" w:fill="001830"/>
            <w:tcMar>
              <w:top w:w="150" w:type="dxa"/>
              <w:bottom w:w="150" w:type="dxa"/>
              <w:start w:w="170" w:type="dxa"/>
              <w:end w:w="170" w:type="dxa"/>
              <w:left w:w="170" w:type="dxa"/>
              <w:right w:w="170" w:type="dxa"/>
            </w:tcMar>
            <w:vAlign w:val="center"/>
          </w:tcPr>
          <w:p>
            <w:pPr>
              <w:jc w:val="right"/>
            </w:pPr>
            <w:r>
              <w:rPr>
                <w:rFonts w:ascii="Public Sans" w:hAnsi="Public Sans"/>
                <w:b/>
                <w:color w:val="FFFFFF"/>
                <w:sz w:val="18"/>
              </w:rPr>
              <w:t>RV Capital  ·  Daily Macro Research Digest (Spider · demo)</w:t>
            </w:r>
          </w:p>
          <w:p>
            <w:pPr>
              <w:spacing w:before="40"/>
              <w:jc w:val="right"/>
            </w:pPr>
            <w:r>
              <w:rPr>
                <w:rFonts w:ascii="Public Sans" w:hAnsi="Public Sans"/>
                <w:color w:val="85A2BE"/>
                <w:sz w:val="15"/>
              </w:rPr>
              <w:t>Opinion &amp; trade-extraction tool, not a clipping service. Internal use only — not investment advice.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/>
        <w:color w:val="7A7C7C"/>
        <w:sz w:val="15"/>
      </w:rPr>
      <w:t xml:space="preserve">RV Capital  ·  Daily Macro Research Digest (Spider · demo)  ·  page </w:t>
    </w:r>
    <w:fldSimple w:instr="PAGE">
      <w:r>
        <w:rPr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Public Sans" w:hAnsi="Public Sans"/>
      <w:color w:val="3D3E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