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36"/>
        <w:gridCol w:w="7920"/>
      </w:tblGrid>
      <w:tr>
        <w:tc>
          <w:tcPr>
            <w:tcW w:type="dxa" w:w="2736"/>
            <w:shd w:val="clear" w:color="auto" w:fill="004527"/>
            <w:tcMar>
              <w:top w:w="140" w:type="dxa"/>
              <w:bottom w:w="140" w:type="dxa"/>
              <w:start w:w="170" w:type="dxa"/>
              <w:end w:w="170" w:type="dxa"/>
              <w:left w:w="170" w:type="dxa"/>
              <w:right w:w="170" w:type="dxa"/>
            </w:tcMar>
            <w:vAlign w:val="center"/>
          </w:tcPr>
          <w:p>
            <w:r>
              <w:drawing>
                <wp:inline xmlns:a="http://schemas.openxmlformats.org/drawingml/2006/main" xmlns:pic="http://schemas.openxmlformats.org/drawingml/2006/picture">
                  <wp:extent cx="1417320" cy="474645"/>
                  <wp:docPr id="1" name="Picture 1"/>
                  <wp:cNvGraphicFramePr>
                    <a:graphicFrameLocks noChangeAspect="1"/>
                  </wp:cNvGraphicFramePr>
                  <a:graphic>
                    <a:graphicData uri="http://schemas.openxmlformats.org/drawingml/2006/picture">
                      <pic:pic>
                        <pic:nvPicPr>
                          <pic:cNvPr id="0" name="rv-logo-negative.png"/>
                          <pic:cNvPicPr/>
                        </pic:nvPicPr>
                        <pic:blipFill>
                          <a:blip r:embed="rId9"/>
                          <a:stretch>
                            <a:fillRect/>
                          </a:stretch>
                        </pic:blipFill>
                        <pic:spPr>
                          <a:xfrm>
                            <a:off x="0" y="0"/>
                            <a:ext cx="1417320" cy="474645"/>
                          </a:xfrm>
                          <a:prstGeom prst="rect"/>
                        </pic:spPr>
                      </pic:pic>
                    </a:graphicData>
                  </a:graphic>
                </wp:inline>
              </w:drawing>
            </w:r>
          </w:p>
        </w:tc>
        <w:tc>
          <w:tcPr>
            <w:tcW w:type="dxa" w:w="7920"/>
            <w:shd w:val="clear" w:color="auto" w:fill="004527"/>
            <w:tcMar>
              <w:top w:w="140" w:type="dxa"/>
              <w:bottom w:w="140" w:type="dxa"/>
              <w:start w:w="170" w:type="dxa"/>
              <w:end w:w="170" w:type="dxa"/>
              <w:left w:w="170" w:type="dxa"/>
              <w:right w:w="170" w:type="dxa"/>
            </w:tcMar>
            <w:vAlign w:val="center"/>
          </w:tcPr>
          <w:p>
            <w:pPr>
              <w:spacing w:after="0"/>
              <w:jc w:val="right"/>
            </w:pPr>
            <w:r>
              <w:rPr>
                <w:rFonts w:ascii="Georgia" w:hAnsi="Georgia"/>
                <w:b/>
                <w:color w:val="FFFFFF"/>
                <w:sz w:val="38"/>
              </w:rPr>
              <w:t>Spider — Daily Macro Research Digest</w:t>
            </w:r>
          </w:p>
          <w:p>
            <w:pPr>
              <w:spacing w:before="40" w:after="0"/>
              <w:jc w:val="right"/>
            </w:pPr>
            <w:r>
              <w:rPr>
                <w:rFonts w:ascii="Public Sans" w:hAnsi="Public Sans"/>
                <w:color w:val="B2D0B9"/>
                <w:sz w:val="20"/>
              </w:rPr>
              <w:t>Rates / FX desk  ·  2026-07-02  ·  Daily</w:t>
            </w:r>
          </w:p>
        </w:tc>
      </w:tr>
    </w:tbl>
    <w:p>
      <w:pPr>
        <w:spacing w:before="120" w:after="160"/>
        <w:pBdr>
          <w:bottom w:val="single" w:sz="12" w:space="2" w:color="004527"/>
        </w:pBdr>
      </w:pPr>
    </w:p>
    <w:p>
      <w:pPr>
        <w:spacing w:after="80" w:line="283" w:lineRule="auto"/>
      </w:pPr>
      <w:r>
        <w:rPr>
          <w:rFonts w:ascii="Public Sans" w:hAnsi="Public Sans"/>
          <w:b/>
          <w:i w:val="0"/>
          <w:color w:val="3D3E3E"/>
          <w:sz w:val="19"/>
        </w:rPr>
        <w:t>Window:</w:t>
      </w:r>
      <w:r>
        <w:rPr>
          <w:rFonts w:ascii="Public Sans" w:hAnsi="Public Sans"/>
          <w:b w:val="0"/>
          <w:i w:val="0"/>
          <w:color w:val="3D3E3E"/>
          <w:sz w:val="19"/>
        </w:rPr>
        <w:t xml:space="preserve"> rolling day into 2026-07-02 (flow 2026-07-01 → 2026-07-02) · </w:t>
      </w:r>
      <w:r>
        <w:rPr>
          <w:rFonts w:ascii="Public Sans" w:hAnsi="Public Sans"/>
          <w:b/>
          <w:i w:val="0"/>
          <w:color w:val="3D3E3E"/>
          <w:sz w:val="19"/>
        </w:rPr>
        <w:t>Edition:</w:t>
      </w:r>
      <w:r>
        <w:rPr>
          <w:rFonts w:ascii="Public Sans" w:hAnsi="Public Sans"/>
          <w:b w:val="0"/>
          <w:i w:val="0"/>
          <w:color w:val="3D3E3E"/>
          <w:sz w:val="19"/>
        </w:rPr>
        <w:t xml:space="preserve"> Daily · </w:t>
      </w:r>
      <w:r>
        <w:rPr>
          <w:rFonts w:ascii="Public Sans" w:hAnsi="Public Sans"/>
          <w:b/>
          <w:i w:val="0"/>
          <w:color w:val="3D3E3E"/>
          <w:sz w:val="19"/>
        </w:rPr>
        <w:t>Universe:</w:t>
      </w:r>
      <w:r>
        <w:rPr>
          <w:rFonts w:ascii="Public Sans" w:hAnsi="Public Sans"/>
          <w:b w:val="0"/>
          <w:i w:val="0"/>
          <w:color w:val="3D3E3E"/>
          <w:sz w:val="19"/>
        </w:rPr>
        <w:t xml:space="preserve"> AU · NZ · JP · IN · TH · ID · MY · SG · HK · PH · US · CA · UK</w:t>
      </w:r>
    </w:p>
    <w:p>
      <w:pPr>
        <w:spacing w:after="80" w:line="283" w:lineRule="auto"/>
      </w:pPr>
      <w:r>
        <w:rPr>
          <w:rFonts w:ascii="Public Sans" w:hAnsi="Public Sans"/>
          <w:b w:val="0"/>
          <w:i w:val="0"/>
          <w:color w:val="3D3E3E"/>
          <w:sz w:val="19"/>
        </w:rPr>
        <w:t>&gt; FX/rates PM lens. Number-first, low-opinion. Sell-side is treated as motivated until the numbers say otherwise. Trades are surfaced with assumption + falsifier — never rated. Every table row is explained in the prose beneath it.</w:t>
      </w:r>
    </w:p>
    <w:p>
      <w:pPr>
        <w:spacing w:after="80" w:line="283" w:lineRule="auto"/>
      </w:pPr>
      <w:r>
        <w:rPr>
          <w:rFonts w:ascii="Public Sans" w:hAnsi="Public Sans"/>
          <w:b w:val="0"/>
          <w:i w:val="0"/>
          <w:color w:val="3D3E3E"/>
          <w:sz w:val="19"/>
        </w:rPr>
        <w:t>&gt;</w:t>
      </w:r>
    </w:p>
    <w:p>
      <w:pPr>
        <w:spacing w:after="80" w:line="283" w:lineRule="auto"/>
      </w:pPr>
      <w:r>
        <w:rPr>
          <w:rFonts w:ascii="Public Sans" w:hAnsi="Public Sans"/>
          <w:b w:val="0"/>
          <w:i w:val="0"/>
          <w:color w:val="3D3E3E"/>
          <w:sz w:val="19"/>
        </w:rPr>
        <w:t xml:space="preserve">&gt; </w:t>
      </w:r>
      <w:r>
        <w:rPr>
          <w:rFonts w:ascii="Public Sans" w:hAnsi="Public Sans"/>
          <w:b/>
          <w:i w:val="0"/>
          <w:color w:val="3D3E3E"/>
          <w:sz w:val="19"/>
        </w:rPr>
        <w:t>Grounding legend:</w:t>
      </w:r>
      <w:r>
        <w:rPr>
          <w:rFonts w:ascii="Public Sans" w:hAnsi="Public Sans"/>
          <w:b w:val="0"/>
          <w:i w:val="0"/>
          <w:color w:val="3D3E3E"/>
          <w:sz w:val="19"/>
        </w:rPr>
        <w:t xml:space="preserve"> FACT = printed/decision (calendar.cb_events) · DEPTH = component series (econ.fact_indicator) · VIEW = sell-side interpretation (research.fact_chunk + Qdrant) · PRICING = market-implied · SYN = synthesis.</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1. CB / macro dashboard</w:t>
      </w:r>
      <w:r>
        <w:rPr>
          <w:rFonts w:ascii="Public Sans" w:hAnsi="Public Sans"/>
          <w:i/>
          <w:color w:val="7A7C7C"/>
          <w:sz w:val="16"/>
        </w:rPr>
        <w:t xml:space="preserve">   FACT — calendar.cb_events</w:t>
      </w:r>
    </w:p>
    <w:p>
      <w:pPr>
        <w:spacing w:after="80" w:line="283" w:lineRule="auto"/>
      </w:pPr>
      <w:r>
        <w:rPr>
          <w:rFonts w:ascii="Public Sans" w:hAnsi="Public Sans"/>
          <w:b w:val="0"/>
          <w:i w:val="0"/>
          <w:color w:val="3D3E3E"/>
          <w:sz w:val="19"/>
        </w:rPr>
        <w:t>One row per covered country. Policy rate = last decided rate on a verified decision row; last move and next event verified against cb_events.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91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Country</w:t>
            </w:r>
          </w:p>
        </w:tc>
        <w:tc>
          <w:tcPr>
            <w:tcW w:type="dxa" w:w="104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Policy rate</w:t>
            </w:r>
          </w:p>
        </w:tc>
        <w:tc>
          <w:tcPr>
            <w:tcW w:type="dxa" w:w="305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Last move (verified)</w:t>
            </w:r>
          </w:p>
        </w:tc>
        <w:tc>
          <w:tcPr>
            <w:tcW w:type="dxa" w:w="207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Next scheduled</w:t>
            </w:r>
          </w:p>
        </w:tc>
        <w:tc>
          <w:tcPr>
            <w:tcW w:type="dxa" w:w="357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Bias / key issue</w:t>
            </w:r>
          </w:p>
        </w:tc>
      </w:tr>
      <w:tr>
        <w:tc>
          <w:tcPr>
            <w:tcW w:type="dxa" w:w="9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United States</w:t>
            </w:r>
          </w:p>
        </w:tc>
        <w:tc>
          <w:tcPr>
            <w:tcW w:type="dxa" w:w="10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3.75%</w:t>
            </w:r>
          </w:p>
        </w:tc>
        <w:tc>
          <w:tcPr>
            <w:tcW w:type="dxa" w:w="305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Held 2026-06-17 (dots revised </w:t>
            </w:r>
            <w:r>
              <w:rPr>
                <w:rFonts w:ascii="Public Sans" w:hAnsi="Public Sans"/>
                <w:b/>
                <w:i w:val="0"/>
                <w:color w:val="3D3E3E"/>
                <w:sz w:val="16"/>
              </w:rPr>
              <w:t>up</w:t>
            </w:r>
            <w:r>
              <w:rPr>
                <w:rFonts w:ascii="Public Sans" w:hAnsi="Public Sans"/>
                <w:b w:val="0"/>
                <w:i w:val="0"/>
                <w:color w:val="3D3E3E"/>
                <w:sz w:val="16"/>
              </w:rPr>
              <w:t>)</w:t>
            </w:r>
          </w:p>
        </w:tc>
        <w:tc>
          <w:tcPr>
            <w:tcW w:type="dxa" w:w="20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NFP 07-02; FOMC minutes 07-08</w:t>
            </w:r>
          </w:p>
        </w:tc>
        <w:tc>
          <w:tcPr>
            <w:tcW w:type="dxa" w:w="35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Hawkish repricing meets a dovish-tilted Warsh at Sintra (§4)</w:t>
            </w:r>
          </w:p>
        </w:tc>
      </w:tr>
      <w:tr>
        <w:tc>
          <w:tcPr>
            <w:tcW w:type="dxa" w:w="9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Japan</w:t>
            </w:r>
          </w:p>
        </w:tc>
        <w:tc>
          <w:tcPr>
            <w:tcW w:type="dxa" w:w="10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1.00%</w:t>
            </w:r>
          </w:p>
        </w:tc>
        <w:tc>
          <w:tcPr>
            <w:tcW w:type="dxa" w:w="305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Hiked +25bp</w:t>
            </w:r>
            <w:r>
              <w:rPr>
                <w:rFonts w:ascii="Public Sans" w:hAnsi="Public Sans"/>
                <w:b w:val="0"/>
                <w:i w:val="0"/>
                <w:color w:val="3D3E3E"/>
                <w:sz w:val="16"/>
              </w:rPr>
              <w:t xml:space="preserve"> 2026-06-16 (from 0.75%)</w:t>
            </w:r>
          </w:p>
        </w:tc>
        <w:tc>
          <w:tcPr>
            <w:tcW w:type="dxa" w:w="207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S&amp;P PMIs 07-03</w:t>
            </w:r>
          </w:p>
        </w:tc>
        <w:tc>
          <w:tcPr>
            <w:tcW w:type="dxa" w:w="357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Tankan firm; USD/JPY 162+, intervention threat escalated (not executed)</w:t>
            </w:r>
          </w:p>
        </w:tc>
      </w:tr>
      <w:tr>
        <w:tc>
          <w:tcPr>
            <w:tcW w:type="dxa" w:w="9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Indonesia</w:t>
            </w:r>
          </w:p>
        </w:tc>
        <w:tc>
          <w:tcPr>
            <w:tcW w:type="dxa" w:w="10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5.75%</w:t>
            </w:r>
          </w:p>
        </w:tc>
        <w:tc>
          <w:tcPr>
            <w:tcW w:type="dxa" w:w="305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Hiked +25bp</w:t>
            </w:r>
            <w:r>
              <w:rPr>
                <w:rFonts w:ascii="Public Sans" w:hAnsi="Public Sans"/>
                <w:b w:val="0"/>
                <w:i w:val="0"/>
                <w:color w:val="3D3E3E"/>
                <w:sz w:val="16"/>
              </w:rPr>
              <w:t xml:space="preserve"> 2026-06-18 (from 5.50; +25bp 06-09)</w:t>
            </w:r>
          </w:p>
        </w:tc>
        <w:tc>
          <w:tcPr>
            <w:tcW w:type="dxa" w:w="20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(post-window)</w:t>
            </w:r>
          </w:p>
        </w:tc>
        <w:tc>
          <w:tcPr>
            <w:tcW w:type="dxa" w:w="35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Inflation broadening; JPM sees further hikes to 6.00%</w:t>
            </w:r>
          </w:p>
        </w:tc>
      </w:tr>
      <w:tr>
        <w:tc>
          <w:tcPr>
            <w:tcW w:type="dxa" w:w="9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Australia</w:t>
            </w:r>
          </w:p>
        </w:tc>
        <w:tc>
          <w:tcPr>
            <w:tcW w:type="dxa" w:w="10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4.35%</w:t>
            </w:r>
          </w:p>
        </w:tc>
        <w:tc>
          <w:tcPr>
            <w:tcW w:type="dxa" w:w="305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Held 2026-06-16</w:t>
            </w:r>
          </w:p>
        </w:tc>
        <w:tc>
          <w:tcPr>
            <w:tcW w:type="dxa" w:w="207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RBA speech (Hunter) 07-08</w:t>
            </w:r>
          </w:p>
        </w:tc>
        <w:tc>
          <w:tcPr>
            <w:tcW w:type="dxa" w:w="357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Neutral-rate debate; houses split hold-vs-hike-risk; OIS ~17% a hike by Aug</w:t>
            </w:r>
          </w:p>
        </w:tc>
      </w:tr>
      <w:tr>
        <w:tc>
          <w:tcPr>
            <w:tcW w:type="dxa" w:w="9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New Zealand</w:t>
            </w:r>
          </w:p>
        </w:tc>
        <w:tc>
          <w:tcPr>
            <w:tcW w:type="dxa" w:w="10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2.25%</w:t>
            </w:r>
          </w:p>
        </w:tc>
        <w:tc>
          <w:tcPr>
            <w:tcW w:type="dxa" w:w="305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(prior decision)</w:t>
            </w:r>
          </w:p>
        </w:tc>
        <w:tc>
          <w:tcPr>
            <w:tcW w:type="dxa" w:w="20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RBNZ decision 2026-07-08</w:t>
            </w:r>
          </w:p>
        </w:tc>
        <w:tc>
          <w:tcPr>
            <w:tcW w:type="dxa" w:w="35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Hike-vs-hold split: ANZ +25bp Jul-8, Westpac hold→Sept (unreconciled)</w:t>
            </w:r>
          </w:p>
        </w:tc>
      </w:tr>
      <w:tr>
        <w:tc>
          <w:tcPr>
            <w:tcW w:type="dxa" w:w="9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United Kingdom</w:t>
            </w:r>
          </w:p>
        </w:tc>
        <w:tc>
          <w:tcPr>
            <w:tcW w:type="dxa" w:w="10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3.75%</w:t>
            </w:r>
          </w:p>
        </w:tc>
        <w:tc>
          <w:tcPr>
            <w:tcW w:type="dxa" w:w="305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Held 2026-06-18 (vote 7/2/0 — </w:t>
            </w:r>
            <w:r>
              <w:rPr>
                <w:rFonts w:ascii="Public Sans" w:hAnsi="Public Sans"/>
                <w:b/>
                <w:i w:val="0"/>
                <w:color w:val="3D3E3E"/>
                <w:sz w:val="16"/>
              </w:rPr>
              <w:t>2 hike dissents</w:t>
            </w:r>
            <w:r>
              <w:rPr>
                <w:rFonts w:ascii="Public Sans" w:hAnsi="Public Sans"/>
                <w:b w:val="0"/>
                <w:i w:val="0"/>
                <w:color w:val="3D3E3E"/>
                <w:sz w:val="16"/>
              </w:rPr>
              <w:t>)</w:t>
            </w:r>
          </w:p>
        </w:tc>
        <w:tc>
          <w:tcPr>
            <w:tcW w:type="dxa" w:w="207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Bailey 07-03; services PMI 07-03</w:t>
            </w:r>
          </w:p>
        </w:tc>
        <w:tc>
          <w:tcPr>
            <w:tcW w:type="dxa" w:w="357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Sticky inflation; hawkish vote drift; gilt-curve steepening thesis</w:t>
            </w:r>
          </w:p>
        </w:tc>
      </w:tr>
      <w:tr>
        <w:tc>
          <w:tcPr>
            <w:tcW w:type="dxa" w:w="9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Canada</w:t>
            </w:r>
          </w:p>
        </w:tc>
        <w:tc>
          <w:tcPr>
            <w:tcW w:type="dxa" w:w="10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2.25%</w:t>
            </w:r>
          </w:p>
        </w:tc>
        <w:tc>
          <w:tcPr>
            <w:tcW w:type="dxa" w:w="305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Held 2026-06-10</w:t>
            </w:r>
          </w:p>
        </w:tc>
        <w:tc>
          <w:tcPr>
            <w:tcW w:type="dxa" w:w="20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Business Outlook Survey 07-06</w:t>
            </w:r>
          </w:p>
        </w:tc>
        <w:tc>
          <w:tcPr>
            <w:tcW w:type="dxa" w:w="35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Steady BoC; weak growth</w:t>
            </w:r>
          </w:p>
        </w:tc>
      </w:tr>
      <w:tr>
        <w:tc>
          <w:tcPr>
            <w:tcW w:type="dxa" w:w="9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India</w:t>
            </w:r>
          </w:p>
        </w:tc>
        <w:tc>
          <w:tcPr>
            <w:tcW w:type="dxa" w:w="10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5.25%</w:t>
            </w:r>
          </w:p>
        </w:tc>
        <w:tc>
          <w:tcPr>
            <w:tcW w:type="dxa" w:w="305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Held 2026-06-05</w:t>
            </w:r>
          </w:p>
        </w:tc>
        <w:tc>
          <w:tcPr>
            <w:tcW w:type="dxa" w:w="207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Services PMI 07-03</w:t>
            </w:r>
          </w:p>
        </w:tc>
        <w:tc>
          <w:tcPr>
            <w:tcW w:type="dxa" w:w="357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RBI-inflows theme now the live axis; monsoon/food tail</w:t>
            </w:r>
          </w:p>
        </w:tc>
      </w:tr>
      <w:tr>
        <w:tc>
          <w:tcPr>
            <w:tcW w:type="dxa" w:w="9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Philippines</w:t>
            </w:r>
          </w:p>
        </w:tc>
        <w:tc>
          <w:tcPr>
            <w:tcW w:type="dxa" w:w="10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4.75%</w:t>
            </w:r>
          </w:p>
        </w:tc>
        <w:tc>
          <w:tcPr>
            <w:tcW w:type="dxa" w:w="305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Hiked +25bp</w:t>
            </w:r>
            <w:r>
              <w:rPr>
                <w:rFonts w:ascii="Public Sans" w:hAnsi="Public Sans"/>
                <w:b w:val="0"/>
                <w:i w:val="0"/>
                <w:color w:val="3D3E3E"/>
                <w:sz w:val="16"/>
              </w:rPr>
              <w:t xml:space="preserve"> 2026-06-18 (from 4.50)</w:t>
            </w:r>
          </w:p>
        </w:tc>
        <w:tc>
          <w:tcPr>
            <w:tcW w:type="dxa" w:w="20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(post-window)</w:t>
            </w:r>
          </w:p>
        </w:tc>
        <w:tc>
          <w:tcPr>
            <w:tcW w:type="dxa" w:w="35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EM-tightening cluster; external balance improving</w:t>
            </w:r>
          </w:p>
        </w:tc>
      </w:tr>
      <w:tr>
        <w:tc>
          <w:tcPr>
            <w:tcW w:type="dxa" w:w="9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Thailand</w:t>
            </w:r>
          </w:p>
        </w:tc>
        <w:tc>
          <w:tcPr>
            <w:tcW w:type="dxa" w:w="10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1.00%</w:t>
            </w:r>
          </w:p>
        </w:tc>
        <w:tc>
          <w:tcPr>
            <w:tcW w:type="dxa" w:w="305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Held 2026-06-24</w:t>
            </w:r>
          </w:p>
        </w:tc>
        <w:tc>
          <w:tcPr>
            <w:tcW w:type="dxa" w:w="207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BoT minutes 07-08</w:t>
            </w:r>
          </w:p>
        </w:tc>
        <w:tc>
          <w:tcPr>
            <w:tcW w:type="dxa" w:w="357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Soft prints; sell-side leans constructive on oil relief</w:t>
            </w:r>
          </w:p>
        </w:tc>
      </w:tr>
      <w:tr>
        <w:tc>
          <w:tcPr>
            <w:tcW w:type="dxa" w:w="9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Malaysia</w:t>
            </w:r>
          </w:p>
        </w:tc>
        <w:tc>
          <w:tcPr>
            <w:tcW w:type="dxa" w:w="10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2.75%</w:t>
            </w:r>
          </w:p>
        </w:tc>
        <w:tc>
          <w:tcPr>
            <w:tcW w:type="dxa" w:w="305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(prior decision)</w:t>
            </w:r>
          </w:p>
        </w:tc>
        <w:tc>
          <w:tcPr>
            <w:tcW w:type="dxa" w:w="20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BNM decision 2026-07-09</w:t>
            </w:r>
          </w:p>
        </w:tc>
        <w:tc>
          <w:tcPr>
            <w:tcW w:type="dxa" w:w="35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"La pausa" — houses expect hold</w:t>
            </w:r>
          </w:p>
        </w:tc>
      </w:tr>
      <w:tr>
        <w:tc>
          <w:tcPr>
            <w:tcW w:type="dxa" w:w="9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Hong Kong</w:t>
            </w:r>
          </w:p>
        </w:tc>
        <w:tc>
          <w:tcPr>
            <w:tcW w:type="dxa" w:w="10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USD peg / LAF</w:t>
            </w:r>
          </w:p>
        </w:tc>
        <w:tc>
          <w:tcPr>
            <w:tcW w:type="dxa" w:w="305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(linked to Fed)</w:t>
            </w:r>
          </w:p>
        </w:tc>
        <w:tc>
          <w:tcPr>
            <w:tcW w:type="dxa" w:w="207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p>
        </w:tc>
        <w:tc>
          <w:tcPr>
            <w:tcW w:type="dxa" w:w="357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Peg follows Fed; KRW/liquidity read a regional watch</w:t>
            </w:r>
          </w:p>
        </w:tc>
      </w:tr>
      <w:tr>
        <w:tc>
          <w:tcPr>
            <w:tcW w:type="dxa" w:w="9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Singapore</w:t>
            </w:r>
          </w:p>
        </w:tc>
        <w:tc>
          <w:tcPr>
            <w:tcW w:type="dxa" w:w="10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MAS S\$NEER band</w:t>
            </w:r>
          </w:p>
        </w:tc>
        <w:tc>
          <w:tcPr>
            <w:tcW w:type="dxa" w:w="305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(band, not a rate)</w:t>
            </w:r>
          </w:p>
        </w:tc>
        <w:tc>
          <w:tcPr>
            <w:tcW w:type="dxa" w:w="20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MAS review (July)</w:t>
            </w:r>
          </w:p>
        </w:tc>
        <w:tc>
          <w:tcPr>
            <w:tcW w:type="dxa" w:w="35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Live: houses lean to a slight July easing (re-centre/slope)</w:t>
            </w:r>
          </w:p>
        </w:tc>
      </w:tr>
    </w:tbl>
    <w:p>
      <w:pPr>
        <w:spacing w:after="80" w:line="283" w:lineRule="auto"/>
      </w:pPr>
      <w:r>
        <w:rPr>
          <w:rFonts w:ascii="Public Sans" w:hAnsi="Public Sans"/>
          <w:b/>
          <w:i w:val="0"/>
          <w:color w:val="3D3E3E"/>
          <w:sz w:val="19"/>
        </w:rPr>
        <w:t>SYN — state of the world:</w:t>
      </w:r>
      <w:r>
        <w:rPr>
          <w:rFonts w:ascii="Public Sans" w:hAnsi="Public Sans"/>
          <w:b w:val="0"/>
          <w:i w:val="0"/>
          <w:color w:val="3D3E3E"/>
          <w:sz w:val="19"/>
        </w:rPr>
        <w:t xml:space="preserve"> the window sits on a hawkish-repricing base — Fed dots up (current-year projection 3.8% from 3.4%, FACT 06-17), post-hike BoJ at 1.00%, June hikes from BI and BSP — but two crosswinds appeared this window. First, </w:t>
      </w:r>
      <w:r>
        <w:rPr>
          <w:rFonts w:ascii="Public Sans" w:hAnsi="Public Sans"/>
          <w:b/>
          <w:i w:val="0"/>
          <w:color w:val="3D3E3E"/>
          <w:sz w:val="19"/>
        </w:rPr>
        <w:t>Fed chair Warsh at Sintra struck a dovish-leaning tone</w:t>
      </w:r>
      <w:r>
        <w:rPr>
          <w:rFonts w:ascii="Public Sans" w:hAnsi="Public Sans"/>
          <w:b w:val="0"/>
          <w:i w:val="0"/>
          <w:color w:val="3D3E3E"/>
          <w:sz w:val="19"/>
        </w:rPr>
        <w:t xml:space="preserve"> ("inflation risks have come down"), reopening a two-way debate that the June dots had seemed to close. Second, </w:t>
      </w:r>
      <w:r>
        <w:rPr>
          <w:rFonts w:ascii="Public Sans" w:hAnsi="Public Sans"/>
          <w:b/>
          <w:i w:val="0"/>
          <w:color w:val="3D3E3E"/>
          <w:sz w:val="19"/>
        </w:rPr>
        <w:t>USD/JPY at 162+ pushed the intervention threat from verbal to near-imminent</w:t>
      </w:r>
      <w:r>
        <w:rPr>
          <w:rFonts w:ascii="Public Sans" w:hAnsi="Public Sans"/>
          <w:b w:val="0"/>
          <w:i w:val="0"/>
          <w:color w:val="3D3E3E"/>
          <w:sz w:val="19"/>
        </w:rPr>
        <w:t xml:space="preserve"> (an official interview signalling "decisive action") without an executed intervention on the record. The set-piece — </w:t>
      </w:r>
      <w:r>
        <w:rPr>
          <w:rFonts w:ascii="Public Sans" w:hAnsi="Public Sans"/>
          <w:b/>
          <w:i w:val="0"/>
          <w:color w:val="3D3E3E"/>
          <w:sz w:val="19"/>
        </w:rPr>
        <w:t>US June payrolls (07-02)</w:t>
      </w:r>
      <w:r>
        <w:rPr>
          <w:rFonts w:ascii="Public Sans" w:hAnsi="Public Sans"/>
          <w:b w:val="0"/>
          <w:i w:val="0"/>
          <w:color w:val="3D3E3E"/>
          <w:sz w:val="19"/>
        </w:rPr>
        <w:t xml:space="preserve"> — had not printed into cb_events at run time; the flow is a preview, not a reaction.</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2. Calendar — releases + CB events with rate relevance</w:t>
      </w:r>
      <w:r>
        <w:rPr>
          <w:rFonts w:ascii="Public Sans" w:hAnsi="Public Sans"/>
          <w:i/>
          <w:color w:val="7A7C7C"/>
          <w:sz w:val="16"/>
        </w:rPr>
        <w:t xml:space="preserve">   FACT — cb_events; pure calendar, no view</w:t>
      </w:r>
    </w:p>
    <w:p>
      <w:pPr>
        <w:spacing w:after="80" w:line="283" w:lineRule="auto"/>
      </w:pPr>
      <w:r>
        <w:rPr>
          <w:rFonts w:ascii="Public Sans" w:hAnsi="Public Sans"/>
          <w:b w:val="0"/>
          <w:i w:val="0"/>
          <w:color w:val="3D3E3E"/>
          <w:sz w:val="19"/>
        </w:rPr>
        <w:t>Consensus (survey/forecast) shown where present; actual shown only where the row carries one. Times UTC.</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43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Date</w:t>
            </w:r>
          </w:p>
        </w:tc>
        <w:tc>
          <w:tcPr>
            <w:tcW w:type="dxa" w:w="50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Country</w:t>
            </w:r>
          </w:p>
        </w:tc>
        <w:tc>
          <w:tcPr>
            <w:tcW w:type="dxa" w:w="331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Event</w:t>
            </w:r>
          </w:p>
        </w:tc>
        <w:tc>
          <w:tcPr>
            <w:tcW w:type="dxa" w:w="208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Consensus</w:t>
            </w:r>
          </w:p>
        </w:tc>
        <w:tc>
          <w:tcPr>
            <w:tcW w:type="dxa" w:w="129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Prior</w:t>
            </w:r>
          </w:p>
        </w:tc>
        <w:tc>
          <w:tcPr>
            <w:tcW w:type="dxa" w:w="302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Actual (if printed)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ADP employment</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105K fcst / 118K survey</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122K</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ISM manufacturing</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53.6 fcst / 53.7 survey</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54.0</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ISM prices paid</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80 / 77.5 (BQL)</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82.1</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Fed chair Warsh speech</w:t>
            </w:r>
            <w:r>
              <w:rPr>
                <w:rFonts w:ascii="Public Sans" w:hAnsi="Public Sans"/>
                <w:b w:val="0"/>
                <w:i w:val="0"/>
                <w:color w:val="3D3E3E"/>
                <w:sz w:val="16"/>
              </w:rPr>
              <w:t xml:space="preserve"> (Sintra)</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delivered (VIEW-covered)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Consumer confidence</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34 / 32</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33.6</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ID</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CPI YoY</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3.1% / 3.2 (BQL)</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3.08%</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ID</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Trade balance</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\$4.0B</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\$0.09B</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HSBC mfg PMI final</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54.5</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not booked (declined to 3-mo low per VIEW)</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07-01</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UK</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Bailey speech; mfg PMI final</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53.1</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53.1</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US</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Non-farm payrolls</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114K survey / 110K fcst</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172K</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not booked at run</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Unemployment rate</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4.3%</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4.3%</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Average hourly earnings MoM</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0.2% fcst / 0.3% survey</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0.3%</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Initial jobless claims</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210K fcst / 220K survey</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215K</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Factory orders MoM</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1.9% fcst / 2.1% survey</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4.8%</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AU</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Trade balance</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A\$1.5B fcst / A\$2.2B survey</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A\$1.791B</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NZ</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Building permits MoM</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10.9%</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UK</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BoE credit conditions survey; Mann speech</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scheduled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CA</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S&amp;P Global mfg PMI</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53.4</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52.9</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07-02</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SG</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Purchasing Managers Index</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51.0</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booked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07-03</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JP</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S&amp;P PMIs (composite/services)</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52.5 / 51.8</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forward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07-03</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HSBC PMIs (composite/services)</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57.4 / 57.3</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forward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07-03</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UK</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Services/composite PMI; Bailey; DMP 1y CPI exp</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48.75 / 49.4</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48.7 / 49.4 / 3.7%</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forward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07-08</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NZ</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RBNZ interest-rate decision</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hold 2.25% (fcst)</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2.25%</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forward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07-08</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BoT meeting minutes</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forward</w:t>
            </w:r>
          </w:p>
        </w:tc>
      </w:tr>
      <w:tr>
        <w:tc>
          <w:tcPr>
            <w:tcW w:type="dxa" w:w="4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07-08</w:t>
            </w:r>
          </w:p>
        </w:tc>
        <w:tc>
          <w:tcPr>
            <w:tcW w:type="dxa" w:w="5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w:t>
            </w:r>
          </w:p>
        </w:tc>
        <w:tc>
          <w:tcPr>
            <w:tcW w:type="dxa" w:w="33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FOMC minutes</w:t>
            </w:r>
          </w:p>
        </w:tc>
        <w:tc>
          <w:tcPr>
            <w:tcW w:type="dxa" w:w="20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t>
            </w:r>
          </w:p>
        </w:tc>
        <w:tc>
          <w:tcPr>
            <w:tcW w:type="dxa" w:w="12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t>
            </w:r>
          </w:p>
        </w:tc>
        <w:tc>
          <w:tcPr>
            <w:tcW w:type="dxa" w:w="30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forward</w:t>
            </w:r>
          </w:p>
        </w:tc>
      </w:tr>
      <w:tr>
        <w:tc>
          <w:tcPr>
            <w:tcW w:type="dxa" w:w="4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07-09</w:t>
            </w:r>
          </w:p>
        </w:tc>
        <w:tc>
          <w:tcPr>
            <w:tcW w:type="dxa" w:w="5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MY</w:t>
            </w:r>
          </w:p>
        </w:tc>
        <w:tc>
          <w:tcPr>
            <w:tcW w:type="dxa" w:w="33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BNM interest-rate decision</w:t>
            </w:r>
          </w:p>
        </w:tc>
        <w:tc>
          <w:tcPr>
            <w:tcW w:type="dxa" w:w="208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hold 2.75% (fcst)</w:t>
            </w:r>
          </w:p>
        </w:tc>
        <w:tc>
          <w:tcPr>
            <w:tcW w:type="dxa" w:w="12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2.75%</w:t>
            </w:r>
          </w:p>
        </w:tc>
        <w:tc>
          <w:tcPr>
            <w:tcW w:type="dxa" w:w="302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forward</w:t>
            </w:r>
          </w:p>
        </w:tc>
      </w:tr>
    </w:tbl>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3. Cross-cutting trade-ideas table</w:t>
      </w:r>
      <w:r>
        <w:rPr>
          <w:rFonts w:ascii="Public Sans" w:hAnsi="Public Sans"/>
          <w:i/>
          <w:color w:val="7A7C7C"/>
          <w:sz w:val="16"/>
        </w:rPr>
        <w:t xml:space="preserve">   VIEW / trade recommendation — provenance tagged; not judged</w:t>
      </w:r>
    </w:p>
    <w:p>
      <w:pPr>
        <w:spacing w:after="80" w:line="283" w:lineRule="auto"/>
      </w:pPr>
      <w:r>
        <w:rPr>
          <w:rFonts w:ascii="Public Sans" w:hAnsi="Public Sans"/>
          <w:b w:val="0"/>
          <w:i w:val="0"/>
          <w:color w:val="3D3E3E"/>
          <w:sz w:val="19"/>
        </w:rPr>
        <w:t>Distilled from the fresh-window fact-chunk sweep + per-theme Qdrant search. Each row is expanded in the country read.</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4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t>
            </w:r>
          </w:p>
        </w:tc>
        <w:tc>
          <w:tcPr>
            <w:tcW w:type="dxa" w:w="22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Trade</w:t>
            </w:r>
          </w:p>
        </w:tc>
        <w:tc>
          <w:tcPr>
            <w:tcW w:type="dxa" w:w="218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Key driver / rationale</w:t>
            </w:r>
          </w:p>
        </w:tc>
        <w:tc>
          <w:tcPr>
            <w:tcW w:type="dxa" w:w="213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Assumption it rests on</w:t>
            </w:r>
          </w:p>
        </w:tc>
        <w:tc>
          <w:tcPr>
            <w:tcW w:type="dxa" w:w="197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c>
          <w:tcPr>
            <w:tcW w:type="dxa" w:w="185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Provenance (report_id)</w:t>
            </w:r>
          </w:p>
        </w:tc>
      </w:tr>
      <w:tr>
        <w:tc>
          <w:tcPr>
            <w:tcW w:type="dxa" w:w="2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22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Sell EUR/INR</w:t>
            </w:r>
          </w:p>
        </w:tc>
        <w:tc>
          <w:tcPr>
            <w:tcW w:type="dxa" w:w="21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RBI measures drive INR inflows; lower INR vol</w:t>
            </w:r>
          </w:p>
        </w:tc>
        <w:tc>
          <w:tcPr>
            <w:tcW w:type="dxa" w:w="213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FCNR(B) swap / ECB-related inflows land as designed</w:t>
            </w:r>
          </w:p>
        </w:tc>
        <w:tc>
          <w:tcPr>
            <w:tcW w:type="dxa" w:w="197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Inflow measures stall / global risk-off hits INR</w:t>
            </w:r>
          </w:p>
        </w:tc>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BNP FX (14665)</w:t>
            </w:r>
          </w:p>
        </w:tc>
      </w:tr>
      <w:tr>
        <w:tc>
          <w:tcPr>
            <w:tcW w:type="dxa" w:w="2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22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Take profit on 5y INR NDOIS receiver</w:t>
            </w:r>
          </w:p>
        </w:tc>
        <w:tc>
          <w:tcPr>
            <w:tcW w:type="dxa" w:w="21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Inflation concerns outweighed growth; move played out</w:t>
            </w:r>
          </w:p>
        </w:tc>
        <w:tc>
          <w:tcPr>
            <w:tcW w:type="dxa" w:w="213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Front-end has repriced enough; book it</w:t>
            </w:r>
          </w:p>
        </w:tc>
        <w:tc>
          <w:tcPr>
            <w:tcW w:type="dxa" w:w="197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Fresh dovish RBI shift extends the rally</w:t>
            </w:r>
          </w:p>
        </w:tc>
        <w:tc>
          <w:tcPr>
            <w:tcW w:type="dxa" w:w="18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Barclays EM FX &amp; Rates (14709)</w:t>
            </w:r>
          </w:p>
        </w:tc>
      </w:tr>
      <w:tr>
        <w:tc>
          <w:tcPr>
            <w:tcW w:type="dxa" w:w="2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22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Constructive </w:t>
            </w:r>
            <w:r>
              <w:rPr>
                <w:rFonts w:ascii="Public Sans" w:hAnsi="Public Sans"/>
                <w:b/>
                <w:i w:val="0"/>
                <w:color w:val="3D3E3E"/>
                <w:sz w:val="16"/>
              </w:rPr>
              <w:t>INR FX + bonds</w:t>
            </w:r>
          </w:p>
        </w:tc>
        <w:tc>
          <w:tcPr>
            <w:tcW w:type="dxa" w:w="21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Improving carry + narrowing C/A + RBI inflow measures</w:t>
            </w:r>
          </w:p>
        </w:tc>
        <w:tc>
          <w:tcPr>
            <w:tcW w:type="dxa" w:w="213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Carry holds; C/A deficit keeps narrowing</w:t>
            </w:r>
          </w:p>
        </w:tc>
        <w:tc>
          <w:tcPr>
            <w:tcW w:type="dxa" w:w="197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Oil re-spike widens C/A; carry erodes</w:t>
            </w:r>
          </w:p>
        </w:tc>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Goldman (14730)</w:t>
            </w:r>
          </w:p>
        </w:tc>
      </w:tr>
      <w:tr>
        <w:tc>
          <w:tcPr>
            <w:tcW w:type="dxa" w:w="2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22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Buy 10y TIPS with payer protection</w:t>
            </w:r>
          </w:p>
        </w:tc>
        <w:tc>
          <w:tcPr>
            <w:tcW w:type="dxa" w:w="21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Breakevens cheap; current Fed pricing "looks hawkish"</w:t>
            </w:r>
          </w:p>
        </w:tc>
        <w:tc>
          <w:tcPr>
            <w:tcW w:type="dxa" w:w="213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Real yields near range-top; hawkish pricing overdone</w:t>
            </w:r>
          </w:p>
        </w:tc>
        <w:tc>
          <w:tcPr>
            <w:tcW w:type="dxa" w:w="197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Inflation rolls over / real yields break higher</w:t>
            </w:r>
          </w:p>
        </w:tc>
        <w:tc>
          <w:tcPr>
            <w:tcW w:type="dxa" w:w="18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MS US Rates (14751)</w:t>
            </w:r>
          </w:p>
        </w:tc>
      </w:tr>
      <w:tr>
        <w:tc>
          <w:tcPr>
            <w:tcW w:type="dxa" w:w="2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5</w:t>
            </w:r>
          </w:p>
        </w:tc>
        <w:tc>
          <w:tcPr>
            <w:tcW w:type="dxa" w:w="22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Antipodean rates: </w:t>
            </w:r>
            <w:r>
              <w:rPr>
                <w:rFonts w:ascii="Public Sans" w:hAnsi="Public Sans"/>
                <w:b/>
                <w:i w:val="0"/>
                <w:color w:val="3D3E3E"/>
                <w:sz w:val="16"/>
              </w:rPr>
              <w:t>higher-for-longer / hike-risk</w:t>
            </w:r>
            <w:r>
              <w:rPr>
                <w:rFonts w:ascii="Public Sans" w:hAnsi="Public Sans"/>
                <w:b w:val="0"/>
                <w:i w:val="0"/>
                <w:color w:val="3D3E3E"/>
                <w:sz w:val="16"/>
              </w:rPr>
              <w:t xml:space="preserve"> bias</w:t>
            </w:r>
          </w:p>
        </w:tc>
        <w:tc>
          <w:tcPr>
            <w:tcW w:type="dxa" w:w="21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AU neutral-rate debate; OIS ~17% a hike by Aug</w:t>
            </w:r>
          </w:p>
        </w:tc>
        <w:tc>
          <w:tcPr>
            <w:tcW w:type="dxa" w:w="213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Sticky AU services inflation persists</w:t>
            </w:r>
          </w:p>
        </w:tc>
        <w:tc>
          <w:tcPr>
            <w:tcW w:type="dxa" w:w="197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Labour-market cracks re-price a cut</w:t>
            </w:r>
          </w:p>
        </w:tc>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Nomura (14304), BofA (14544), Westpac (14363)</w:t>
            </w:r>
          </w:p>
        </w:tc>
      </w:tr>
      <w:tr>
        <w:tc>
          <w:tcPr>
            <w:tcW w:type="dxa" w:w="2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6</w:t>
            </w:r>
          </w:p>
        </w:tc>
        <w:tc>
          <w:tcPr>
            <w:tcW w:type="dxa" w:w="22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NZ: position for </w:t>
            </w:r>
            <w:r>
              <w:rPr>
                <w:rFonts w:ascii="Public Sans" w:hAnsi="Public Sans"/>
                <w:b/>
                <w:i w:val="0"/>
                <w:color w:val="3D3E3E"/>
                <w:sz w:val="16"/>
              </w:rPr>
              <w:t>start of a hike cycle</w:t>
            </w:r>
            <w:r>
              <w:rPr>
                <w:rFonts w:ascii="Public Sans" w:hAnsi="Public Sans"/>
                <w:b w:val="0"/>
                <w:i w:val="0"/>
                <w:color w:val="3D3E3E"/>
                <w:sz w:val="16"/>
              </w:rPr>
              <w:t xml:space="preserve"> (timing split)</w:t>
            </w:r>
          </w:p>
        </w:tc>
        <w:tc>
          <w:tcPr>
            <w:tcW w:type="dxa" w:w="21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ANZ hike +25bp Jul-8; Westpac hold→Sept</w:t>
            </w:r>
          </w:p>
        </w:tc>
        <w:tc>
          <w:tcPr>
            <w:tcW w:type="dxa" w:w="213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RBNZ delivers its forecast path; oil-shock persists</w:t>
            </w:r>
          </w:p>
        </w:tc>
        <w:tc>
          <w:tcPr>
            <w:tcW w:type="dxa" w:w="197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Growth/oil undershoot → Governor holds</w:t>
            </w:r>
          </w:p>
        </w:tc>
        <w:tc>
          <w:tcPr>
            <w:tcW w:type="dxa" w:w="18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ANZ (14581), Westpac (14368)</w:t>
            </w:r>
          </w:p>
        </w:tc>
      </w:tr>
      <w:tr>
        <w:tc>
          <w:tcPr>
            <w:tcW w:type="dxa" w:w="2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7</w:t>
            </w:r>
          </w:p>
        </w:tc>
        <w:tc>
          <w:tcPr>
            <w:tcW w:type="dxa" w:w="22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Fade the yen move</w:t>
            </w:r>
            <w:r>
              <w:rPr>
                <w:rFonts w:ascii="Public Sans" w:hAnsi="Public Sans"/>
                <w:b w:val="0"/>
                <w:i w:val="0"/>
                <w:color w:val="3D3E3E"/>
                <w:sz w:val="16"/>
              </w:rPr>
              <w:t xml:space="preserve"> (close JPY shorts / take FX-vol profit)</w:t>
            </w:r>
          </w:p>
        </w:tc>
        <w:tc>
          <w:tcPr>
            <w:tcW w:type="dxa" w:w="21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Intervention threat now near-imminent; caps the tail</w:t>
            </w:r>
          </w:p>
        </w:tc>
        <w:tc>
          <w:tcPr>
            <w:tcW w:type="dxa" w:w="213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Mimura-signalled action deters a further leg</w:t>
            </w:r>
          </w:p>
        </w:tc>
        <w:tc>
          <w:tcPr>
            <w:tcW w:type="dxa" w:w="197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Disorderly break past 163 with no execution</w:t>
            </w:r>
          </w:p>
        </w:tc>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HSBC (14595), BNP (14478)</w:t>
            </w:r>
          </w:p>
        </w:tc>
      </w:tr>
      <w:tr>
        <w:tc>
          <w:tcPr>
            <w:tcW w:type="dxa" w:w="2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8</w:t>
            </w:r>
          </w:p>
        </w:tc>
        <w:tc>
          <w:tcPr>
            <w:tcW w:type="dxa" w:w="22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HY credit: </w:t>
            </w:r>
            <w:r>
              <w:rPr>
                <w:rFonts w:ascii="Public Sans" w:hAnsi="Public Sans"/>
                <w:b/>
                <w:i w:val="0"/>
                <w:color w:val="3D3E3E"/>
                <w:sz w:val="16"/>
              </w:rPr>
              <w:t>cut duration</w:t>
            </w:r>
          </w:p>
        </w:tc>
        <w:tc>
          <w:tcPr>
            <w:tcW w:type="dxa" w:w="21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Macro (rates) drives HY here, not spreads</w:t>
            </w:r>
          </w:p>
        </w:tc>
        <w:tc>
          <w:tcPr>
            <w:tcW w:type="dxa" w:w="213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 path stays the swing factor</w:t>
            </w:r>
          </w:p>
        </w:tc>
        <w:tc>
          <w:tcPr>
            <w:tcW w:type="dxa" w:w="197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Spread event dominates rates</w:t>
            </w:r>
          </w:p>
        </w:tc>
        <w:tc>
          <w:tcPr>
            <w:tcW w:type="dxa" w:w="18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Citi (14721)</w:t>
            </w:r>
          </w:p>
        </w:tc>
      </w:tr>
      <w:tr>
        <w:tc>
          <w:tcPr>
            <w:tcW w:type="dxa" w:w="2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9</w:t>
            </w:r>
          </w:p>
        </w:tc>
        <w:tc>
          <w:tcPr>
            <w:tcW w:type="dxa" w:w="22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2H: rotate </w:t>
            </w:r>
            <w:r>
              <w:rPr>
                <w:rFonts w:ascii="Public Sans" w:hAnsi="Public Sans"/>
                <w:b/>
                <w:i w:val="0"/>
                <w:color w:val="3D3E3E"/>
                <w:sz w:val="16"/>
              </w:rPr>
              <w:t>out of S&amp;P/secular growth into value / broadening</w:t>
            </w:r>
          </w:p>
        </w:tc>
        <w:tc>
          <w:tcPr>
            <w:tcW w:type="dxa" w:w="21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Mid-year rotation; leadership broadens</w:t>
            </w:r>
          </w:p>
        </w:tc>
        <w:tc>
          <w:tcPr>
            <w:tcW w:type="dxa" w:w="213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Breadth improves off mega-cap</w:t>
            </w:r>
          </w:p>
        </w:tc>
        <w:tc>
          <w:tcPr>
            <w:tcW w:type="dxa" w:w="197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Growth momentum persists</w:t>
            </w:r>
          </w:p>
        </w:tc>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BofA (14429/14611), Goldman (14585)</w:t>
            </w:r>
          </w:p>
        </w:tc>
      </w:tr>
      <w:tr>
        <w:tc>
          <w:tcPr>
            <w:tcW w:type="dxa" w:w="2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10</w:t>
            </w:r>
          </w:p>
        </w:tc>
        <w:tc>
          <w:tcPr>
            <w:tcW w:type="dxa" w:w="22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US 10y / duration: </w:t>
            </w:r>
            <w:r>
              <w:rPr>
                <w:rFonts w:ascii="Public Sans" w:hAnsi="Public Sans"/>
                <w:b/>
                <w:i w:val="0"/>
                <w:color w:val="3D3E3E"/>
                <w:sz w:val="16"/>
              </w:rPr>
              <w:t>stay sidelined into payrolls</w:t>
            </w:r>
          </w:p>
        </w:tc>
        <w:tc>
          <w:tcPr>
            <w:tcW w:type="dxa" w:w="21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Range-bound; poor risk/reward pre-NFP</w:t>
            </w:r>
          </w:p>
        </w:tc>
        <w:tc>
          <w:tcPr>
            <w:tcW w:type="dxa" w:w="213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 decisive NFP break</w:t>
            </w:r>
          </w:p>
        </w:tc>
        <w:tc>
          <w:tcPr>
            <w:tcW w:type="dxa" w:w="197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Clean NFP beat/miss forces a break</w:t>
            </w:r>
          </w:p>
        </w:tc>
        <w:tc>
          <w:tcPr>
            <w:tcW w:type="dxa" w:w="18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Citi (14617/14669)</w:t>
            </w:r>
          </w:p>
        </w:tc>
      </w:tr>
    </w:tbl>
    <w:p>
      <w:pPr>
        <w:spacing w:after="80" w:line="283" w:lineRule="auto"/>
      </w:pPr>
      <w:r>
        <w:rPr>
          <w:rFonts w:ascii="Public Sans" w:hAnsi="Public Sans"/>
          <w:b/>
          <w:i w:val="0"/>
          <w:color w:val="3D3E3E"/>
          <w:sz w:val="19"/>
        </w:rPr>
        <w:t>SYN:</w:t>
      </w:r>
      <w:r>
        <w:rPr>
          <w:rFonts w:ascii="Public Sans" w:hAnsi="Public Sans"/>
          <w:b w:val="0"/>
          <w:i w:val="0"/>
          <w:color w:val="3D3E3E"/>
          <w:sz w:val="19"/>
        </w:rPr>
        <w:t xml:space="preserve"> the live-trade book has rotated toward an </w:t>
      </w:r>
      <w:r>
        <w:rPr>
          <w:rFonts w:ascii="Public Sans" w:hAnsi="Public Sans"/>
          <w:b/>
          <w:i w:val="0"/>
          <w:color w:val="3D3E3E"/>
          <w:sz w:val="19"/>
        </w:rPr>
        <w:t>India-inflows cluster</w:t>
      </w:r>
      <w:r>
        <w:rPr>
          <w:rFonts w:ascii="Public Sans" w:hAnsi="Public Sans"/>
          <w:b w:val="0"/>
          <w:i w:val="0"/>
          <w:color w:val="3D3E3E"/>
          <w:sz w:val="19"/>
        </w:rPr>
        <w:t xml:space="preserve"> (rows 1-3, three houses, new this window) alongside the persistent </w:t>
      </w:r>
      <w:r>
        <w:rPr>
          <w:rFonts w:ascii="Public Sans" w:hAnsi="Public Sans"/>
          <w:b/>
          <w:i w:val="0"/>
          <w:color w:val="3D3E3E"/>
          <w:sz w:val="19"/>
        </w:rPr>
        <w:t>rates-higher / real-yield</w:t>
      </w:r>
      <w:r>
        <w:rPr>
          <w:rFonts w:ascii="Public Sans" w:hAnsi="Public Sans"/>
          <w:b w:val="0"/>
          <w:i w:val="0"/>
          <w:color w:val="3D3E3E"/>
          <w:sz w:val="19"/>
        </w:rPr>
        <w:t xml:space="preserve"> book (rows 4, 5, 6, 8) and a </w:t>
      </w:r>
      <w:r>
        <w:rPr>
          <w:rFonts w:ascii="Public Sans" w:hAnsi="Public Sans"/>
          <w:b/>
          <w:i w:val="0"/>
          <w:color w:val="3D3E3E"/>
          <w:sz w:val="19"/>
        </w:rPr>
        <w:t>JPY-fade</w:t>
      </w:r>
      <w:r>
        <w:rPr>
          <w:rFonts w:ascii="Public Sans" w:hAnsi="Public Sans"/>
          <w:b w:val="0"/>
          <w:i w:val="0"/>
          <w:color w:val="3D3E3E"/>
          <w:sz w:val="19"/>
        </w:rPr>
        <w:t xml:space="preserve"> into the intervention zone (row 7). The India FX/bonds trade is the freshest genuinely multi-house idea.</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4. Per-country read</w:t>
      </w:r>
      <w:r>
        <w:rPr>
          <w:rFonts w:ascii="Public Sans" w:hAnsi="Public Sans"/>
          <w:i/>
          <w:color w:val="7A7C7C"/>
          <w:sz w:val="16"/>
        </w:rPr>
        <w:t xml:space="preserve">   A themes · B the "why" · C consensus · D differentiated</w:t>
      </w:r>
    </w:p>
    <w:p>
      <w:pPr>
        <w:spacing w:after="80" w:line="283" w:lineRule="auto"/>
      </w:pPr>
      <w:r>
        <w:rPr>
          <w:rFonts w:ascii="Public Sans" w:hAnsi="Public Sans"/>
          <w:b w:val="0"/>
          <w:i w:val="0"/>
          <w:color w:val="3D3E3E"/>
          <w:sz w:val="19"/>
        </w:rPr>
        <w:t>Ordered by what moved this window. Flagship/desk notes read at the chunk level for the movers. Consensus (≥2 independent banks) and differentiated views separated. Trades surfaced with assumption + falsifier only.</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United States — hawkish base, but Warsh reopens the debate into payrolls</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39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59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30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76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59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5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Warsh at Sintra dovish-tilted</w:t>
            </w:r>
            <w:r>
              <w:rPr>
                <w:rFonts w:ascii="Public Sans" w:hAnsi="Public Sans"/>
                <w:b w:val="0"/>
                <w:i w:val="0"/>
                <w:color w:val="3D3E3E"/>
                <w:sz w:val="16"/>
              </w:rPr>
              <w:t xml:space="preserve"> vs the hawkish June dots</w:t>
            </w:r>
          </w:p>
        </w:tc>
        <w:tc>
          <w:tcPr>
            <w:tcW w:type="dxa" w:w="13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USD rates, USD</w:t>
            </w:r>
          </w:p>
        </w:tc>
        <w:tc>
          <w:tcPr>
            <w:tcW w:type="dxa" w:w="17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Goldman, UBS, HSBC, DB</w:t>
            </w:r>
          </w:p>
        </w:tc>
        <w:tc>
          <w:tcPr>
            <w:tcW w:type="dxa" w:w="35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Fed chair reopens a two-way debate the dots had closed</w:t>
            </w:r>
          </w:p>
        </w:tc>
      </w:tr>
      <w:tr>
        <w:tc>
          <w:tcPr>
            <w:tcW w:type="dxa" w:w="3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5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June payrolls (07-02)</w:t>
            </w:r>
            <w:r>
              <w:rPr>
                <w:rFonts w:ascii="Public Sans" w:hAnsi="Public Sans"/>
                <w:b w:val="0"/>
                <w:i w:val="0"/>
                <w:color w:val="3D3E3E"/>
                <w:sz w:val="16"/>
              </w:rPr>
              <w:t xml:space="preserve"> — headline vs internals</w:t>
            </w:r>
          </w:p>
        </w:tc>
        <w:tc>
          <w:tcPr>
            <w:tcW w:type="dxa" w:w="13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USD rates, USD, risk</w:t>
            </w:r>
          </w:p>
        </w:tc>
        <w:tc>
          <w:tcPr>
            <w:tcW w:type="dxa" w:w="17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Goldman, Citi, JPM, MS</w:t>
            </w:r>
          </w:p>
        </w:tc>
        <w:tc>
          <w:tcPr>
            <w:tcW w:type="dxa" w:w="35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binary event; a one-off beat over a cooling trend is the trap</w:t>
            </w:r>
          </w:p>
        </w:tc>
      </w:tr>
      <w:tr>
        <w:tc>
          <w:tcPr>
            <w:tcW w:type="dxa" w:w="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5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Market has said </w:t>
            </w:r>
            <w:r>
              <w:rPr>
                <w:rFonts w:ascii="Public Sans" w:hAnsi="Public Sans"/>
                <w:b/>
                <w:i w:val="0"/>
                <w:color w:val="3D3E3E"/>
                <w:sz w:val="16"/>
              </w:rPr>
              <w:t>"farewell to Fed cuts"</w:t>
            </w:r>
            <w:r>
              <w:rPr>
                <w:rFonts w:ascii="Public Sans" w:hAnsi="Public Sans"/>
                <w:b w:val="0"/>
                <w:i w:val="0"/>
                <w:color w:val="3D3E3E"/>
                <w:sz w:val="16"/>
              </w:rPr>
              <w:t xml:space="preserve"> (for now)</w:t>
            </w:r>
          </w:p>
        </w:tc>
        <w:tc>
          <w:tcPr>
            <w:tcW w:type="dxa" w:w="13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USD rates</w:t>
            </w:r>
          </w:p>
        </w:tc>
        <w:tc>
          <w:tcPr>
            <w:tcW w:type="dxa" w:w="17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StanC, JPM QED</w:t>
            </w:r>
          </w:p>
        </w:tc>
        <w:tc>
          <w:tcPr>
            <w:tcW w:type="dxa" w:w="35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repricing is done near-term; the question is what re-opens it</w:t>
            </w:r>
          </w:p>
        </w:tc>
      </w:tr>
      <w:tr>
        <w:tc>
          <w:tcPr>
            <w:tcW w:type="dxa" w:w="3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35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Core-PCE methodology change</w:t>
            </w:r>
            <w:r>
              <w:rPr>
                <w:rFonts w:ascii="Public Sans" w:hAnsi="Public Sans"/>
                <w:b w:val="0"/>
                <w:i w:val="0"/>
                <w:color w:val="3D3E3E"/>
                <w:sz w:val="16"/>
              </w:rPr>
              <w:t xml:space="preserve"> lowers measured inflation</w:t>
            </w:r>
          </w:p>
        </w:tc>
        <w:tc>
          <w:tcPr>
            <w:tcW w:type="dxa" w:w="13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TIPS/BE, USD rates</w:t>
            </w:r>
          </w:p>
        </w:tc>
        <w:tc>
          <w:tcPr>
            <w:tcW w:type="dxa" w:w="17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Citi, Goldman, Barclays, DB</w:t>
            </w:r>
          </w:p>
        </w:tc>
        <w:tc>
          <w:tcPr>
            <w:tcW w:type="dxa" w:w="35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Trims measured core PCE ~0.2–0.25pp; measured ≠ true</w:t>
            </w:r>
          </w:p>
        </w:tc>
      </w:tr>
      <w:tr>
        <w:tc>
          <w:tcPr>
            <w:tcW w:type="dxa" w:w="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5</w:t>
            </w:r>
          </w:p>
        </w:tc>
        <w:tc>
          <w:tcPr>
            <w:tcW w:type="dxa" w:w="35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Trend inflation still hot</w:t>
            </w:r>
            <w:r>
              <w:rPr>
                <w:rFonts w:ascii="Public Sans" w:hAnsi="Public Sans"/>
                <w:b w:val="0"/>
                <w:i w:val="0"/>
                <w:color w:val="3D3E3E"/>
                <w:sz w:val="16"/>
              </w:rPr>
              <w:t xml:space="preserve"> — one house sees hikes to 4.1%</w:t>
            </w:r>
          </w:p>
        </w:tc>
        <w:tc>
          <w:tcPr>
            <w:tcW w:type="dxa" w:w="13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USD rates</w:t>
            </w:r>
          </w:p>
        </w:tc>
        <w:tc>
          <w:tcPr>
            <w:tcW w:type="dxa" w:w="17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DB (outlier)</w:t>
            </w:r>
          </w:p>
        </w:tc>
        <w:tc>
          <w:tcPr>
            <w:tcW w:type="dxa" w:w="35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differentiated tail: a hiker, not a holder</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The base case is the June-17 FOMC: held at 3.75% with the </w:t>
      </w:r>
      <w:r>
        <w:rPr>
          <w:rFonts w:ascii="Public Sans" w:hAnsi="Public Sans"/>
          <w:b/>
          <w:i w:val="0"/>
          <w:color w:val="3D3E3E"/>
          <w:sz w:val="19"/>
        </w:rPr>
        <w:t>dots revised up</w:t>
      </w:r>
      <w:r>
        <w:rPr>
          <w:rFonts w:ascii="Public Sans" w:hAnsi="Public Sans"/>
          <w:b w:val="0"/>
          <w:i w:val="0"/>
          <w:color w:val="3D3E3E"/>
          <w:sz w:val="19"/>
        </w:rPr>
        <w:t xml:space="preserve"> (current-year 3.8% from 3.4%, 1st-yr 3.6% from 3.1%; longer-run unchanged 3.1% — FACT). Market pricing followed rather than fought it: JPM's QED (14494/14897, PRICING) has US OIS pricing net tightening over the next two quarters, and StanC's Rates Alert (14703) captures the mood — "the market says farewell to Fed cuts," noting the oil impact "did not end in time to stop a hawkish shift in Fed messaging." So the near-term repricing looks complete; the live question is what re-opens the cut case.</w:t>
      </w:r>
    </w:p>
    <w:p>
      <w:pPr>
        <w:spacing w:after="80" w:line="283" w:lineRule="auto"/>
      </w:pPr>
      <w:r>
        <w:rPr>
          <w:rFonts w:ascii="Public Sans" w:hAnsi="Public Sans"/>
          <w:b w:val="0"/>
          <w:i w:val="0"/>
          <w:color w:val="3D3E3E"/>
          <w:sz w:val="19"/>
        </w:rPr>
        <w:t xml:space="preserve">That question got sharper this window because </w:t>
      </w:r>
      <w:r>
        <w:rPr>
          <w:rFonts w:ascii="Public Sans" w:hAnsi="Public Sans"/>
          <w:b/>
          <w:i w:val="0"/>
          <w:color w:val="3D3E3E"/>
          <w:sz w:val="19"/>
        </w:rPr>
        <w:t>Fed chair Warsh spoke at Sintra with a dovish tilt</w:t>
      </w:r>
      <w:r>
        <w:rPr>
          <w:rFonts w:ascii="Public Sans" w:hAnsi="Public Sans"/>
          <w:b w:val="0"/>
          <w:i w:val="0"/>
          <w:color w:val="3D3E3E"/>
          <w:sz w:val="19"/>
        </w:rPr>
        <w:t xml:space="preserve">. Goldman (14844) headlines "Warsh Says Inflation Risks Have Come Down"; UBS (14876) reads his three Sintra takeaways as not distancing himself from his prior writings on central-bank commitment to price stability; DB (14924) frames a "family fight in July, but no forward guidance." The tension a PM has to hold: the </w:t>
      </w:r>
      <w:r>
        <w:rPr>
          <w:rFonts w:ascii="Public Sans" w:hAnsi="Public Sans"/>
          <w:b w:val="0"/>
          <w:i/>
          <w:color w:val="3D3E3E"/>
          <w:sz w:val="19"/>
        </w:rPr>
        <w:t>institution's</w:t>
      </w:r>
      <w:r>
        <w:rPr>
          <w:rFonts w:ascii="Public Sans" w:hAnsi="Public Sans"/>
          <w:b w:val="0"/>
          <w:i w:val="0"/>
          <w:color w:val="3D3E3E"/>
          <w:sz w:val="19"/>
        </w:rPr>
        <w:t xml:space="preserve"> dots are hawkish, but the </w:t>
      </w:r>
      <w:r>
        <w:rPr>
          <w:rFonts w:ascii="Public Sans" w:hAnsi="Public Sans"/>
          <w:b w:val="0"/>
          <w:i/>
          <w:color w:val="3D3E3E"/>
          <w:sz w:val="19"/>
        </w:rPr>
        <w:t>chair's</w:t>
      </w:r>
      <w:r>
        <w:rPr>
          <w:rFonts w:ascii="Public Sans" w:hAnsi="Public Sans"/>
          <w:b w:val="0"/>
          <w:i w:val="0"/>
          <w:color w:val="3D3E3E"/>
          <w:sz w:val="19"/>
        </w:rPr>
        <w:t xml:space="preserve"> rhetoric leans the other way — a communication split that widens the distribution around the July meeting rather than narrowing it.</w:t>
      </w:r>
    </w:p>
    <w:p>
      <w:pPr>
        <w:spacing w:after="80" w:line="283" w:lineRule="auto"/>
      </w:pPr>
      <w:r>
        <w:rPr>
          <w:rFonts w:ascii="Public Sans" w:hAnsi="Public Sans"/>
          <w:b w:val="0"/>
          <w:i w:val="0"/>
          <w:color w:val="3D3E3E"/>
          <w:sz w:val="19"/>
        </w:rPr>
        <w:t xml:space="preserve">The set-piece is </w:t>
      </w:r>
      <w:r>
        <w:rPr>
          <w:rFonts w:ascii="Public Sans" w:hAnsi="Public Sans"/>
          <w:b/>
          <w:i w:val="0"/>
          <w:color w:val="3D3E3E"/>
          <w:sz w:val="19"/>
        </w:rPr>
        <w:t>June payrolls (07-02)</w:t>
      </w:r>
      <w:r>
        <w:rPr>
          <w:rFonts w:ascii="Public Sans" w:hAnsi="Public Sans"/>
          <w:b w:val="0"/>
          <w:i w:val="0"/>
          <w:color w:val="3D3E3E"/>
          <w:sz w:val="19"/>
        </w:rPr>
        <w:t xml:space="preserve"> — not yet printed into cb_events at run time, so the flow is a preview. The split is on mechanism, not direction. Goldman (14893) is above consensus at </w:t>
      </w:r>
      <w:r>
        <w:rPr>
          <w:rFonts w:ascii="Public Sans" w:hAnsi="Public Sans"/>
          <w:b/>
          <w:i w:val="0"/>
          <w:color w:val="3D3E3E"/>
          <w:sz w:val="19"/>
        </w:rPr>
        <w:t>+130k vs 115k</w:t>
      </w:r>
      <w:r>
        <w:rPr>
          <w:rFonts w:ascii="Public Sans" w:hAnsi="Public Sans"/>
          <w:b w:val="0"/>
          <w:i w:val="0"/>
          <w:color w:val="3D3E3E"/>
          <w:sz w:val="19"/>
        </w:rPr>
        <w:t>, attributing ~+40k to a World Cup boost and flagging it lands below the breakeven threshold. Citi (14669) works the cross-market angle, seeing unemployment drifting to 4.6-4.7% by late summer and positioning for € underperformance on any USD-supportive print. The bear internals — soft hiring beneath a firm headline (Citi 14772 "low hiring continues," 14835 manufacturing employment only "modestly" improving) — set up the classic print-vs-trend disagreement.</w:t>
      </w:r>
    </w:p>
    <w:p>
      <w:pPr>
        <w:spacing w:after="80" w:line="283" w:lineRule="auto"/>
      </w:pPr>
      <w:r>
        <w:rPr>
          <w:rFonts w:ascii="Public Sans" w:hAnsi="Public Sans"/>
          <w:b w:val="0"/>
          <w:i w:val="0"/>
          <w:color w:val="3D3E3E"/>
          <w:sz w:val="19"/>
        </w:rPr>
        <w:t xml:space="preserve">The sleeper remains the </w:t>
      </w:r>
      <w:r>
        <w:rPr>
          <w:rFonts w:ascii="Public Sans" w:hAnsi="Public Sans"/>
          <w:b/>
          <w:i w:val="0"/>
          <w:color w:val="3D3E3E"/>
          <w:sz w:val="19"/>
        </w:rPr>
        <w:t>core-PCE methodology change</w:t>
      </w:r>
      <w:r>
        <w:rPr>
          <w:rFonts w:ascii="Public Sans" w:hAnsi="Public Sans"/>
          <w:b w:val="0"/>
          <w:i w:val="0"/>
          <w:color w:val="3D3E3E"/>
          <w:sz w:val="19"/>
        </w:rPr>
        <w:t xml:space="preserve">: Citi (14437) calls it "a big deal" that mechanically lowers 12m core PCE (3.4% in May) by ~25bp via re-measured portfolio-management-services prices; Goldman pegs the net at ~-0.2pp; Barclays (14371) frames the identical BEA revision as "just a measurement refinement." The wedge between measured and true inflation is the PM-relevant point. Against all of it, DB (14516) is the lone hiker — trend-inflation overshoot "significantly surpasses pre-pandemic," Fed funds to </w:t>
      </w:r>
      <w:r>
        <w:rPr>
          <w:rFonts w:ascii="Public Sans" w:hAnsi="Public Sans"/>
          <w:b/>
          <w:i w:val="0"/>
          <w:color w:val="3D3E3E"/>
          <w:sz w:val="19"/>
        </w:rPr>
        <w:t>4.1%</w:t>
      </w:r>
      <w:r>
        <w:rPr>
          <w:rFonts w:ascii="Public Sans" w:hAnsi="Public Sans"/>
          <w:b w:val="0"/>
          <w:i w:val="0"/>
          <w:color w:val="3D3E3E"/>
          <w:sz w:val="19"/>
        </w:rPr>
        <w:t xml:space="preserve"> then hold.</w:t>
      </w:r>
    </w:p>
    <w:p>
      <w:pPr>
        <w:spacing w:before="120" w:after="40"/>
        <w:keepNext/>
      </w:pPr>
      <w:r>
        <w:rPr>
          <w:rFonts w:ascii="Public Sans" w:hAnsi="Public Sans"/>
          <w:b/>
          <w:i w:val="0"/>
          <w:color w:val="001830"/>
          <w:sz w:val="19"/>
        </w:rPr>
        <w:t>C.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221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24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12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53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53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 (grounded)</w:t>
            </w:r>
          </w:p>
        </w:tc>
      </w:tr>
      <w:tr>
        <w:tc>
          <w:tcPr>
            <w:tcW w:type="dxa" w:w="22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Near-term repricing done; no imminent cut</w:t>
            </w:r>
          </w:p>
        </w:tc>
        <w:tc>
          <w:tcPr>
            <w:tcW w:type="dxa" w:w="124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 StanC, Citi</w:t>
            </w:r>
          </w:p>
        </w:tc>
        <w:tc>
          <w:tcPr>
            <w:tcW w:type="dxa" w:w="21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"Farewell to Fed cuts"; curve prices net hikes</w:t>
            </w:r>
          </w:p>
        </w:tc>
        <w:tc>
          <w:tcPr>
            <w:tcW w:type="dxa" w:w="25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Dots up (FACT); OIS net-tightening (14494/14897); "hawkish shift" (14703)</w:t>
            </w:r>
          </w:p>
        </w:tc>
        <w:tc>
          <w:tcPr>
            <w:tcW w:type="dxa" w:w="25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Under-weights Warsh's dovish tilt (14844/14876) — the chair cuts against the dots</w:t>
            </w:r>
          </w:p>
        </w:tc>
      </w:tr>
      <w:tr>
        <w:tc>
          <w:tcPr>
            <w:tcW w:type="dxa" w:w="22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Payrolls: headline could beat, internals cooling</w:t>
            </w:r>
          </w:p>
        </w:tc>
        <w:tc>
          <w:tcPr>
            <w:tcW w:type="dxa" w:w="124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Goldman, Citi, MS</w:t>
            </w:r>
          </w:p>
        </w:tc>
        <w:tc>
          <w:tcPr>
            <w:tcW w:type="dxa" w:w="21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Look through a possible one-off to soft hiring</w:t>
            </w:r>
          </w:p>
        </w:tc>
        <w:tc>
          <w:tcPr>
            <w:tcW w:type="dxa" w:w="253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GS +130k on World Cup (14893); low hiring (14772); U/E drift to 4.6-4.7% (14669)</w:t>
            </w:r>
          </w:p>
        </w:tc>
        <w:tc>
          <w:tcPr>
            <w:tcW w:type="dxa" w:w="253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07-02 actual is not in cb_events — the consensus is pre-print</w:t>
            </w:r>
          </w:p>
        </w:tc>
      </w:tr>
      <w:tr>
        <w:tc>
          <w:tcPr>
            <w:tcW w:type="dxa" w:w="22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Core-PCE revision lowers measured inflation</w:t>
            </w:r>
          </w:p>
        </w:tc>
        <w:tc>
          <w:tcPr>
            <w:tcW w:type="dxa" w:w="124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Citi, Goldman, Barclays, DB</w:t>
            </w:r>
          </w:p>
        </w:tc>
        <w:tc>
          <w:tcPr>
            <w:tcW w:type="dxa" w:w="21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Methodology change trims core PCE ~0.2–0.25pp</w:t>
            </w:r>
          </w:p>
        </w:tc>
        <w:tc>
          <w:tcPr>
            <w:tcW w:type="dxa" w:w="25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BEA Sep-30 retroactive change; portfolio-mgmt re-measure (14437/14557/14371)</w:t>
            </w:r>
          </w:p>
        </w:tc>
        <w:tc>
          <w:tcPr>
            <w:tcW w:type="dxa" w:w="25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Splits on "big deal" (Citi) vs "refinement" (Barclays) — see D</w:t>
            </w:r>
          </w:p>
        </w:tc>
      </w:tr>
    </w:tbl>
    <w:p>
      <w:pPr>
        <w:spacing w:before="120" w:after="40"/>
        <w:keepNext/>
      </w:pPr>
      <w:r>
        <w:rPr>
          <w:rFonts w:ascii="Public Sans" w:hAnsi="Public Sans"/>
          <w:b/>
          <w:i w:val="0"/>
          <w:color w:val="001830"/>
          <w:sz w:val="19"/>
        </w:rPr>
        <w:t>D.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72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63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48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48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48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185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7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DB (14516)</w:t>
            </w:r>
          </w:p>
        </w:tc>
        <w:tc>
          <w:tcPr>
            <w:tcW w:type="dxa" w:w="6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USD rates</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Fed </w:t>
            </w:r>
            <w:r>
              <w:rPr>
                <w:rFonts w:ascii="Public Sans" w:hAnsi="Public Sans"/>
                <w:b/>
                <w:i w:val="0"/>
                <w:color w:val="3D3E3E"/>
                <w:sz w:val="16"/>
              </w:rPr>
              <w:t>hikes to 4.1%</w:t>
            </w:r>
            <w:r>
              <w:rPr>
                <w:rFonts w:ascii="Public Sans" w:hAnsi="Public Sans"/>
                <w:b w:val="0"/>
                <w:i w:val="0"/>
                <w:color w:val="3D3E3E"/>
                <w:sz w:val="16"/>
              </w:rPr>
              <w:t xml:space="preserve"> then holds</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Only in-window house modelling </w:t>
            </w:r>
            <w:r>
              <w:rPr>
                <w:rFonts w:ascii="Public Sans" w:hAnsi="Public Sans"/>
                <w:b w:val="0"/>
                <w:i/>
                <w:color w:val="3D3E3E"/>
                <w:sz w:val="16"/>
              </w:rPr>
              <w:t>more</w:t>
            </w:r>
            <w:r>
              <w:rPr>
                <w:rFonts w:ascii="Public Sans" w:hAnsi="Public Sans"/>
                <w:b w:val="0"/>
                <w:i w:val="0"/>
                <w:color w:val="3D3E3E"/>
                <w:sz w:val="16"/>
              </w:rPr>
              <w:t xml:space="preserve"> hikes</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Energy shock feeds a persistent, broad trend-inflation overshoot</w:t>
            </w:r>
          </w:p>
        </w:tc>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clean disinflation print / labour break</w:t>
            </w:r>
          </w:p>
        </w:tc>
      </w:tr>
      <w:tr>
        <w:tc>
          <w:tcPr>
            <w:tcW w:type="dxa" w:w="7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Goldman (14844)</w:t>
            </w:r>
          </w:p>
        </w:tc>
        <w:tc>
          <w:tcPr>
            <w:tcW w:type="dxa" w:w="6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USD rates, USD</w:t>
            </w:r>
          </w:p>
        </w:tc>
        <w:tc>
          <w:tcPr>
            <w:tcW w:type="dxa" w:w="24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Reads </w:t>
            </w:r>
            <w:r>
              <w:rPr>
                <w:rFonts w:ascii="Public Sans" w:hAnsi="Public Sans"/>
                <w:b/>
                <w:i w:val="0"/>
                <w:color w:val="3D3E3E"/>
                <w:sz w:val="16"/>
              </w:rPr>
              <w:t>Warsh as dovish-tilted</w:t>
            </w:r>
            <w:r>
              <w:rPr>
                <w:rFonts w:ascii="Public Sans" w:hAnsi="Public Sans"/>
                <w:b w:val="0"/>
                <w:i w:val="0"/>
                <w:color w:val="3D3E3E"/>
                <w:sz w:val="16"/>
              </w:rPr>
              <w:t xml:space="preserve"> ("risks have come down")</w:t>
            </w:r>
          </w:p>
        </w:tc>
        <w:tc>
          <w:tcPr>
            <w:tcW w:type="dxa" w:w="24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Elevates the chair's tone over the institution's dots</w:t>
            </w:r>
          </w:p>
        </w:tc>
        <w:tc>
          <w:tcPr>
            <w:tcW w:type="dxa" w:w="24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chair's rhetoric leads the reaction function</w:t>
            </w:r>
          </w:p>
        </w:tc>
        <w:tc>
          <w:tcPr>
            <w:tcW w:type="dxa" w:w="18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July meeting delivers a hawkish hold</w:t>
            </w:r>
          </w:p>
        </w:tc>
      </w:tr>
      <w:tr>
        <w:tc>
          <w:tcPr>
            <w:tcW w:type="dxa" w:w="7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MS (14751)</w:t>
            </w:r>
          </w:p>
        </w:tc>
        <w:tc>
          <w:tcPr>
            <w:tcW w:type="dxa" w:w="6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TIPS/BE</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Buy 10y TIPS + payer protection</w:t>
            </w:r>
            <w:r>
              <w:rPr>
                <w:rFonts w:ascii="Public Sans" w:hAnsi="Public Sans"/>
                <w:b w:val="0"/>
                <w:i w:val="0"/>
                <w:color w:val="3D3E3E"/>
                <w:sz w:val="16"/>
              </w:rPr>
              <w:t xml:space="preserve"> — Fed pricing "looks hawkish"</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Fades the hawkish rate pricing while staying long breakevens</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Real yields near range-top; hawkish pricing overdone</w:t>
            </w:r>
          </w:p>
        </w:tc>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Real yields break higher on a hot print</w:t>
            </w:r>
          </w:p>
        </w:tc>
      </w:tr>
      <w:tr>
        <w:tc>
          <w:tcPr>
            <w:tcW w:type="dxa" w:w="7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Citi (14437)</w:t>
            </w:r>
          </w:p>
        </w:tc>
        <w:tc>
          <w:tcPr>
            <w:tcW w:type="dxa" w:w="6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TIPS/BE</w:t>
            </w:r>
          </w:p>
        </w:tc>
        <w:tc>
          <w:tcPr>
            <w:tcW w:type="dxa" w:w="24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PCE methodology change is </w:t>
            </w:r>
            <w:r>
              <w:rPr>
                <w:rFonts w:ascii="Public Sans" w:hAnsi="Public Sans"/>
                <w:b/>
                <w:i w:val="0"/>
                <w:color w:val="3D3E3E"/>
                <w:sz w:val="16"/>
              </w:rPr>
              <w:t>"a big deal"</w:t>
            </w:r>
            <w:r>
              <w:rPr>
                <w:rFonts w:ascii="Public Sans" w:hAnsi="Public Sans"/>
                <w:b w:val="0"/>
                <w:i w:val="0"/>
                <w:color w:val="3D3E3E"/>
                <w:sz w:val="16"/>
              </w:rPr>
              <w:t xml:space="preserve"> (−25bp)</w:t>
            </w:r>
          </w:p>
        </w:tc>
        <w:tc>
          <w:tcPr>
            <w:tcW w:type="dxa" w:w="24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Elevates a measurement wrinkle to a Fed-path input</w:t>
            </w:r>
          </w:p>
        </w:tc>
        <w:tc>
          <w:tcPr>
            <w:tcW w:type="dxa" w:w="24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Fed reacts to the measured series</w:t>
            </w:r>
          </w:p>
        </w:tc>
        <w:tc>
          <w:tcPr>
            <w:tcW w:type="dxa" w:w="18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Fed explicitly looks through the revision</w:t>
            </w:r>
          </w:p>
        </w:tc>
      </w:tr>
      <w:tr>
        <w:tc>
          <w:tcPr>
            <w:tcW w:type="dxa" w:w="7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Barclays (14371)</w:t>
            </w:r>
          </w:p>
        </w:tc>
        <w:tc>
          <w:tcPr>
            <w:tcW w:type="dxa" w:w="6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USD rates</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Same revision is </w:t>
            </w:r>
            <w:r>
              <w:rPr>
                <w:rFonts w:ascii="Public Sans" w:hAnsi="Public Sans"/>
                <w:b/>
                <w:i w:val="0"/>
                <w:color w:val="3D3E3E"/>
                <w:sz w:val="16"/>
              </w:rPr>
              <w:t>"just a refinement"</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Directly downplays the Citi/Goldman read on identical data</w:t>
            </w:r>
          </w:p>
        </w:tc>
        <w:tc>
          <w:tcPr>
            <w:tcW w:type="dxa" w:w="24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Underlying momentum unchanged; optics ≠ policy</w:t>
            </w:r>
          </w:p>
        </w:tc>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Fed cites the lower print as easing cover</w:t>
            </w:r>
          </w:p>
        </w:tc>
      </w:tr>
    </w:tbl>
    <w:p>
      <w:pPr>
        <w:spacing w:after="80" w:line="283" w:lineRule="auto"/>
      </w:pPr>
      <w:r>
        <w:rPr>
          <w:rFonts w:ascii="Public Sans" w:hAnsi="Public Sans"/>
          <w:b w:val="0"/>
          <w:i/>
          <w:color w:val="3D3E3E"/>
          <w:sz w:val="19"/>
        </w:rPr>
        <w:t>Trade rows expanded:</w:t>
      </w:r>
      <w:r>
        <w:rPr>
          <w:rFonts w:ascii="Public Sans" w:hAnsi="Public Sans"/>
          <w:b w:val="0"/>
          <w:i w:val="0"/>
          <w:color w:val="3D3E3E"/>
          <w:sz w:val="19"/>
        </w:rPr>
        <w:t xml:space="preserve"> #4 (MS buy 10y TIPS + payer protection — see D). #9 (BofA/Goldman 2H rotation out of S&amp;P/secular growth into value/broadening; assumption = breadth improves; falsifier = growth momentum persists). #10 (Citi stay sidelined in US 10y into NFP; assumption = the range holds; falsifier = a clean NFP break). Surfaced, not judged.</w:t>
      </w:r>
    </w:p>
    <w:p>
      <w:pPr>
        <w:spacing w:after="80" w:line="283" w:lineRule="auto"/>
      </w:pPr>
      <w:r>
        <w:rPr>
          <w:rFonts w:ascii="Public Sans" w:hAnsi="Public Sans"/>
          <w:b/>
          <w:i w:val="0"/>
          <w:color w:val="3D3E3E"/>
          <w:sz w:val="19"/>
        </w:rPr>
        <w:t>Not loaded / flag:</w:t>
      </w:r>
      <w:r>
        <w:rPr>
          <w:rFonts w:ascii="Public Sans" w:hAnsi="Public Sans"/>
          <w:b w:val="0"/>
          <w:i w:val="0"/>
          <w:color w:val="3D3E3E"/>
          <w:sz w:val="19"/>
        </w:rPr>
        <w:t xml:space="preserve"> US June-payrolls, AHE, claims and factory-orders actuals are not booked in cb_events at run (survey/consensus only). US econ.fact_indicator is deep (140 indicators, latest 06-29) — component labour/ISM detail was used.</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Japan — firm Tankan, yen at the intervention line</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33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299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22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30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0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33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299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USD/JPY 162+ → intervention threat near-imminent</w:t>
            </w:r>
          </w:p>
        </w:tc>
        <w:tc>
          <w:tcPr>
            <w:tcW w:type="dxa" w:w="12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JPY, JGB, FX vol</w:t>
            </w:r>
          </w:p>
        </w:tc>
        <w:tc>
          <w:tcPr>
            <w:tcW w:type="dxa" w:w="30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Nomura, Citi, SocGen, HSBC, BNP</w:t>
            </w:r>
          </w:p>
        </w:tc>
        <w:tc>
          <w:tcPr>
            <w:tcW w:type="dxa" w:w="30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Post-hike currency </w:t>
            </w:r>
            <w:r>
              <w:rPr>
                <w:rFonts w:ascii="Public Sans" w:hAnsi="Public Sans"/>
                <w:b w:val="0"/>
                <w:i/>
                <w:color w:val="3D3E3E"/>
                <w:sz w:val="16"/>
              </w:rPr>
              <w:t>weaker</w:t>
            </w:r>
            <w:r>
              <w:rPr>
                <w:rFonts w:ascii="Public Sans" w:hAnsi="Public Sans"/>
                <w:b w:val="0"/>
                <w:i w:val="0"/>
                <w:color w:val="3D3E3E"/>
                <w:sz w:val="16"/>
              </w:rPr>
              <w:t>; an official signalled "decisive action"</w:t>
            </w:r>
          </w:p>
        </w:tc>
      </w:tr>
      <w:tr>
        <w:tc>
          <w:tcPr>
            <w:tcW w:type="dxa" w:w="33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299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June Tankan</w:t>
            </w:r>
            <w:r>
              <w:rPr>
                <w:rFonts w:ascii="Public Sans" w:hAnsi="Public Sans"/>
                <w:b w:val="0"/>
                <w:i w:val="0"/>
                <w:color w:val="3D3E3E"/>
                <w:sz w:val="16"/>
              </w:rPr>
              <w:t xml:space="preserve"> supports faster/earlier hikes</w:t>
            </w:r>
          </w:p>
        </w:tc>
        <w:tc>
          <w:tcPr>
            <w:tcW w:type="dxa" w:w="12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JGB, JPY, Japan equity</w:t>
            </w:r>
          </w:p>
        </w:tc>
        <w:tc>
          <w:tcPr>
            <w:tcW w:type="dxa" w:w="30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Goldman, DB, JPM, MS, Nomura, Citi, UBS, Barclays</w:t>
            </w:r>
          </w:p>
        </w:tc>
        <w:tc>
          <w:tcPr>
            <w:tcW w:type="dxa" w:w="30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hike-path validator; BoJ DI rose (see reconciliation)</w:t>
            </w:r>
          </w:p>
        </w:tc>
      </w:tr>
      <w:tr>
        <w:tc>
          <w:tcPr>
            <w:tcW w:type="dxa" w:w="33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299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Positioning: </w:t>
            </w:r>
            <w:r>
              <w:rPr>
                <w:rFonts w:ascii="Public Sans" w:hAnsi="Public Sans"/>
                <w:b/>
                <w:i w:val="0"/>
                <w:color w:val="3D3E3E"/>
                <w:sz w:val="16"/>
              </w:rPr>
              <w:t>fade the yen move vs press it</w:t>
            </w:r>
          </w:p>
        </w:tc>
        <w:tc>
          <w:tcPr>
            <w:tcW w:type="dxa" w:w="12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JPY crosses, FX vol</w:t>
            </w:r>
          </w:p>
        </w:tc>
        <w:tc>
          <w:tcPr>
            <w:tcW w:type="dxa" w:w="30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HSBC/BNP (fade) vs Citi (continuation); SocGen (reversal)</w:t>
            </w:r>
          </w:p>
        </w:tc>
        <w:tc>
          <w:tcPr>
            <w:tcW w:type="dxa" w:w="30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tradeable split is on positioning, not direction</w:t>
            </w:r>
          </w:p>
        </w:tc>
      </w:tr>
      <w:tr>
        <w:tc>
          <w:tcPr>
            <w:tcW w:type="dxa" w:w="33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299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Inflation expectations rising (1/3/5y +0.1pt to ~2.7%)</w:t>
            </w:r>
          </w:p>
        </w:tc>
        <w:tc>
          <w:tcPr>
            <w:tcW w:type="dxa" w:w="12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JGB, BE</w:t>
            </w:r>
          </w:p>
        </w:tc>
        <w:tc>
          <w:tcPr>
            <w:tcW w:type="dxa" w:w="30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JPM, MS, Nomura</w:t>
            </w:r>
          </w:p>
        </w:tc>
        <w:tc>
          <w:tcPr>
            <w:tcW w:type="dxa" w:w="30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Feeds the "earlier hike" case; JGB curve steepening</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BoJ </w:t>
      </w:r>
      <w:r>
        <w:rPr>
          <w:rFonts w:ascii="Public Sans" w:hAnsi="Public Sans"/>
          <w:b/>
          <w:i w:val="0"/>
          <w:color w:val="3D3E3E"/>
          <w:sz w:val="19"/>
        </w:rPr>
        <w:t>hiked to 1.00%</w:t>
      </w:r>
      <w:r>
        <w:rPr>
          <w:rFonts w:ascii="Public Sans" w:hAnsi="Public Sans"/>
          <w:b w:val="0"/>
          <w:i w:val="0"/>
          <w:color w:val="3D3E3E"/>
          <w:sz w:val="19"/>
        </w:rPr>
        <w:t xml:space="preserve"> on 06-16 (FACT). The window's dominant tension is that a central bank which just hiked has a currency at a </w:t>
      </w:r>
      <w:r>
        <w:rPr>
          <w:rFonts w:ascii="Public Sans" w:hAnsi="Public Sans"/>
          <w:b/>
          <w:i w:val="0"/>
          <w:color w:val="3D3E3E"/>
          <w:sz w:val="19"/>
        </w:rPr>
        <w:t>40-year low, USD/JPY 162+</w:t>
      </w:r>
      <w:r>
        <w:rPr>
          <w:rFonts w:ascii="Public Sans" w:hAnsi="Public Sans"/>
          <w:b w:val="0"/>
          <w:i w:val="0"/>
          <w:color w:val="3D3E3E"/>
          <w:sz w:val="19"/>
        </w:rPr>
        <w:t xml:space="preserve">. The escalation this window is verbal, not executed: Nomura (14752) reads an interview by </w:t>
      </w:r>
      <w:r>
        <w:rPr>
          <w:rFonts w:ascii="Public Sans" w:hAnsi="Public Sans"/>
          <w:b/>
          <w:i w:val="0"/>
          <w:color w:val="3D3E3E"/>
          <w:sz w:val="19"/>
        </w:rPr>
        <w:t>Mimura</w:t>
      </w:r>
      <w:r>
        <w:rPr>
          <w:rFonts w:ascii="Public Sans" w:hAnsi="Public Sans"/>
          <w:b w:val="0"/>
          <w:i w:val="0"/>
          <w:color w:val="3D3E3E"/>
          <w:sz w:val="19"/>
        </w:rPr>
        <w:t xml:space="preserve"> as signalling that "intervention could [come]" and that the timing for "decisive action" was "drawing near" — an official pushing the threat toward imminence without an intervention on the record. SocGen (14702) frames it as "2024 trauma all over again for Yen shorts" and, tellingly, sets its FY26 USD/JPY forecast at </w:t>
      </w:r>
      <w:r>
        <w:rPr>
          <w:rFonts w:ascii="Public Sans" w:hAnsi="Public Sans"/>
          <w:b/>
          <w:i w:val="0"/>
          <w:color w:val="3D3E3E"/>
          <w:sz w:val="19"/>
        </w:rPr>
        <w:t>152.57</w:t>
      </w:r>
      <w:r>
        <w:rPr>
          <w:rFonts w:ascii="Public Sans" w:hAnsi="Public Sans"/>
          <w:b w:val="0"/>
          <w:i w:val="0"/>
          <w:color w:val="3D3E3E"/>
          <w:sz w:val="19"/>
        </w:rPr>
        <w:t xml:space="preserve"> — i.e. it forecasts a </w:t>
      </w:r>
      <w:r>
        <w:rPr>
          <w:rFonts w:ascii="Public Sans" w:hAnsi="Public Sans"/>
          <w:b w:val="0"/>
          <w:i/>
          <w:color w:val="3D3E3E"/>
          <w:sz w:val="19"/>
        </w:rPr>
        <w:t>reversal</w:t>
      </w:r>
      <w:r>
        <w:rPr>
          <w:rFonts w:ascii="Public Sans" w:hAnsi="Public Sans"/>
          <w:b w:val="0"/>
          <w:i w:val="0"/>
          <w:color w:val="3D3E3E"/>
          <w:sz w:val="19"/>
        </w:rPr>
        <w:t xml:space="preserve"> from spot, a differentiated mean-reversion call. Citi (14583) stays on the other side: "nobody stopping yen depreciation."</w:t>
      </w:r>
    </w:p>
    <w:p>
      <w:pPr>
        <w:spacing w:after="80" w:line="283" w:lineRule="auto"/>
      </w:pPr>
      <w:r>
        <w:rPr>
          <w:rFonts w:ascii="Public Sans" w:hAnsi="Public Sans"/>
          <w:b w:val="0"/>
          <w:i w:val="0"/>
          <w:color w:val="3D3E3E"/>
          <w:sz w:val="19"/>
        </w:rPr>
        <w:t xml:space="preserve">The Tankan (06-30) is the hike-path validator, and the near-unanimous read is that it supports </w:t>
      </w:r>
      <w:r>
        <w:rPr>
          <w:rFonts w:ascii="Public Sans" w:hAnsi="Public Sans"/>
          <w:b w:val="0"/>
          <w:i/>
          <w:color w:val="3D3E3E"/>
          <w:sz w:val="19"/>
        </w:rPr>
        <w:t>faster</w:t>
      </w:r>
      <w:r>
        <w:rPr>
          <w:rFonts w:ascii="Public Sans" w:hAnsi="Public Sans"/>
          <w:b w:val="0"/>
          <w:i w:val="0"/>
          <w:color w:val="3D3E3E"/>
          <w:sz w:val="19"/>
        </w:rPr>
        <w:t xml:space="preserve"> tightening — but the reconciliation matters. Houses lean on the </w:t>
      </w:r>
      <w:r>
        <w:rPr>
          <w:rFonts w:ascii="Public Sans" w:hAnsi="Public Sans"/>
          <w:b/>
          <w:i w:val="0"/>
          <w:color w:val="3D3E3E"/>
          <w:sz w:val="19"/>
        </w:rPr>
        <w:t>BoJ business-conditions diffusion index, which rose</w:t>
      </w:r>
      <w:r>
        <w:rPr>
          <w:rFonts w:ascii="Public Sans" w:hAnsi="Public Sans"/>
          <w:b w:val="0"/>
          <w:i w:val="0"/>
          <w:color w:val="3D3E3E"/>
          <w:sz w:val="19"/>
        </w:rPr>
        <w:t xml:space="preserve">: Goldman (14586) has large-manufacturers DI at </w:t>
      </w:r>
      <w:r>
        <w:rPr>
          <w:rFonts w:ascii="Public Sans" w:hAnsi="Public Sans"/>
          <w:b/>
          <w:i w:val="0"/>
          <w:color w:val="3D3E3E"/>
          <w:sz w:val="19"/>
        </w:rPr>
        <w:t>+37 (Mar +36), the fifth consecutive quarterly improvement</w:t>
      </w:r>
      <w:r>
        <w:rPr>
          <w:rFonts w:ascii="Public Sans" w:hAnsi="Public Sans"/>
          <w:b w:val="0"/>
          <w:i w:val="0"/>
          <w:color w:val="3D3E3E"/>
          <w:sz w:val="19"/>
        </w:rPr>
        <w:t xml:space="preserve">, with FY2026 capex "revised up sharply"; DB (14624) says rising price pressures "support faster BoJ rate hikes"; Barclays (14607) says it reinforces its </w:t>
      </w:r>
      <w:r>
        <w:rPr>
          <w:rFonts w:ascii="Public Sans" w:hAnsi="Public Sans"/>
          <w:b/>
          <w:i w:val="0"/>
          <w:color w:val="3D3E3E"/>
          <w:sz w:val="19"/>
        </w:rPr>
        <w:t>October hike</w:t>
      </w:r>
      <w:r>
        <w:rPr>
          <w:rFonts w:ascii="Public Sans" w:hAnsi="Public Sans"/>
          <w:b w:val="0"/>
          <w:i w:val="0"/>
          <w:color w:val="3D3E3E"/>
          <w:sz w:val="19"/>
        </w:rPr>
        <w:t xml:space="preserve"> call; Nomura's full review (14948) says the survey "justifies" the hike path via inflation forecasts. JPM (14643) notes the all-firms index was </w:t>
      </w:r>
      <w:r>
        <w:rPr>
          <w:rFonts w:ascii="Public Sans" w:hAnsi="Public Sans"/>
          <w:b w:val="0"/>
          <w:i/>
          <w:color w:val="3D3E3E"/>
          <w:sz w:val="19"/>
        </w:rPr>
        <w:t>unchanged</w:t>
      </w:r>
      <w:r>
        <w:rPr>
          <w:rFonts w:ascii="Public Sans" w:hAnsi="Public Sans"/>
          <w:b w:val="0"/>
          <w:i w:val="0"/>
          <w:color w:val="3D3E3E"/>
          <w:sz w:val="19"/>
        </w:rPr>
        <w:t xml:space="preserve"> but "the strongest corporate momentum in decades remains intact," with </w:t>
      </w:r>
      <w:r>
        <w:rPr>
          <w:rFonts w:ascii="Public Sans" w:hAnsi="Public Sans"/>
          <w:b/>
          <w:i w:val="0"/>
          <w:color w:val="3D3E3E"/>
          <w:sz w:val="19"/>
        </w:rPr>
        <w:t>1/3/5yr-ahead inflation expectations all +0.1pt to ~2.7%</w:t>
      </w:r>
      <w:r>
        <w:rPr>
          <w:rFonts w:ascii="Public Sans" w:hAnsi="Public Sans"/>
          <w:b w:val="0"/>
          <w:i w:val="0"/>
          <w:color w:val="3D3E3E"/>
          <w:sz w:val="19"/>
        </w:rPr>
        <w:t xml:space="preserve"> — the leg that turns a sentiment survey into a rates catalyst. UBS (14759) and Citi (14668) corroborate "solid corporate sentiment / resilient price outlook."</w:t>
      </w:r>
    </w:p>
    <w:p>
      <w:pPr>
        <w:spacing w:after="80" w:line="283" w:lineRule="auto"/>
      </w:pPr>
      <w:r>
        <w:rPr>
          <w:rFonts w:ascii="Public Sans" w:hAnsi="Public Sans"/>
          <w:b w:val="0"/>
          <w:i w:val="0"/>
          <w:color w:val="3D3E3E"/>
          <w:sz w:val="19"/>
        </w:rPr>
        <w:t xml:space="preserve">The tradeable split is on </w:t>
      </w:r>
      <w:r>
        <w:rPr>
          <w:rFonts w:ascii="Public Sans" w:hAnsi="Public Sans"/>
          <w:b/>
          <w:i w:val="0"/>
          <w:color w:val="3D3E3E"/>
          <w:sz w:val="19"/>
        </w:rPr>
        <w:t>positioning near the intervention line</w:t>
      </w:r>
      <w:r>
        <w:rPr>
          <w:rFonts w:ascii="Public Sans" w:hAnsi="Public Sans"/>
          <w:b w:val="0"/>
          <w:i w:val="0"/>
          <w:color w:val="3D3E3E"/>
          <w:sz w:val="19"/>
        </w:rPr>
        <w:t xml:space="preserve">. HSBC (14595) is </w:t>
      </w:r>
      <w:r>
        <w:rPr>
          <w:rFonts w:ascii="Public Sans" w:hAnsi="Public Sans"/>
          <w:b w:val="0"/>
          <w:i/>
          <w:color w:val="3D3E3E"/>
          <w:sz w:val="19"/>
        </w:rPr>
        <w:t>closing</w:t>
      </w:r>
      <w:r>
        <w:rPr>
          <w:rFonts w:ascii="Public Sans" w:hAnsi="Public Sans"/>
          <w:b w:val="0"/>
          <w:i w:val="0"/>
          <w:color w:val="3D3E3E"/>
          <w:sz w:val="19"/>
        </w:rPr>
        <w:t xml:space="preserve"> its short SGD/JPY, still seeing "an intervention threat present"; BNP (14478) is </w:t>
      </w:r>
      <w:r>
        <w:rPr>
          <w:rFonts w:ascii="Public Sans" w:hAnsi="Public Sans"/>
          <w:b w:val="0"/>
          <w:i/>
          <w:color w:val="3D3E3E"/>
          <w:sz w:val="19"/>
        </w:rPr>
        <w:t>taking profit</w:t>
      </w:r>
      <w:r>
        <w:rPr>
          <w:rFonts w:ascii="Public Sans" w:hAnsi="Public Sans"/>
          <w:b w:val="0"/>
          <w:i w:val="0"/>
          <w:color w:val="3D3E3E"/>
          <w:sz w:val="19"/>
        </w:rPr>
        <w:t xml:space="preserve"> on a USD/JPY call structure with spot near 163, expecting official forces to lean against the top of the range. Both fade the easy money, against Citi's continuation and with SocGen's outright reversal forecast on the other extreme.</w:t>
      </w:r>
    </w:p>
    <w:p>
      <w:pPr>
        <w:spacing w:before="120" w:after="40"/>
        <w:keepNext/>
      </w:pPr>
      <w:r>
        <w:rPr>
          <w:rFonts w:ascii="Public Sans" w:hAnsi="Public Sans"/>
          <w:b/>
          <w:i w:val="0"/>
          <w:color w:val="001830"/>
          <w:sz w:val="19"/>
        </w:rPr>
        <w:t>C.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185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20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2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2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2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 (grounded)</w:t>
            </w:r>
          </w:p>
        </w:tc>
      </w:tr>
      <w:tr>
        <w:tc>
          <w:tcPr>
            <w:tcW w:type="dxa" w:w="18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Tankan supports faster/earlier hikes</w:t>
            </w:r>
          </w:p>
        </w:tc>
        <w:tc>
          <w:tcPr>
            <w:tcW w:type="dxa" w:w="20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Goldman, DB, JPM, MS, Nomura, UBS, Citi, Barclays</w:t>
            </w:r>
          </w:p>
        </w:tc>
        <w:tc>
          <w:tcPr>
            <w:tcW w:type="dxa" w:w="22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Firm sentiment + capex + rising price/expectations DIs = hike cover</w:t>
            </w:r>
          </w:p>
        </w:tc>
        <w:tc>
          <w:tcPr>
            <w:tcW w:type="dxa" w:w="22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DI +37 (14586); "faster hikes" (14624); infl-exp +0.1pt to 2.7% (14643); "justifies" path (14948)</w:t>
            </w:r>
          </w:p>
        </w:tc>
        <w:tc>
          <w:tcPr>
            <w:tcW w:type="dxa" w:w="22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The cb_events TE headline "large-mfg index 16 vs 17" </w:t>
            </w:r>
            <w:r>
              <w:rPr>
                <w:rFonts w:ascii="Public Sans" w:hAnsi="Public Sans"/>
                <w:b w:val="0"/>
                <w:i/>
                <w:color w:val="3D3E3E"/>
                <w:sz w:val="16"/>
              </w:rPr>
              <w:t>fell</w:t>
            </w:r>
            <w:r>
              <w:rPr>
                <w:rFonts w:ascii="Public Sans" w:hAnsi="Public Sans"/>
                <w:b w:val="0"/>
                <w:i w:val="0"/>
                <w:color w:val="3D3E3E"/>
                <w:sz w:val="16"/>
              </w:rPr>
              <w:t xml:space="preserve"> — a different series than the BoJ DI (see flag)</w:t>
            </w:r>
          </w:p>
        </w:tc>
      </w:tr>
      <w:tr>
        <w:tc>
          <w:tcPr>
            <w:tcW w:type="dxa" w:w="18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USD/JPY weak → intervention now near-imminent</w:t>
            </w:r>
          </w:p>
        </w:tc>
        <w:tc>
          <w:tcPr>
            <w:tcW w:type="dxa" w:w="20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Nomura, Citi, SocGen, HSBC</w:t>
            </w:r>
          </w:p>
        </w:tc>
        <w:tc>
          <w:tcPr>
            <w:tcW w:type="dxa" w:w="22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Spot 162+; official signalling "decisive action"</w:t>
            </w:r>
          </w:p>
        </w:tc>
        <w:tc>
          <w:tcPr>
            <w:tcW w:type="dxa" w:w="22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Mimura interview (14752); "nobody stopping" (14583); "2024 trauma" (14702)</w:t>
            </w:r>
          </w:p>
        </w:tc>
        <w:tc>
          <w:tcPr>
            <w:tcW w:type="dxa" w:w="22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 executed intervention on the record — the escalation is verbal only</w:t>
            </w:r>
          </w:p>
        </w:tc>
      </w:tr>
    </w:tbl>
    <w:p>
      <w:pPr>
        <w:spacing w:before="120" w:after="40"/>
        <w:keepNext/>
      </w:pPr>
      <w:r>
        <w:rPr>
          <w:rFonts w:ascii="Public Sans" w:hAnsi="Public Sans"/>
          <w:b/>
          <w:i w:val="0"/>
          <w:color w:val="001830"/>
          <w:sz w:val="19"/>
        </w:rPr>
        <w:t>D.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109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84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07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3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24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07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109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SocGen (14702)</w:t>
            </w:r>
          </w:p>
        </w:tc>
        <w:tc>
          <w:tcPr>
            <w:tcW w:type="dxa" w:w="84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USD/JPY</w:t>
            </w:r>
          </w:p>
        </w:tc>
        <w:tc>
          <w:tcPr>
            <w:tcW w:type="dxa" w:w="207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FY26 forecast </w:t>
            </w:r>
            <w:r>
              <w:rPr>
                <w:rFonts w:ascii="Public Sans" w:hAnsi="Public Sans"/>
                <w:b/>
                <w:i w:val="0"/>
                <w:color w:val="3D3E3E"/>
                <w:sz w:val="16"/>
              </w:rPr>
              <w:t>152.57</w:t>
            </w:r>
            <w:r>
              <w:rPr>
                <w:rFonts w:ascii="Public Sans" w:hAnsi="Public Sans"/>
                <w:b w:val="0"/>
                <w:i w:val="0"/>
                <w:color w:val="3D3E3E"/>
                <w:sz w:val="16"/>
              </w:rPr>
              <w:t xml:space="preserve"> — a reversal from 162+ spot</w:t>
            </w:r>
          </w:p>
        </w:tc>
        <w:tc>
          <w:tcPr>
            <w:tcW w:type="dxa" w:w="23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Outright mean-reversion call vs the depreciation consensus</w:t>
            </w:r>
          </w:p>
        </w:tc>
        <w:tc>
          <w:tcPr>
            <w:tcW w:type="dxa" w:w="224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Intervention + 2024-style squeeze reverses yen shorts</w:t>
            </w:r>
          </w:p>
        </w:tc>
        <w:tc>
          <w:tcPr>
            <w:tcW w:type="dxa" w:w="207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 differential dominates; spot grinds past 163</w:t>
            </w:r>
          </w:p>
        </w:tc>
      </w:tr>
      <w:tr>
        <w:tc>
          <w:tcPr>
            <w:tcW w:type="dxa" w:w="109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Barclays (14607)</w:t>
            </w:r>
          </w:p>
        </w:tc>
        <w:tc>
          <w:tcPr>
            <w:tcW w:type="dxa" w:w="84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JGB</w:t>
            </w:r>
          </w:p>
        </w:tc>
        <w:tc>
          <w:tcPr>
            <w:tcW w:type="dxa" w:w="207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Explicit </w:t>
            </w:r>
            <w:r>
              <w:rPr>
                <w:rFonts w:ascii="Public Sans" w:hAnsi="Public Sans"/>
                <w:b/>
                <w:i w:val="0"/>
                <w:color w:val="3D3E3E"/>
                <w:sz w:val="16"/>
              </w:rPr>
              <w:t>October hike</w:t>
            </w:r>
            <w:r>
              <w:rPr>
                <w:rFonts w:ascii="Public Sans" w:hAnsi="Public Sans"/>
                <w:b w:val="0"/>
                <w:i w:val="0"/>
                <w:color w:val="3D3E3E"/>
                <w:sz w:val="16"/>
              </w:rPr>
              <w:t xml:space="preserve"> call, reinforced by Tankan</w:t>
            </w:r>
          </w:p>
        </w:tc>
        <w:tc>
          <w:tcPr>
            <w:tcW w:type="dxa" w:w="23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Puts a date on the next hike where others stay directional</w:t>
            </w:r>
          </w:p>
        </w:tc>
        <w:tc>
          <w:tcPr>
            <w:tcW w:type="dxa" w:w="224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Tariff/autos drag (the weak DI spot) stays contained</w:t>
            </w:r>
          </w:p>
        </w:tc>
        <w:tc>
          <w:tcPr>
            <w:tcW w:type="dxa" w:w="207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Autos/export DIs roll over → BoJ delays</w:t>
            </w:r>
          </w:p>
        </w:tc>
      </w:tr>
      <w:tr>
        <w:tc>
          <w:tcPr>
            <w:tcW w:type="dxa" w:w="109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HSBC (14595) / BNP (14478)</w:t>
            </w:r>
          </w:p>
        </w:tc>
        <w:tc>
          <w:tcPr>
            <w:tcW w:type="dxa" w:w="84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JPY crosses / FX vol</w:t>
            </w:r>
          </w:p>
        </w:tc>
        <w:tc>
          <w:tcPr>
            <w:tcW w:type="dxa" w:w="207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Fade the yen move</w:t>
            </w:r>
            <w:r>
              <w:rPr>
                <w:rFonts w:ascii="Public Sans" w:hAnsi="Public Sans"/>
                <w:b w:val="0"/>
                <w:i w:val="0"/>
                <w:color w:val="3D3E3E"/>
                <w:sz w:val="16"/>
              </w:rPr>
              <w:t xml:space="preserve"> (close short / take profit)</w:t>
            </w:r>
          </w:p>
        </w:tc>
        <w:tc>
          <w:tcPr>
            <w:tcW w:type="dxa" w:w="23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Books gains where the tape says "new higher range"</w:t>
            </w:r>
          </w:p>
        </w:tc>
        <w:tc>
          <w:tcPr>
            <w:tcW w:type="dxa" w:w="224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Intervention threat caps further downside near-term</w:t>
            </w:r>
          </w:p>
        </w:tc>
        <w:tc>
          <w:tcPr>
            <w:tcW w:type="dxa" w:w="207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Disorderly break past 163 with no execution</w:t>
            </w:r>
          </w:p>
        </w:tc>
      </w:tr>
      <w:tr>
        <w:tc>
          <w:tcPr>
            <w:tcW w:type="dxa" w:w="109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Citi (14583)</w:t>
            </w:r>
          </w:p>
        </w:tc>
        <w:tc>
          <w:tcPr>
            <w:tcW w:type="dxa" w:w="84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JPY</w:t>
            </w:r>
          </w:p>
        </w:tc>
        <w:tc>
          <w:tcPr>
            <w:tcW w:type="dxa" w:w="207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r>
              <w:rPr>
                <w:rFonts w:ascii="Public Sans" w:hAnsi="Public Sans"/>
                <w:b/>
                <w:i w:val="0"/>
                <w:color w:val="3D3E3E"/>
                <w:sz w:val="16"/>
              </w:rPr>
              <w:t>Nobody stopping</w:t>
            </w:r>
            <w:r>
              <w:rPr>
                <w:rFonts w:ascii="Public Sans" w:hAnsi="Public Sans"/>
                <w:b w:val="0"/>
                <w:i w:val="0"/>
                <w:color w:val="3D3E3E"/>
                <w:sz w:val="16"/>
              </w:rPr>
              <w:t>" the depreciation (continuation)</w:t>
            </w:r>
          </w:p>
        </w:tc>
        <w:tc>
          <w:tcPr>
            <w:tcW w:type="dxa" w:w="23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Directly opposite the fade and the SocGen reversal</w:t>
            </w:r>
          </w:p>
        </w:tc>
        <w:tc>
          <w:tcPr>
            <w:tcW w:type="dxa" w:w="224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 differential dominates; jawboning is empty</w:t>
            </w:r>
          </w:p>
        </w:tc>
        <w:tc>
          <w:tcPr>
            <w:tcW w:type="dxa" w:w="207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Actual intervention / a hawkish BoJ surprise</w:t>
            </w:r>
          </w:p>
        </w:tc>
      </w:tr>
    </w:tbl>
    <w:p>
      <w:pPr>
        <w:spacing w:after="80" w:line="283" w:lineRule="auto"/>
      </w:pPr>
      <w:r>
        <w:rPr>
          <w:rFonts w:ascii="Public Sans" w:hAnsi="Public Sans"/>
          <w:b/>
          <w:i w:val="0"/>
          <w:color w:val="3D3E3E"/>
          <w:sz w:val="19"/>
        </w:rPr>
        <w:t>Unreconciled:</w:t>
      </w:r>
      <w:r>
        <w:rPr>
          <w:rFonts w:ascii="Public Sans" w:hAnsi="Public Sans"/>
          <w:b w:val="0"/>
          <w:i w:val="0"/>
          <w:color w:val="3D3E3E"/>
          <w:sz w:val="19"/>
        </w:rPr>
        <w:t xml:space="preserve"> TE "Tankan large-mfg index 16 vs 17" (cb_events row 21708, a dip) vs the BoJ business-conditions </w:t>
      </w:r>
      <w:r>
        <w:rPr>
          <w:rFonts w:ascii="Public Sans" w:hAnsi="Public Sans"/>
          <w:b/>
          <w:i w:val="0"/>
          <w:color w:val="3D3E3E"/>
          <w:sz w:val="19"/>
        </w:rPr>
        <w:t>DI ~+37 that improved</w:t>
      </w:r>
      <w:r>
        <w:rPr>
          <w:rFonts w:ascii="Public Sans" w:hAnsi="Public Sans"/>
          <w:b w:val="0"/>
          <w:i w:val="0"/>
          <w:color w:val="3D3E3E"/>
          <w:sz w:val="19"/>
        </w:rPr>
        <w:t xml:space="preserve"> (cited by every house) — different cuts of the survey; both shown, neither silently chosen. The house-cited DI drives the hike narrative. </w:t>
      </w:r>
      <w:r>
        <w:rPr>
          <w:rFonts w:ascii="Public Sans" w:hAnsi="Public Sans"/>
          <w:b/>
          <w:i w:val="0"/>
          <w:color w:val="3D3E3E"/>
          <w:sz w:val="19"/>
        </w:rPr>
        <w:t>Intervention:</w:t>
      </w:r>
      <w:r>
        <w:rPr>
          <w:rFonts w:ascii="Public Sans" w:hAnsi="Public Sans"/>
          <w:b w:val="0"/>
          <w:i w:val="0"/>
          <w:color w:val="3D3E3E"/>
          <w:sz w:val="19"/>
        </w:rPr>
        <w:t xml:space="preserve"> signalled/near-imminent per Mimura interview, </w:t>
      </w:r>
      <w:r>
        <w:rPr>
          <w:rFonts w:ascii="Public Sans" w:hAnsi="Public Sans"/>
          <w:b/>
          <w:i w:val="0"/>
          <w:color w:val="3D3E3E"/>
          <w:sz w:val="19"/>
        </w:rPr>
        <w:t>not executed</w:t>
      </w:r>
      <w:r>
        <w:rPr>
          <w:rFonts w:ascii="Public Sans" w:hAnsi="Public Sans"/>
          <w:b w:val="0"/>
          <w:i w:val="0"/>
          <w:color w:val="3D3E3E"/>
          <w:sz w:val="19"/>
        </w:rPr>
        <w:t xml:space="preserve"> on the record. </w:t>
      </w:r>
      <w:r>
        <w:rPr>
          <w:rFonts w:ascii="Public Sans" w:hAnsi="Public Sans"/>
          <w:b/>
          <w:i w:val="0"/>
          <w:color w:val="3D3E3E"/>
          <w:sz w:val="19"/>
        </w:rPr>
        <w:t>Not loaded:</w:t>
      </w:r>
      <w:r>
        <w:rPr>
          <w:rFonts w:ascii="Public Sans" w:hAnsi="Public Sans"/>
          <w:b w:val="0"/>
          <w:i w:val="0"/>
          <w:color w:val="3D3E3E"/>
          <w:sz w:val="19"/>
        </w:rPr>
        <w:t xml:space="preserve"> JP econ.fact_indicator is effectively absent (1 obs) — all JP numbers are cb_events prints or sell-side.</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Indonesia — inflation broadening; a further-hike call emerges  *(INSTRUMENT PENDING DEEPAK)*</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6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3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0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53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2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3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Inflation rising and broadening</w:t>
            </w:r>
            <w:r>
              <w:rPr>
                <w:rFonts w:ascii="Public Sans" w:hAnsi="Public Sans"/>
                <w:b w:val="0"/>
                <w:i w:val="0"/>
                <w:color w:val="3D3E3E"/>
                <w:sz w:val="16"/>
              </w:rPr>
              <w:t xml:space="preserve"> in June</w:t>
            </w:r>
          </w:p>
        </w:tc>
        <w:tc>
          <w:tcPr>
            <w:tcW w:type="dxa" w:w="10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IDR, IDR rates</w:t>
            </w:r>
          </w:p>
        </w:tc>
        <w:tc>
          <w:tcPr>
            <w:tcW w:type="dxa" w:w="153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 Nomura, Goldman</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Shifts the story from fuel-only to broad-based; feeds more hikes</w:t>
            </w:r>
          </w:p>
        </w:tc>
      </w:tr>
      <w:tr>
        <w:tc>
          <w:tcPr>
            <w:tcW w:type="dxa" w:w="4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37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BI reaction function: further hikes to 6.00%</w:t>
            </w:r>
          </w:p>
        </w:tc>
        <w:tc>
          <w:tcPr>
            <w:tcW w:type="dxa" w:w="107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IDR rates</w:t>
            </w:r>
          </w:p>
        </w:tc>
        <w:tc>
          <w:tcPr>
            <w:tcW w:type="dxa" w:w="153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JPM (differentiated)</w:t>
            </w:r>
          </w:p>
        </w:tc>
        <w:tc>
          <w:tcPr>
            <w:tcW w:type="dxa" w:w="42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named terminal above spot policy — a real path call</w:t>
            </w:r>
          </w:p>
        </w:tc>
      </w:tr>
      <w:tr>
        <w:tc>
          <w:tcPr>
            <w:tcW w:type="dxa" w:w="4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3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Large swing to a May trade deficit</w:t>
            </w:r>
          </w:p>
        </w:tc>
        <w:tc>
          <w:tcPr>
            <w:tcW w:type="dxa" w:w="10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IDR, C/A</w:t>
            </w:r>
          </w:p>
        </w:tc>
        <w:tc>
          <w:tcPr>
            <w:tcW w:type="dxa" w:w="153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External balance deteriorating alongside inflation — a squeeze</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BI </w:t>
      </w:r>
      <w:r>
        <w:rPr>
          <w:rFonts w:ascii="Public Sans" w:hAnsi="Public Sans"/>
          <w:b/>
          <w:i w:val="0"/>
          <w:color w:val="3D3E3E"/>
          <w:sz w:val="19"/>
        </w:rPr>
        <w:t>hiked twice in June</w:t>
      </w:r>
      <w:r>
        <w:rPr>
          <w:rFonts w:ascii="Public Sans" w:hAnsi="Public Sans"/>
          <w:b w:val="0"/>
          <w:i w:val="0"/>
          <w:color w:val="3D3E3E"/>
          <w:sz w:val="19"/>
        </w:rPr>
        <w:t xml:space="preserve"> (to 5.50% on 06-09, 5.75% on 06-18 — FACT), a currency-defence reaction function. This window sharpened the inflation read from "fuel-only" to broad-based. JPM (14806) reports June headline inflation rose to </w:t>
      </w:r>
      <w:r>
        <w:rPr>
          <w:rFonts w:ascii="Public Sans" w:hAnsi="Public Sans"/>
          <w:b/>
          <w:i w:val="0"/>
          <w:color w:val="3D3E3E"/>
          <w:sz w:val="19"/>
        </w:rPr>
        <w:t>0.4% m/m, ~2.9% oya from 0.8%</w:t>
      </w:r>
      <w:r>
        <w:rPr>
          <w:rFonts w:ascii="Public Sans" w:hAnsi="Public Sans"/>
          <w:b w:val="0"/>
          <w:i w:val="0"/>
          <w:color w:val="3D3E3E"/>
          <w:sz w:val="19"/>
        </w:rPr>
        <w:t xml:space="preserve">, with the pickup "rising and broadening" beyond administered/volatile items, and — the differentiated leg — expects BI to </w:t>
      </w:r>
      <w:r>
        <w:rPr>
          <w:rFonts w:ascii="Public Sans" w:hAnsi="Public Sans"/>
          <w:b/>
          <w:i w:val="0"/>
          <w:color w:val="3D3E3E"/>
          <w:sz w:val="19"/>
        </w:rPr>
        <w:t>hike further to 6.00% this month, with risks of additional hikes</w:t>
      </w:r>
      <w:r>
        <w:rPr>
          <w:rFonts w:ascii="Public Sans" w:hAnsi="Public Sans"/>
          <w:b w:val="0"/>
          <w:i w:val="0"/>
          <w:color w:val="3D3E3E"/>
          <w:sz w:val="19"/>
        </w:rPr>
        <w:t xml:space="preserve">. Nomura (14819) independently flags inflation "accelerated in June," and Goldman (14633) attributes the initial impulse to higher unsubsidised fuel prices (transport, food &amp; beverage). The complication JPM adds (14862) is a </w:t>
      </w:r>
      <w:r>
        <w:rPr>
          <w:rFonts w:ascii="Public Sans" w:hAnsi="Public Sans"/>
          <w:b/>
          <w:i w:val="0"/>
          <w:color w:val="3D3E3E"/>
          <w:sz w:val="19"/>
        </w:rPr>
        <w:t>large swing to a May trade deficit</w:t>
      </w:r>
      <w:r>
        <w:rPr>
          <w:rFonts w:ascii="Public Sans" w:hAnsi="Public Sans"/>
          <w:b w:val="0"/>
          <w:i w:val="0"/>
          <w:color w:val="3D3E3E"/>
          <w:sz w:val="19"/>
        </w:rPr>
        <w:t xml:space="preserve"> — a deteriorating external balance stacking on top of the inflation pickup, which is precisely the squeeze that forces a currency-defending central bank to keep tightening.</w:t>
      </w:r>
    </w:p>
    <w:p>
      <w:pPr>
        <w:spacing w:before="120" w:after="40"/>
        <w:keepNext/>
      </w:pPr>
      <w:r>
        <w:rPr>
          <w:rFonts w:ascii="Public Sans" w:hAnsi="Public Sans"/>
          <w:b/>
          <w:i w:val="0"/>
          <w:color w:val="001830"/>
          <w:sz w:val="19"/>
        </w:rPr>
        <w:t>C.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199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02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199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81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81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 (grounded)</w:t>
            </w:r>
          </w:p>
        </w:tc>
      </w:tr>
      <w:tr>
        <w:tc>
          <w:tcPr>
            <w:tcW w:type="dxa" w:w="199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Inflation accelerated/broadened in June</w:t>
            </w:r>
          </w:p>
        </w:tc>
        <w:tc>
          <w:tcPr>
            <w:tcW w:type="dxa" w:w="10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 Nomura, Goldman</w:t>
            </w:r>
          </w:p>
        </w:tc>
        <w:tc>
          <w:tcPr>
            <w:tcW w:type="dxa" w:w="199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June CPI rose and broadened beyond fuel</w:t>
            </w:r>
          </w:p>
        </w:tc>
        <w:tc>
          <w:tcPr>
            <w:tcW w:type="dxa" w:w="28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0.4% m/m, 2.9% oya (14806); "accelerated" (14819); fuel impulse (14633)</w:t>
            </w:r>
          </w:p>
        </w:tc>
        <w:tc>
          <w:tcPr>
            <w:tcW w:type="dxa" w:w="28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07-01 CPI actual is not booked in cb_events — the read is sell-side-reported</w:t>
            </w:r>
          </w:p>
        </w:tc>
      </w:tr>
    </w:tbl>
    <w:p>
      <w:pPr>
        <w:spacing w:before="120" w:after="40"/>
        <w:keepNext/>
      </w:pPr>
      <w:r>
        <w:rPr>
          <w:rFonts w:ascii="Public Sans" w:hAnsi="Public Sans"/>
          <w:b/>
          <w:i w:val="0"/>
          <w:color w:val="001830"/>
          <w:sz w:val="19"/>
        </w:rPr>
        <w:t>D.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69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64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194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54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54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27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69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JPM (14806)</w:t>
            </w:r>
          </w:p>
        </w:tc>
        <w:tc>
          <w:tcPr>
            <w:tcW w:type="dxa" w:w="6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IDR rates</w:t>
            </w:r>
          </w:p>
        </w:tc>
        <w:tc>
          <w:tcPr>
            <w:tcW w:type="dxa" w:w="194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BI </w:t>
            </w:r>
            <w:r>
              <w:rPr>
                <w:rFonts w:ascii="Public Sans" w:hAnsi="Public Sans"/>
                <w:b/>
                <w:i w:val="0"/>
                <w:color w:val="3D3E3E"/>
                <w:sz w:val="16"/>
              </w:rPr>
              <w:t>hikes to 6.00% this month</w:t>
            </w:r>
            <w:r>
              <w:rPr>
                <w:rFonts w:ascii="Public Sans" w:hAnsi="Public Sans"/>
                <w:b w:val="0"/>
                <w:i w:val="0"/>
                <w:color w:val="3D3E3E"/>
                <w:sz w:val="16"/>
              </w:rPr>
              <w:t>, more to come</w:t>
            </w:r>
          </w:p>
        </w:tc>
        <w:tc>
          <w:tcPr>
            <w:tcW w:type="dxa" w:w="254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Names a terminal above current policy; a path call, not a description</w:t>
            </w:r>
          </w:p>
        </w:tc>
        <w:tc>
          <w:tcPr>
            <w:tcW w:type="dxa" w:w="254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Broadening inflation + weak external balance force continued defence</w:t>
            </w:r>
          </w:p>
        </w:tc>
        <w:tc>
          <w:tcPr>
            <w:tcW w:type="dxa" w:w="227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Core CPI stabilises / rupiah steadies → BI pauses</w:t>
            </w:r>
          </w:p>
        </w:tc>
      </w:tr>
      <w:tr>
        <w:tc>
          <w:tcPr>
            <w:tcW w:type="dxa" w:w="69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Goldman (14633)</w:t>
            </w:r>
          </w:p>
        </w:tc>
        <w:tc>
          <w:tcPr>
            <w:tcW w:type="dxa" w:w="64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IDR rates / BE</w:t>
            </w:r>
          </w:p>
        </w:tc>
        <w:tc>
          <w:tcPr>
            <w:tcW w:type="dxa" w:w="194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June uptick is </w:t>
            </w:r>
            <w:r>
              <w:rPr>
                <w:rFonts w:ascii="Public Sans" w:hAnsi="Public Sans"/>
                <w:b/>
                <w:i w:val="0"/>
                <w:color w:val="3D3E3E"/>
                <w:sz w:val="16"/>
              </w:rPr>
              <w:t>fuel/cost-push</w:t>
            </w:r>
            <w:r>
              <w:rPr>
                <w:rFonts w:ascii="Public Sans" w:hAnsi="Public Sans"/>
                <w:b w:val="0"/>
                <w:i w:val="0"/>
                <w:color w:val="3D3E3E"/>
                <w:sz w:val="16"/>
              </w:rPr>
              <w:t xml:space="preserve"> in origin</w:t>
            </w:r>
          </w:p>
        </w:tc>
        <w:tc>
          <w:tcPr>
            <w:tcW w:type="dxa" w:w="254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Isolates the source where others emphasise the currency</w:t>
            </w:r>
          </w:p>
        </w:tc>
        <w:tc>
          <w:tcPr>
            <w:tcW w:type="dxa" w:w="254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fuel impulse is supply-side; hikes don't address it</w:t>
            </w:r>
          </w:p>
        </w:tc>
        <w:tc>
          <w:tcPr>
            <w:tcW w:type="dxa" w:w="227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Demand-pull broadening validates the hikes</w:t>
            </w:r>
          </w:p>
        </w:tc>
      </w:tr>
    </w:tbl>
    <w:p>
      <w:pPr>
        <w:spacing w:after="80" w:line="283" w:lineRule="auto"/>
      </w:pPr>
      <w:r>
        <w:rPr>
          <w:rFonts w:ascii="Public Sans" w:hAnsi="Public Sans"/>
          <w:b/>
          <w:i w:val="0"/>
          <w:color w:val="3D3E3E"/>
          <w:sz w:val="19"/>
        </w:rPr>
        <w:t>Puzzle fit:</w:t>
      </w:r>
      <w:r>
        <w:rPr>
          <w:rFonts w:ascii="Public Sans" w:hAnsi="Public Sans"/>
          <w:b w:val="0"/>
          <w:i w:val="0"/>
          <w:color w:val="3D3E3E"/>
          <w:sz w:val="19"/>
        </w:rPr>
        <w:t xml:space="preserve"> currency-defence reaction function + broadening inflation + deteriorating external balance. </w:t>
      </w:r>
      <w:r>
        <w:rPr>
          <w:rFonts w:ascii="Public Sans" w:hAnsi="Public Sans"/>
          <w:b/>
          <w:i w:val="0"/>
          <w:color w:val="3D3E3E"/>
          <w:sz w:val="19"/>
        </w:rPr>
        <w:t>No Spider instrument is named</w:t>
      </w:r>
      <w:r>
        <w:rPr>
          <w:rFonts w:ascii="Public Sans" w:hAnsi="Public Sans"/>
          <w:b w:val="0"/>
          <w:i w:val="0"/>
          <w:color w:val="3D3E3E"/>
          <w:sz w:val="19"/>
        </w:rPr>
        <w:t xml:space="preserve"> (SRBI vs IDR rates vs govvies) — JPM's earlier reference to "SRBI yields at high levels" is an observed market condition only; the "use the bonds" instruction remains </w:t>
      </w:r>
      <w:r>
        <w:rPr>
          <w:rFonts w:ascii="Public Sans" w:hAnsi="Public Sans"/>
          <w:b/>
          <w:i w:val="0"/>
          <w:color w:val="3D3E3E"/>
          <w:sz w:val="19"/>
        </w:rPr>
        <w:t>PENDING DEEPAK</w:t>
      </w:r>
      <w:r>
        <w:rPr>
          <w:rFonts w:ascii="Public Sans" w:hAnsi="Public Sans"/>
          <w:b w:val="0"/>
          <w:i w:val="0"/>
          <w:color w:val="3D3E3E"/>
          <w:sz w:val="19"/>
        </w:rPr>
        <w:t xml:space="preserve">. </w:t>
      </w:r>
      <w:r>
        <w:rPr>
          <w:rFonts w:ascii="Public Sans" w:hAnsi="Public Sans"/>
          <w:b/>
          <w:i w:val="0"/>
          <w:color w:val="3D3E3E"/>
          <w:sz w:val="19"/>
        </w:rPr>
        <w:t>DEPTH:</w:t>
      </w:r>
      <w:r>
        <w:rPr>
          <w:rFonts w:ascii="Public Sans" w:hAnsi="Public Sans"/>
          <w:b w:val="0"/>
          <w:i w:val="0"/>
          <w:color w:val="3D3E3E"/>
          <w:sz w:val="19"/>
        </w:rPr>
        <w:t xml:space="preserve"> ID econ.fact_indicator reasonably deep (91 indicators, latest 06-26) — CPI component follow-up available once the print books.</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Australia — the "quiet tightening" debate over a static cash rate</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33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06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1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306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06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33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06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RBA </w:t>
            </w:r>
            <w:r>
              <w:rPr>
                <w:rFonts w:ascii="Public Sans" w:hAnsi="Public Sans"/>
                <w:b/>
                <w:i w:val="0"/>
                <w:color w:val="3D3E3E"/>
                <w:sz w:val="16"/>
              </w:rPr>
              <w:t>neutral-rate</w:t>
            </w:r>
            <w:r>
              <w:rPr>
                <w:rFonts w:ascii="Public Sans" w:hAnsi="Public Sans"/>
                <w:b w:val="0"/>
                <w:i w:val="0"/>
                <w:color w:val="3D3E3E"/>
                <w:sz w:val="16"/>
              </w:rPr>
              <w:t xml:space="preserve"> debate (June minutes)</w:t>
            </w:r>
          </w:p>
        </w:tc>
        <w:tc>
          <w:tcPr>
            <w:tcW w:type="dxa" w:w="11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AUD rates, front-end</w:t>
            </w:r>
          </w:p>
        </w:tc>
        <w:tc>
          <w:tcPr>
            <w:tcW w:type="dxa" w:w="306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Nomura, BofA, Westpac, JPM</w:t>
            </w:r>
          </w:p>
        </w:tc>
        <w:tc>
          <w:tcPr>
            <w:tcW w:type="dxa" w:w="306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Re-frames whether 4.35% is neutral, tight, or easy</w:t>
            </w:r>
          </w:p>
        </w:tc>
      </w:tr>
      <w:tr>
        <w:tc>
          <w:tcPr>
            <w:tcW w:type="dxa" w:w="33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06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Is a static 4.35% actually </w:t>
            </w:r>
            <w:r>
              <w:rPr>
                <w:rFonts w:ascii="Public Sans" w:hAnsi="Public Sans"/>
                <w:b/>
                <w:i w:val="0"/>
                <w:color w:val="3D3E3E"/>
                <w:sz w:val="16"/>
              </w:rPr>
              <w:t>tightening</w:t>
            </w:r>
            <w:r>
              <w:rPr>
                <w:rFonts w:ascii="Public Sans" w:hAnsi="Public Sans"/>
                <w:b w:val="0"/>
                <w:i w:val="0"/>
                <w:color w:val="3D3E3E"/>
                <w:sz w:val="16"/>
              </w:rPr>
              <w:t>? (opposite mechanisms)</w:t>
            </w:r>
          </w:p>
        </w:tc>
        <w:tc>
          <w:tcPr>
            <w:tcW w:type="dxa" w:w="11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AUD rates, AUD</w:t>
            </w:r>
          </w:p>
        </w:tc>
        <w:tc>
          <w:tcPr>
            <w:tcW w:type="dxa" w:w="306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BofA (short-run neutral falls) vs Nomura (long-run neutral up)</w:t>
            </w:r>
          </w:p>
        </w:tc>
        <w:tc>
          <w:tcPr>
            <w:tcW w:type="dxa" w:w="306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Same "tight" conclusion, opposite mechanism</w:t>
            </w:r>
          </w:p>
        </w:tc>
      </w:tr>
      <w:tr>
        <w:tc>
          <w:tcPr>
            <w:tcW w:type="dxa" w:w="33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06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Sticky services/domestic inflation</w:t>
            </w:r>
            <w:r>
              <w:rPr>
                <w:rFonts w:ascii="Public Sans" w:hAnsi="Public Sans"/>
                <w:b w:val="0"/>
                <w:i w:val="0"/>
                <w:color w:val="3D3E3E"/>
                <w:sz w:val="16"/>
              </w:rPr>
              <w:t xml:space="preserve"> vs soft tradables</w:t>
            </w:r>
          </w:p>
        </w:tc>
        <w:tc>
          <w:tcPr>
            <w:tcW w:type="dxa" w:w="11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AUD rates, ACGB</w:t>
            </w:r>
          </w:p>
        </w:tc>
        <w:tc>
          <w:tcPr>
            <w:tcW w:type="dxa" w:w="306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Westpac, BofA + ABS depth</w:t>
            </w:r>
          </w:p>
        </w:tc>
        <w:tc>
          <w:tcPr>
            <w:tcW w:type="dxa" w:w="306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Why the Board is "still on edge"; corroborated by the CPI mix</w:t>
            </w:r>
          </w:p>
        </w:tc>
      </w:tr>
      <w:tr>
        <w:tc>
          <w:tcPr>
            <w:tcW w:type="dxa" w:w="33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306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Two-speed housing</w:t>
            </w:r>
            <w:r>
              <w:rPr>
                <w:rFonts w:ascii="Public Sans" w:hAnsi="Public Sans"/>
                <w:b w:val="0"/>
                <w:i w:val="0"/>
                <w:color w:val="3D3E3E"/>
                <w:sz w:val="16"/>
              </w:rPr>
              <w:t xml:space="preserve"> — firm credit, falling prices</w:t>
            </w:r>
          </w:p>
        </w:tc>
        <w:tc>
          <w:tcPr>
            <w:tcW w:type="dxa" w:w="11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AUD, banks, ACGB</w:t>
            </w:r>
          </w:p>
        </w:tc>
        <w:tc>
          <w:tcPr>
            <w:tcW w:type="dxa" w:w="306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ANZ, UBS, Goldman, MS</w:t>
            </w:r>
          </w:p>
        </w:tc>
        <w:tc>
          <w:tcPr>
            <w:tcW w:type="dxa" w:w="306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Complicates the tightening story; credit ~8% YoY, prices down</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RBA </w:t>
      </w:r>
      <w:r>
        <w:rPr>
          <w:rFonts w:ascii="Public Sans" w:hAnsi="Public Sans"/>
          <w:b/>
          <w:i w:val="0"/>
          <w:color w:val="3D3E3E"/>
          <w:sz w:val="19"/>
        </w:rPr>
        <w:t>held 4.35%</w:t>
      </w:r>
      <w:r>
        <w:rPr>
          <w:rFonts w:ascii="Public Sans" w:hAnsi="Public Sans"/>
          <w:b w:val="0"/>
          <w:i w:val="0"/>
          <w:color w:val="3D3E3E"/>
          <w:sz w:val="19"/>
        </w:rPr>
        <w:t xml:space="preserve"> (06-16); the June minutes (06-30, FACT) frame a reaction-function debate. Read in full, the houses disagree on the </w:t>
      </w:r>
      <w:r>
        <w:rPr>
          <w:rFonts w:ascii="Public Sans" w:hAnsi="Public Sans"/>
          <w:b w:val="0"/>
          <w:i/>
          <w:color w:val="3D3E3E"/>
          <w:sz w:val="19"/>
        </w:rPr>
        <w:t>mechanism</w:t>
      </w:r>
      <w:r>
        <w:rPr>
          <w:rFonts w:ascii="Public Sans" w:hAnsi="Public Sans"/>
          <w:b w:val="0"/>
          <w:i w:val="0"/>
          <w:color w:val="3D3E3E"/>
          <w:sz w:val="19"/>
        </w:rPr>
        <w:t xml:space="preserve"> while landing on "tight for longer." Nomura (14304) reads a </w:t>
      </w:r>
      <w:r>
        <w:rPr>
          <w:rFonts w:ascii="Public Sans" w:hAnsi="Public Sans"/>
          <w:b/>
          <w:i w:val="0"/>
          <w:color w:val="3D3E3E"/>
          <w:sz w:val="19"/>
        </w:rPr>
        <w:t>higher long-run neutral</w:t>
      </w:r>
      <w:r>
        <w:rPr>
          <w:rFonts w:ascii="Public Sans" w:hAnsi="Public Sans"/>
          <w:b w:val="0"/>
          <w:i w:val="0"/>
          <w:color w:val="3D3E3E"/>
          <w:sz w:val="19"/>
        </w:rPr>
        <w:t xml:space="preserve"> ("a hawkish thought"), frames terminal ~4.10%, but stresses the board "did not specifically consider a hike," the neutral note "related to the tightness of policy," and keeps its profile </w:t>
      </w:r>
      <w:r>
        <w:rPr>
          <w:rFonts w:ascii="Public Sans" w:hAnsi="Public Sans"/>
          <w:b/>
          <w:i w:val="0"/>
          <w:color w:val="3D3E3E"/>
          <w:sz w:val="19"/>
        </w:rPr>
        <w:t>unaltered (no further hikes, 4.35% into end-2026)</w:t>
      </w:r>
      <w:r>
        <w:rPr>
          <w:rFonts w:ascii="Public Sans" w:hAnsi="Public Sans"/>
          <w:b w:val="0"/>
          <w:i w:val="0"/>
          <w:color w:val="3D3E3E"/>
          <w:sz w:val="19"/>
        </w:rPr>
        <w:t xml:space="preserve"> — a careful read, not a hawkish one. BofA's "Quiet Tightening" (14544) runs the opposite mechanism: the </w:t>
      </w:r>
      <w:r>
        <w:rPr>
          <w:rFonts w:ascii="Public Sans" w:hAnsi="Public Sans"/>
          <w:b/>
          <w:i w:val="0"/>
          <w:color w:val="3D3E3E"/>
          <w:sz w:val="19"/>
        </w:rPr>
        <w:t>short-run (cyclical) neutral rate is *falling</w:t>
      </w:r>
      <w:r>
        <w:rPr>
          <w:rFonts w:ascii="Public Sans" w:hAnsi="Public Sans"/>
          <w:b w:val="0"/>
          <w:i/>
          <w:color w:val="3D3E3E"/>
          <w:sz w:val="19"/>
        </w:rPr>
        <w:t xml:space="preserve">, so a pinned 4.35% is passively getting tighter through yields, borrowing costs and housing credit — first cut pushed to </w:t>
      </w:r>
      <w:r>
        <w:rPr>
          <w:rFonts w:ascii="Public Sans" w:hAnsi="Public Sans"/>
          <w:b w:val="0"/>
          <w:i/>
          <w:color w:val="3D3E3E"/>
          <w:sz w:val="19"/>
        </w:rPr>
        <w:t>August 2027</w:t>
      </w:r>
      <w:r>
        <w:rPr>
          <w:rFonts w:ascii="Public Sans" w:hAnsi="Public Sans"/>
          <w:b w:val="0"/>
          <w:i/>
          <w:color w:val="3D3E3E"/>
          <w:sz w:val="19"/>
        </w:rPr>
        <w:t>, risks "skewed to another hike." Westpac (14363) sits between, a Board "still on edge about inflation." Pricing corroborates the tilt without an imminent hike: Westpac's What's-Priced-In (14364/14704, PRICING) has only ~</w:t>
      </w:r>
      <w:r>
        <w:rPr>
          <w:rFonts w:ascii="Public Sans" w:hAnsi="Public Sans"/>
          <w:b w:val="0"/>
          <w:i/>
          <w:color w:val="3D3E3E"/>
          <w:sz w:val="19"/>
        </w:rPr>
        <w:t>17% of a hike</w:t>
      </w:r>
      <w:r>
        <w:rPr>
          <w:rFonts w:ascii="Public Sans" w:hAnsi="Public Sans"/>
          <w:b w:val="0"/>
          <w:i w:val="0"/>
          <w:color w:val="3D3E3E"/>
          <w:sz w:val="19"/>
        </w:rPr>
        <w:t>* by 11-Aug, ~32% by end-Sep.</w:t>
      </w:r>
    </w:p>
    <w:p>
      <w:pPr>
        <w:spacing w:after="80" w:line="283" w:lineRule="auto"/>
      </w:pPr>
      <w:r>
        <w:rPr>
          <w:rFonts w:ascii="Public Sans" w:hAnsi="Public Sans"/>
          <w:b w:val="0"/>
          <w:i w:val="0"/>
          <w:color w:val="3D3E3E"/>
          <w:sz w:val="19"/>
        </w:rPr>
        <w:t xml:space="preserve">The ABS data does the work. Latest monthly CPI (May, DEPTH): </w:t>
      </w:r>
      <w:r>
        <w:rPr>
          <w:rFonts w:ascii="Public Sans" w:hAnsi="Public Sans"/>
          <w:b/>
          <w:i w:val="0"/>
          <w:color w:val="3D3E3E"/>
          <w:sz w:val="19"/>
        </w:rPr>
        <w:t>headline 4.0% YoY, trimmed mean 3.6%, weighted median 3.6%</w:t>
      </w:r>
      <w:r>
        <w:rPr>
          <w:rFonts w:ascii="Public Sans" w:hAnsi="Public Sans"/>
          <w:b w:val="0"/>
          <w:i w:val="0"/>
          <w:color w:val="3D3E3E"/>
          <w:sz w:val="19"/>
        </w:rPr>
        <w:t xml:space="preserve">, persistence in </w:t>
      </w:r>
      <w:r>
        <w:rPr>
          <w:rFonts w:ascii="Public Sans" w:hAnsi="Public Sans"/>
          <w:b/>
          <w:i w:val="0"/>
          <w:color w:val="3D3E3E"/>
          <w:sz w:val="19"/>
        </w:rPr>
        <w:t>housing +6.5%, electricity +21.1%, rents +3.6%, services 3.7%</w:t>
      </w:r>
      <w:r>
        <w:rPr>
          <w:rFonts w:ascii="Public Sans" w:hAnsi="Public Sans"/>
          <w:b w:val="0"/>
          <w:i w:val="0"/>
          <w:color w:val="3D3E3E"/>
          <w:sz w:val="19"/>
        </w:rPr>
        <w:t xml:space="preserve"> vs tradables only +2.5% — the domestic/services stickiness behind "on edge." Housing is two-speed: Cotality 5-capital drifted </w:t>
      </w:r>
      <w:r>
        <w:rPr>
          <w:rFonts w:ascii="Public Sans" w:hAnsi="Public Sans"/>
          <w:b/>
          <w:i w:val="0"/>
          <w:color w:val="3D3E3E"/>
          <w:sz w:val="19"/>
        </w:rPr>
        <w:t>down</w:t>
      </w:r>
      <w:r>
        <w:rPr>
          <w:rFonts w:ascii="Public Sans" w:hAnsi="Public Sans"/>
          <w:b w:val="0"/>
          <w:i w:val="0"/>
          <w:color w:val="3D3E3E"/>
          <w:sz w:val="19"/>
        </w:rPr>
        <w:t xml:space="preserve"> through late June (Sydney/Melbourne leading; ANZ 14603/14705, UBS 14650 flag the downturn), yet private-sector credit ran </w:t>
      </w:r>
      <w:r>
        <w:rPr>
          <w:rFonts w:ascii="Public Sans" w:hAnsi="Public Sans"/>
          <w:b/>
          <w:i w:val="0"/>
          <w:color w:val="3D3E3E"/>
          <w:sz w:val="19"/>
        </w:rPr>
        <w:t>+0.7% MoM / ~8% YoY</w:t>
      </w:r>
      <w:r>
        <w:rPr>
          <w:rFonts w:ascii="Public Sans" w:hAnsi="Public Sans"/>
          <w:b w:val="0"/>
          <w:i w:val="0"/>
          <w:color w:val="3D3E3E"/>
          <w:sz w:val="19"/>
        </w:rPr>
        <w:t xml:space="preserve"> (Goldman 14245). Building/dwelling approvals mixed-to-soft (Goldman 14590, MS 14648, Westpac 14653, JPM 14641). Firm credit, soft prices — the exact channel BofA's thesis leans on.</w:t>
      </w:r>
    </w:p>
    <w:p>
      <w:pPr>
        <w:spacing w:before="120" w:after="40"/>
        <w:keepNext/>
      </w:pPr>
      <w:r>
        <w:rPr>
          <w:rFonts w:ascii="Public Sans" w:hAnsi="Public Sans"/>
          <w:b/>
          <w:i w:val="0"/>
          <w:color w:val="001830"/>
          <w:sz w:val="19"/>
        </w:rPr>
        <w:t>C.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187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00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49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64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64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 (grounded)</w:t>
            </w:r>
          </w:p>
        </w:tc>
      </w:tr>
      <w:tr>
        <w:tc>
          <w:tcPr>
            <w:tcW w:type="dxa" w:w="187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RBA effectively tight; no near-term cut</w:t>
            </w:r>
          </w:p>
        </w:tc>
        <w:tc>
          <w:tcPr>
            <w:tcW w:type="dxa" w:w="100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Nomura, BofA, Westpac</w:t>
            </w:r>
          </w:p>
        </w:tc>
        <w:tc>
          <w:tcPr>
            <w:tcW w:type="dxa" w:w="24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Stance restrictive; cuts distant</w:t>
            </w:r>
          </w:p>
        </w:tc>
        <w:tc>
          <w:tcPr>
            <w:tcW w:type="dxa" w:w="2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June minutes neutral-rate language; OIS ~17% a hike by Aug (14364)</w:t>
            </w:r>
          </w:p>
        </w:tc>
        <w:tc>
          <w:tcPr>
            <w:tcW w:type="dxa" w:w="2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They disagree on </w:t>
            </w:r>
            <w:r>
              <w:rPr>
                <w:rFonts w:ascii="Public Sans" w:hAnsi="Public Sans"/>
                <w:b w:val="0"/>
                <w:i/>
                <w:color w:val="3D3E3E"/>
                <w:sz w:val="16"/>
              </w:rPr>
              <w:t>why</w:t>
            </w:r>
            <w:r>
              <w:rPr>
                <w:rFonts w:ascii="Public Sans" w:hAnsi="Public Sans"/>
                <w:b w:val="0"/>
                <w:i w:val="0"/>
                <w:color w:val="3D3E3E"/>
                <w:sz w:val="16"/>
              </w:rPr>
              <w:t xml:space="preserve"> neutral shifted — "tight" hides opposite mechanisms (see D)</w:t>
            </w:r>
          </w:p>
        </w:tc>
      </w:tr>
      <w:tr>
        <w:tc>
          <w:tcPr>
            <w:tcW w:type="dxa" w:w="187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Inflation still the binding constraint</w:t>
            </w:r>
          </w:p>
        </w:tc>
        <w:tc>
          <w:tcPr>
            <w:tcW w:type="dxa" w:w="100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Westpac, BofA</w:t>
            </w:r>
          </w:p>
        </w:tc>
        <w:tc>
          <w:tcPr>
            <w:tcW w:type="dxa" w:w="24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Domestic/services inflation keeps the Board cautious</w:t>
            </w:r>
          </w:p>
        </w:tc>
        <w:tc>
          <w:tcPr>
            <w:tcW w:type="dxa" w:w="2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Trimmed mean 3.6%, services 3.7%, electricity +21.1% (ABS DEPTH)</w:t>
            </w:r>
          </w:p>
        </w:tc>
        <w:tc>
          <w:tcPr>
            <w:tcW w:type="dxa" w:w="2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Tradables at 2.5% — goods-side disinflation is real; under-weighted</w:t>
            </w:r>
          </w:p>
        </w:tc>
      </w:tr>
      <w:tr>
        <w:tc>
          <w:tcPr>
            <w:tcW w:type="dxa" w:w="187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Housing softening but credit resilient</w:t>
            </w:r>
          </w:p>
        </w:tc>
        <w:tc>
          <w:tcPr>
            <w:tcW w:type="dxa" w:w="100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UBS, Goldman, MS</w:t>
            </w:r>
          </w:p>
        </w:tc>
        <w:tc>
          <w:tcPr>
            <w:tcW w:type="dxa" w:w="24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Prices down, approvals soft, credit ~8%</w:t>
            </w:r>
          </w:p>
        </w:tc>
        <w:tc>
          <w:tcPr>
            <w:tcW w:type="dxa" w:w="2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Cotality down; credit +0.7% mom (14245); approvals mixed (14590/14648)</w:t>
            </w:r>
          </w:p>
        </w:tc>
        <w:tc>
          <w:tcPr>
            <w:tcW w:type="dxa" w:w="2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 one reconciles falling prices with +8% credit — tension left open</w:t>
            </w:r>
          </w:p>
        </w:tc>
      </w:tr>
    </w:tbl>
    <w:p>
      <w:pPr>
        <w:spacing w:before="120" w:after="40"/>
        <w:keepNext/>
      </w:pPr>
      <w:r>
        <w:rPr>
          <w:rFonts w:ascii="Public Sans" w:hAnsi="Public Sans"/>
          <w:b/>
          <w:i w:val="0"/>
          <w:color w:val="001830"/>
          <w:sz w:val="19"/>
        </w:rPr>
        <w:t>D.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61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39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41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41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41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41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6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BofA (14544)</w:t>
            </w:r>
          </w:p>
        </w:tc>
        <w:tc>
          <w:tcPr>
            <w:tcW w:type="dxa" w:w="39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AUD rates</w:t>
            </w:r>
          </w:p>
        </w:tc>
        <w:tc>
          <w:tcPr>
            <w:tcW w:type="dxa" w:w="24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t>
            </w:r>
            <w:r>
              <w:rPr>
                <w:rFonts w:ascii="Public Sans" w:hAnsi="Public Sans"/>
                <w:b/>
                <w:i w:val="0"/>
                <w:color w:val="3D3E3E"/>
                <w:sz w:val="16"/>
              </w:rPr>
              <w:t>Quiet tightening</w:t>
            </w:r>
            <w:r>
              <w:rPr>
                <w:rFonts w:ascii="Public Sans" w:hAnsi="Public Sans"/>
                <w:b w:val="0"/>
                <w:i w:val="0"/>
                <w:color w:val="3D3E3E"/>
                <w:sz w:val="16"/>
              </w:rPr>
              <w:t xml:space="preserve">": short-run neutral </w:t>
            </w:r>
            <w:r>
              <w:rPr>
                <w:rFonts w:ascii="Public Sans" w:hAnsi="Public Sans"/>
                <w:b w:val="0"/>
                <w:i/>
                <w:color w:val="3D3E3E"/>
                <w:sz w:val="16"/>
              </w:rPr>
              <w:t>falls</w:t>
            </w:r>
            <w:r>
              <w:rPr>
                <w:rFonts w:ascii="Public Sans" w:hAnsi="Public Sans"/>
                <w:b w:val="0"/>
                <w:i w:val="0"/>
                <w:color w:val="3D3E3E"/>
                <w:sz w:val="16"/>
              </w:rPr>
              <w:t>, static 4.35% passively tightens; first cut Aug-2027, risks to a hike</w:t>
            </w:r>
          </w:p>
        </w:tc>
        <w:tc>
          <w:tcPr>
            <w:tcW w:type="dxa" w:w="24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Opposite mechanism to Nomura — cyclical neutral dropping, not long-run rising</w:t>
            </w:r>
          </w:p>
        </w:tc>
        <w:tc>
          <w:tcPr>
            <w:tcW w:type="dxa" w:w="24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Transmission via yields/housing credit does the tightening the RBA won't</w:t>
            </w:r>
          </w:p>
        </w:tc>
        <w:tc>
          <w:tcPr>
            <w:tcW w:type="dxa" w:w="24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Neutral re-rises / demand re-accelerates → stance turns easy</w:t>
            </w:r>
          </w:p>
        </w:tc>
      </w:tr>
      <w:tr>
        <w:tc>
          <w:tcPr>
            <w:tcW w:type="dxa" w:w="6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Nomura (14304)</w:t>
            </w:r>
          </w:p>
        </w:tc>
        <w:tc>
          <w:tcPr>
            <w:tcW w:type="dxa" w:w="39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AUD rates</w:t>
            </w:r>
          </w:p>
        </w:tc>
        <w:tc>
          <w:tcPr>
            <w:tcW w:type="dxa" w:w="24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Minutes flag </w:t>
            </w:r>
            <w:r>
              <w:rPr>
                <w:rFonts w:ascii="Public Sans" w:hAnsi="Public Sans"/>
                <w:b/>
                <w:i w:val="0"/>
                <w:color w:val="3D3E3E"/>
                <w:sz w:val="16"/>
              </w:rPr>
              <w:t>higher long-run neutral</w:t>
            </w:r>
            <w:r>
              <w:rPr>
                <w:rFonts w:ascii="Public Sans" w:hAnsi="Public Sans"/>
                <w:b w:val="0"/>
                <w:i w:val="0"/>
                <w:color w:val="3D3E3E"/>
                <w:sz w:val="16"/>
              </w:rPr>
              <w:t xml:space="preserve">, but </w:t>
            </w:r>
            <w:r>
              <w:rPr>
                <w:rFonts w:ascii="Public Sans" w:hAnsi="Public Sans"/>
                <w:b/>
                <w:i w:val="0"/>
                <w:color w:val="3D3E3E"/>
                <w:sz w:val="16"/>
              </w:rPr>
              <w:t>no hike</w:t>
            </w:r>
            <w:r>
              <w:rPr>
                <w:rFonts w:ascii="Public Sans" w:hAnsi="Public Sans"/>
                <w:b w:val="0"/>
                <w:i w:val="0"/>
                <w:color w:val="3D3E3E"/>
                <w:sz w:val="16"/>
              </w:rPr>
              <w:t xml:space="preserve"> — profile unaltered</w:t>
            </w:r>
          </w:p>
        </w:tc>
        <w:tc>
          <w:tcPr>
            <w:tcW w:type="dxa" w:w="24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Reads the hawkish nuance yet holds its call; board "did not consider" a hike</w:t>
            </w:r>
          </w:p>
        </w:tc>
        <w:tc>
          <w:tcPr>
            <w:tcW w:type="dxa" w:w="24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neutral note is about tightness, not a signal to move</w:t>
            </w:r>
          </w:p>
        </w:tc>
        <w:tc>
          <w:tcPr>
            <w:tcW w:type="dxa" w:w="24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Board actually contemplates a hike at a coming meeting</w:t>
            </w:r>
          </w:p>
        </w:tc>
      </w:tr>
    </w:tbl>
    <w:p>
      <w:pPr>
        <w:spacing w:after="80" w:line="283" w:lineRule="auto"/>
      </w:pPr>
      <w:r>
        <w:rPr>
          <w:rFonts w:ascii="Public Sans" w:hAnsi="Public Sans"/>
          <w:b w:val="0"/>
          <w:i/>
          <w:color w:val="3D3E3E"/>
          <w:sz w:val="19"/>
        </w:rPr>
        <w:t>Trade row expanded:</w:t>
      </w:r>
      <w:r>
        <w:rPr>
          <w:rFonts w:ascii="Public Sans" w:hAnsi="Public Sans"/>
          <w:b w:val="0"/>
          <w:i w:val="0"/>
          <w:color w:val="3D3E3E"/>
          <w:sz w:val="19"/>
        </w:rPr>
        <w:t xml:space="preserve"> #5 (antipodean higher-for-longer / hike-risk bias; assumption = sticky services inflation keeps the stance restrictive; falsifier = labour cracks re-price a cut). Provenance Nomura/BofA/Westpac — note the two lead houses reason from </w:t>
      </w:r>
      <w:r>
        <w:rPr>
          <w:rFonts w:ascii="Public Sans" w:hAnsi="Public Sans"/>
          <w:b w:val="0"/>
          <w:i/>
          <w:color w:val="3D3E3E"/>
          <w:sz w:val="19"/>
        </w:rPr>
        <w:t>opposite</w:t>
      </w:r>
      <w:r>
        <w:rPr>
          <w:rFonts w:ascii="Public Sans" w:hAnsi="Public Sans"/>
          <w:b w:val="0"/>
          <w:i w:val="0"/>
          <w:color w:val="3D3E3E"/>
          <w:sz w:val="19"/>
        </w:rPr>
        <w:t xml:space="preserve"> neutral-rate mechanisms.</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New Zealand — RBNZ Jul-8: a live hike-vs-hold split</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0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53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33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73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6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0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53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RBNZ Jul-8</w:t>
            </w:r>
            <w:r>
              <w:rPr>
                <w:rFonts w:ascii="Public Sans" w:hAnsi="Public Sans"/>
                <w:b w:val="0"/>
                <w:i w:val="0"/>
                <w:color w:val="3D3E3E"/>
                <w:sz w:val="16"/>
              </w:rPr>
              <w:t xml:space="preserve"> — hike now or hold to September</w:t>
            </w:r>
          </w:p>
        </w:tc>
        <w:tc>
          <w:tcPr>
            <w:tcW w:type="dxa" w:w="13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NZD rates, NZD, NZGB</w:t>
            </w:r>
          </w:p>
        </w:tc>
        <w:tc>
          <w:tcPr>
            <w:tcW w:type="dxa" w:w="17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(hike), Westpac (hold)</w:t>
            </w:r>
          </w:p>
        </w:tc>
        <w:tc>
          <w:tcPr>
            <w:tcW w:type="dxa" w:w="36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Binary, imminent; the two lead local houses disagree on the meeting</w:t>
            </w:r>
          </w:p>
        </w:tc>
      </w:tr>
      <w:tr>
        <w:tc>
          <w:tcPr>
            <w:tcW w:type="dxa" w:w="40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53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RBNZ has a </w:t>
            </w:r>
            <w:r>
              <w:rPr>
                <w:rFonts w:ascii="Public Sans" w:hAnsi="Public Sans"/>
                <w:b/>
                <w:i w:val="0"/>
                <w:color w:val="3D3E3E"/>
                <w:sz w:val="16"/>
              </w:rPr>
              <w:t>pre-committed hike path</w:t>
            </w:r>
            <w:r>
              <w:rPr>
                <w:rFonts w:ascii="Public Sans" w:hAnsi="Public Sans"/>
                <w:b w:val="0"/>
                <w:i w:val="0"/>
                <w:color w:val="3D3E3E"/>
                <w:sz w:val="16"/>
              </w:rPr>
              <w:t xml:space="preserve"> (its own forecast)</w:t>
            </w:r>
          </w:p>
        </w:tc>
        <w:tc>
          <w:tcPr>
            <w:tcW w:type="dxa" w:w="13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NZD rates</w:t>
            </w:r>
          </w:p>
        </w:tc>
        <w:tc>
          <w:tcPr>
            <w:tcW w:type="dxa" w:w="17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ANZ, Westpac</w:t>
            </w:r>
          </w:p>
        </w:tc>
        <w:tc>
          <w:tcPr>
            <w:tcW w:type="dxa" w:w="36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question is timing, not direction</w:t>
            </w:r>
          </w:p>
        </w:tc>
      </w:tr>
      <w:tr>
        <w:tc>
          <w:tcPr>
            <w:tcW w:type="dxa" w:w="40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53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Oil-shock persistence</w:t>
            </w:r>
            <w:r>
              <w:rPr>
                <w:rFonts w:ascii="Public Sans" w:hAnsi="Public Sans"/>
                <w:b w:val="0"/>
                <w:i w:val="0"/>
                <w:color w:val="3D3E3E"/>
                <w:sz w:val="16"/>
              </w:rPr>
              <w:t xml:space="preserve"> as the swing factor</w:t>
            </w:r>
          </w:p>
        </w:tc>
        <w:tc>
          <w:tcPr>
            <w:tcW w:type="dxa" w:w="13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NZD rates, BE</w:t>
            </w:r>
          </w:p>
        </w:tc>
        <w:tc>
          <w:tcPr>
            <w:tcW w:type="dxa" w:w="17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Westpac</w:t>
            </w:r>
          </w:p>
        </w:tc>
        <w:tc>
          <w:tcPr>
            <w:tcW w:type="dxa" w:w="36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Governor's May off-ramp was oil/growth-conditional</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OCR </w:t>
      </w:r>
      <w:r>
        <w:rPr>
          <w:rFonts w:ascii="Public Sans" w:hAnsi="Public Sans"/>
          <w:b/>
          <w:i w:val="0"/>
          <w:color w:val="3D3E3E"/>
          <w:sz w:val="19"/>
        </w:rPr>
        <w:t>2.25%</w:t>
      </w:r>
      <w:r>
        <w:rPr>
          <w:rFonts w:ascii="Public Sans" w:hAnsi="Public Sans"/>
          <w:b w:val="0"/>
          <w:i w:val="0"/>
          <w:color w:val="3D3E3E"/>
          <w:sz w:val="19"/>
        </w:rPr>
        <w:t xml:space="preserve">; the </w:t>
      </w:r>
      <w:r>
        <w:rPr>
          <w:rFonts w:ascii="Public Sans" w:hAnsi="Public Sans"/>
          <w:b/>
          <w:i w:val="0"/>
          <w:color w:val="3D3E3E"/>
          <w:sz w:val="19"/>
        </w:rPr>
        <w:t>RBNZ decision is 2026-07-08</w:t>
      </w:r>
      <w:r>
        <w:rPr>
          <w:rFonts w:ascii="Public Sans" w:hAnsi="Public Sans"/>
          <w:b w:val="0"/>
          <w:i w:val="0"/>
          <w:color w:val="3D3E3E"/>
          <w:sz w:val="19"/>
        </w:rPr>
        <w:t xml:space="preserve"> (FACT, forward). The two lead NZ houses land on opposite calls for the meeting. </w:t>
      </w:r>
      <w:r>
        <w:rPr>
          <w:rFonts w:ascii="Public Sans" w:hAnsi="Public Sans"/>
          <w:b/>
          <w:i w:val="0"/>
          <w:color w:val="3D3E3E"/>
          <w:sz w:val="19"/>
        </w:rPr>
        <w:t>ANZ (14581, refreshed pricing 14880)</w:t>
      </w:r>
      <w:r>
        <w:rPr>
          <w:rFonts w:ascii="Public Sans" w:hAnsi="Public Sans"/>
          <w:b w:val="0"/>
          <w:i w:val="0"/>
          <w:color w:val="3D3E3E"/>
          <w:sz w:val="19"/>
        </w:rPr>
        <w:t xml:space="preserve"> expects </w:t>
      </w:r>
      <w:r>
        <w:rPr>
          <w:rFonts w:ascii="Public Sans" w:hAnsi="Public Sans"/>
          <w:b/>
          <w:i w:val="0"/>
          <w:color w:val="3D3E3E"/>
          <w:sz w:val="19"/>
        </w:rPr>
        <w:t>+25bp to 2.50% at Jul-8</w:t>
      </w:r>
      <w:r>
        <w:rPr>
          <w:rFonts w:ascii="Public Sans" w:hAnsi="Public Sans"/>
          <w:b w:val="0"/>
          <w:i w:val="0"/>
          <w:color w:val="3D3E3E"/>
          <w:sz w:val="19"/>
        </w:rPr>
        <w:t xml:space="preserve"> ("let's get started"): the Committee "was already planning on lifting the OCR," risks tilted to neutral being higher, core/wage pressure predates the Middle East conflict, and the oil-shock component is "fairly persistent and worth maybe +30bp on the TWI." </w:t>
      </w:r>
      <w:r>
        <w:rPr>
          <w:rFonts w:ascii="Public Sans" w:hAnsi="Public Sans"/>
          <w:b/>
          <w:i w:val="0"/>
          <w:color w:val="3D3E3E"/>
          <w:sz w:val="19"/>
        </w:rPr>
        <w:t>Westpac (14368)</w:t>
      </w:r>
      <w:r>
        <w:rPr>
          <w:rFonts w:ascii="Public Sans" w:hAnsi="Public Sans"/>
          <w:b w:val="0"/>
          <w:i w:val="0"/>
          <w:color w:val="3D3E3E"/>
          <w:sz w:val="19"/>
        </w:rPr>
        <w:t xml:space="preserve"> reads the </w:t>
      </w:r>
      <w:r>
        <w:rPr>
          <w:rFonts w:ascii="Public Sans" w:hAnsi="Public Sans"/>
          <w:b w:val="0"/>
          <w:i/>
          <w:color w:val="3D3E3E"/>
          <w:sz w:val="19"/>
        </w:rPr>
        <w:t>same</w:t>
      </w:r>
      <w:r>
        <w:rPr>
          <w:rFonts w:ascii="Public Sans" w:hAnsi="Public Sans"/>
          <w:b w:val="0"/>
          <w:i w:val="0"/>
          <w:color w:val="3D3E3E"/>
          <w:sz w:val="19"/>
        </w:rPr>
        <w:t xml:space="preserve"> Governor and expects a </w:t>
      </w:r>
      <w:r>
        <w:rPr>
          <w:rFonts w:ascii="Public Sans" w:hAnsi="Public Sans"/>
          <w:b/>
          <w:i w:val="0"/>
          <w:color w:val="3D3E3E"/>
          <w:sz w:val="19"/>
        </w:rPr>
        <w:t>hold at 2.25%, lift-off September</w:t>
      </w:r>
      <w:r>
        <w:rPr>
          <w:rFonts w:ascii="Public Sans" w:hAnsi="Public Sans"/>
          <w:b w:val="0"/>
          <w:i w:val="0"/>
          <w:color w:val="3D3E3E"/>
          <w:sz w:val="19"/>
        </w:rPr>
        <w:t xml:space="preserve">: the May release was "more conditional," the Governor said "if we see oil prices falling really much more than expected… we may not hike," the quick Iran de-escalation removes urgency, and Jul-8 is only a review (not a full Statement) — a natural spot to wait. Pricing sits nearer ANZ: ANZ's What's-Priced-In carries </w:t>
      </w:r>
      <w:r>
        <w:rPr>
          <w:rFonts w:ascii="Public Sans" w:hAnsi="Public Sans"/>
          <w:b/>
          <w:i w:val="0"/>
          <w:color w:val="3D3E3E"/>
          <w:sz w:val="19"/>
        </w:rPr>
        <w:t>~+17-19bp into Jul-8</w:t>
      </w:r>
      <w:r>
        <w:rPr>
          <w:rFonts w:ascii="Public Sans" w:hAnsi="Public Sans"/>
          <w:b w:val="0"/>
          <w:i w:val="0"/>
          <w:color w:val="3D3E3E"/>
          <w:sz w:val="19"/>
        </w:rPr>
        <w:t xml:space="preserve">, a curve to </w:t>
      </w:r>
      <w:r>
        <w:rPr>
          <w:rFonts w:ascii="Public Sans" w:hAnsi="Public Sans"/>
          <w:b/>
          <w:i w:val="0"/>
          <w:color w:val="3D3E3E"/>
          <w:sz w:val="19"/>
        </w:rPr>
        <w:t>~2.83 by December</w:t>
      </w:r>
      <w:r>
        <w:rPr>
          <w:rFonts w:ascii="Public Sans" w:hAnsi="Public Sans"/>
          <w:b w:val="0"/>
          <w:i w:val="0"/>
          <w:color w:val="3D3E3E"/>
          <w:sz w:val="19"/>
        </w:rPr>
        <w:t>; the cb_events forecast still tags a hold. Business confidence firming (ANZ 14237; Westpac 14262/14955 building consents) supports the direction.</w:t>
      </w:r>
    </w:p>
    <w:p>
      <w:pPr>
        <w:spacing w:before="120" w:after="40"/>
        <w:keepNext/>
      </w:pPr>
      <w:r>
        <w:rPr>
          <w:rFonts w:ascii="Public Sans" w:hAnsi="Public Sans"/>
          <w:b/>
          <w:i w:val="0"/>
          <w:color w:val="001830"/>
          <w:sz w:val="19"/>
        </w:rPr>
        <w:t>C.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212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59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5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71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71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 (grounded)</w:t>
            </w:r>
          </w:p>
        </w:tc>
      </w:tr>
      <w:tr>
        <w:tc>
          <w:tcPr>
            <w:tcW w:type="dxa" w:w="21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RBNZ is on a hiking path (direction agreed)</w:t>
            </w:r>
          </w:p>
        </w:tc>
        <w:tc>
          <w:tcPr>
            <w:tcW w:type="dxa" w:w="5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Westpac</w:t>
            </w:r>
          </w:p>
        </w:tc>
        <w:tc>
          <w:tcPr>
            <w:tcW w:type="dxa" w:w="25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OCR is going up; only the timing is in question</w:t>
            </w:r>
          </w:p>
        </w:tc>
        <w:tc>
          <w:tcPr>
            <w:tcW w:type="dxa" w:w="271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May MPS guidance; oil-shock persistence; firming confidence (14237/14262)</w:t>
            </w:r>
          </w:p>
        </w:tc>
        <w:tc>
          <w:tcPr>
            <w:tcW w:type="dxa" w:w="271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They do </w:t>
            </w:r>
            <w:r>
              <w:rPr>
                <w:rFonts w:ascii="Public Sans" w:hAnsi="Public Sans"/>
                <w:b/>
                <w:i w:val="0"/>
                <w:color w:val="3D3E3E"/>
                <w:sz w:val="16"/>
              </w:rPr>
              <w:t>not</w:t>
            </w:r>
            <w:r>
              <w:rPr>
                <w:rFonts w:ascii="Public Sans" w:hAnsi="Public Sans"/>
                <w:b w:val="0"/>
                <w:i w:val="0"/>
                <w:color w:val="3D3E3E"/>
                <w:sz w:val="16"/>
              </w:rPr>
              <w:t xml:space="preserve"> agree on the Jul-8 meeting itself — direction-consensus hides a timing split (see D)</w:t>
            </w:r>
          </w:p>
        </w:tc>
      </w:tr>
    </w:tbl>
    <w:p>
      <w:pPr>
        <w:spacing w:before="120" w:after="40"/>
        <w:keepNext/>
      </w:pPr>
      <w:r>
        <w:rPr>
          <w:rFonts w:ascii="Public Sans" w:hAnsi="Public Sans"/>
          <w:b/>
          <w:i w:val="0"/>
          <w:color w:val="001830"/>
          <w:sz w:val="19"/>
        </w:rPr>
        <w:t>D.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72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67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144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64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64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54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72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ANZ (14581)</w:t>
            </w:r>
          </w:p>
        </w:tc>
        <w:tc>
          <w:tcPr>
            <w:tcW w:type="dxa" w:w="67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NZD rates, NZD</w:t>
            </w:r>
          </w:p>
        </w:tc>
        <w:tc>
          <w:tcPr>
            <w:tcW w:type="dxa" w:w="14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Hike +25bp to 2.50% at Jul-8</w:t>
            </w:r>
          </w:p>
        </w:tc>
        <w:tc>
          <w:tcPr>
            <w:tcW w:type="dxa" w:w="2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Calls the hike now, at a review, ahead of the market</w:t>
            </w:r>
          </w:p>
        </w:tc>
        <w:tc>
          <w:tcPr>
            <w:tcW w:type="dxa" w:w="2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Committee delivers its path; oil-shock ~+30bp TWI persists</w:t>
            </w:r>
          </w:p>
        </w:tc>
        <w:tc>
          <w:tcPr>
            <w:tcW w:type="dxa" w:w="254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Growth/oil undershoot → Governor invokes his off-ramp</w:t>
            </w:r>
          </w:p>
        </w:tc>
      </w:tr>
      <w:tr>
        <w:tc>
          <w:tcPr>
            <w:tcW w:type="dxa" w:w="72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Westpac (14368)</w:t>
            </w:r>
          </w:p>
        </w:tc>
        <w:tc>
          <w:tcPr>
            <w:tcW w:type="dxa" w:w="67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NZD rates</w:t>
            </w:r>
          </w:p>
        </w:tc>
        <w:tc>
          <w:tcPr>
            <w:tcW w:type="dxa" w:w="14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Hold Jul-8; lift-off September</w:t>
            </w:r>
          </w:p>
        </w:tc>
        <w:tc>
          <w:tcPr>
            <w:tcW w:type="dxa" w:w="2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Reads the same Governor as more conditional; waits for data</w:t>
            </w:r>
          </w:p>
        </w:tc>
        <w:tc>
          <w:tcPr>
            <w:tcW w:type="dxa" w:w="2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Iran de-escalation + data-review argue for patience</w:t>
            </w:r>
          </w:p>
        </w:tc>
        <w:tc>
          <w:tcPr>
            <w:tcW w:type="dxa" w:w="254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RBNZ hikes Jul-8 anyway → Westpac a meeting late</w:t>
            </w:r>
          </w:p>
        </w:tc>
      </w:tr>
    </w:tbl>
    <w:p>
      <w:pPr>
        <w:spacing w:after="80" w:line="283" w:lineRule="auto"/>
      </w:pPr>
      <w:r>
        <w:rPr>
          <w:rFonts w:ascii="Public Sans" w:hAnsi="Public Sans"/>
          <w:b/>
          <w:i w:val="0"/>
          <w:color w:val="3D3E3E"/>
          <w:sz w:val="19"/>
        </w:rPr>
        <w:t>Unreconciled:</w:t>
      </w:r>
      <w:r>
        <w:rPr>
          <w:rFonts w:ascii="Public Sans" w:hAnsi="Public Sans"/>
          <w:b w:val="0"/>
          <w:i w:val="0"/>
          <w:color w:val="3D3E3E"/>
          <w:sz w:val="19"/>
        </w:rPr>
        <w:t xml:space="preserve"> three readings of Jul-8 coexist — ANZ hike / Westpac hold→Sept / cb_events forecast hold. All shown. </w:t>
      </w:r>
      <w:r>
        <w:rPr>
          <w:rFonts w:ascii="Public Sans" w:hAnsi="Public Sans"/>
          <w:b/>
          <w:i w:val="0"/>
          <w:color w:val="3D3E3E"/>
          <w:sz w:val="19"/>
        </w:rPr>
        <w:t>Not loaded:</w:t>
      </w:r>
      <w:r>
        <w:rPr>
          <w:rFonts w:ascii="Public Sans" w:hAnsi="Public Sans"/>
          <w:b w:val="0"/>
          <w:i w:val="0"/>
          <w:color w:val="3D3E3E"/>
          <w:sz w:val="19"/>
        </w:rPr>
        <w:t xml:space="preserve"> NZ econ.fact_indicator thin (46 indicators, latest 05-31) — sanity-check only.</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United Kingdom — sticky inflation, hawkish dissent, a steepening gilt curve</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38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50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21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204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50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3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50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Inflation shocks steepen the gilt curve</w:t>
            </w:r>
            <w:r>
              <w:rPr>
                <w:rFonts w:ascii="Public Sans" w:hAnsi="Public Sans"/>
                <w:b w:val="0"/>
                <w:i w:val="0"/>
                <w:color w:val="3D3E3E"/>
                <w:sz w:val="16"/>
              </w:rPr>
              <w:t xml:space="preserve"> (UK most exposed)</w:t>
            </w:r>
          </w:p>
        </w:tc>
        <w:tc>
          <w:tcPr>
            <w:tcW w:type="dxa" w:w="12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Gilts, linkers, GBP</w:t>
            </w:r>
          </w:p>
        </w:tc>
        <w:tc>
          <w:tcPr>
            <w:tcW w:type="dxa" w:w="20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UBS</w:t>
            </w:r>
          </w:p>
        </w:tc>
        <w:tc>
          <w:tcPr>
            <w:tcW w:type="dxa" w:w="350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differentiated rates thread; quantified curve response</w:t>
            </w:r>
          </w:p>
        </w:tc>
      </w:tr>
      <w:tr>
        <w:tc>
          <w:tcPr>
            <w:tcW w:type="dxa" w:w="3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50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BoE </w:t>
            </w:r>
            <w:r>
              <w:rPr>
                <w:rFonts w:ascii="Public Sans" w:hAnsi="Public Sans"/>
                <w:b/>
                <w:i w:val="0"/>
                <w:color w:val="3D3E3E"/>
                <w:sz w:val="16"/>
              </w:rPr>
              <w:t>hawkish vote drift</w:t>
            </w:r>
            <w:r>
              <w:rPr>
                <w:rFonts w:ascii="Public Sans" w:hAnsi="Public Sans"/>
                <w:b w:val="0"/>
                <w:i w:val="0"/>
                <w:color w:val="3D3E3E"/>
                <w:sz w:val="16"/>
              </w:rPr>
              <w:t xml:space="preserve"> (2 hike dissents) + firm GDP</w:t>
            </w:r>
          </w:p>
        </w:tc>
        <w:tc>
          <w:tcPr>
            <w:tcW w:type="dxa" w:w="121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Gilts, GBP</w:t>
            </w:r>
          </w:p>
        </w:tc>
        <w:tc>
          <w:tcPr>
            <w:tcW w:type="dxa" w:w="20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BoE (FACT); speaker-heavy window</w:t>
            </w:r>
          </w:p>
        </w:tc>
        <w:tc>
          <w:tcPr>
            <w:tcW w:type="dxa" w:w="350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Vote split + growth support a higher-for-longer front end</w:t>
            </w:r>
          </w:p>
        </w:tc>
      </w:tr>
      <w:tr>
        <w:tc>
          <w:tcPr>
            <w:tcW w:type="dxa" w:w="3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50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Leadership transition</w:t>
            </w:r>
            <w:r>
              <w:rPr>
                <w:rFonts w:ascii="Public Sans" w:hAnsi="Public Sans"/>
                <w:b w:val="0"/>
                <w:i w:val="0"/>
                <w:color w:val="3D3E3E"/>
                <w:sz w:val="16"/>
              </w:rPr>
              <w:t xml:space="preserve"> communication risk</w:t>
            </w:r>
          </w:p>
        </w:tc>
        <w:tc>
          <w:tcPr>
            <w:tcW w:type="dxa" w:w="121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Gilts, GBP</w:t>
            </w:r>
          </w:p>
        </w:tc>
        <w:tc>
          <w:tcPr>
            <w:tcW w:type="dxa" w:w="20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UBS</w:t>
            </w:r>
          </w:p>
        </w:tc>
        <w:tc>
          <w:tcPr>
            <w:tcW w:type="dxa" w:w="350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UK-specific institutional overhang into the July path</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BoE </w:t>
      </w:r>
      <w:r>
        <w:rPr>
          <w:rFonts w:ascii="Public Sans" w:hAnsi="Public Sans"/>
          <w:b/>
          <w:i w:val="0"/>
          <w:color w:val="3D3E3E"/>
          <w:sz w:val="19"/>
        </w:rPr>
        <w:t>held 3.75%</w:t>
      </w:r>
      <w:r>
        <w:rPr>
          <w:rFonts w:ascii="Public Sans" w:hAnsi="Public Sans"/>
          <w:b w:val="0"/>
          <w:i w:val="0"/>
          <w:color w:val="3D3E3E"/>
          <w:sz w:val="19"/>
        </w:rPr>
        <w:t xml:space="preserve"> on 06-18 with a </w:t>
      </w:r>
      <w:r>
        <w:rPr>
          <w:rFonts w:ascii="Public Sans" w:hAnsi="Public Sans"/>
          <w:b/>
          <w:i w:val="0"/>
          <w:color w:val="3D3E3E"/>
          <w:sz w:val="19"/>
        </w:rPr>
        <w:t>7/2/0 vote — two members dissenting to hike</w:t>
      </w:r>
      <w:r>
        <w:rPr>
          <w:rFonts w:ascii="Public Sans" w:hAnsi="Public Sans"/>
          <w:b w:val="0"/>
          <w:i w:val="0"/>
          <w:color w:val="3D3E3E"/>
          <w:sz w:val="19"/>
        </w:rPr>
        <w:t xml:space="preserve"> (FACT; prior 8-1). The hawkish </w:t>
      </w:r>
      <w:r>
        <w:rPr>
          <w:rFonts w:ascii="Public Sans" w:hAnsi="Public Sans"/>
          <w:b w:val="0"/>
          <w:i/>
          <w:color w:val="3D3E3E"/>
          <w:sz w:val="19"/>
        </w:rPr>
        <w:t>drift</w:t>
      </w:r>
      <w:r>
        <w:rPr>
          <w:rFonts w:ascii="Public Sans" w:hAnsi="Public Sans"/>
          <w:b w:val="0"/>
          <w:i w:val="0"/>
          <w:color w:val="3D3E3E"/>
          <w:sz w:val="19"/>
        </w:rPr>
        <w:t xml:space="preserve"> is the signal. The window is speaker-heavy — Bailey (07-01, 07-03), Mann (07-02), credit-conditions survey (07-02), the DMP 1y CPI-expectations series (07-03, prior 3.7%) — and final Q1 GDP confirmed a firmer </w:t>
      </w:r>
      <w:r>
        <w:rPr>
          <w:rFonts w:ascii="Public Sans" w:hAnsi="Public Sans"/>
          <w:b/>
          <w:i w:val="0"/>
          <w:color w:val="3D3E3E"/>
          <w:sz w:val="19"/>
        </w:rPr>
        <w:t>+0.6% QoQ / +1.1% YoY</w:t>
      </w:r>
      <w:r>
        <w:rPr>
          <w:rFonts w:ascii="Public Sans" w:hAnsi="Public Sans"/>
          <w:b w:val="0"/>
          <w:i w:val="0"/>
          <w:color w:val="3D3E3E"/>
          <w:sz w:val="19"/>
        </w:rPr>
        <w:t xml:space="preserve">, removing the growth alibi for cuts. UBS supplies the differentiated content: "Inflationary shocks steepen the gilt curve" (14426) models the UK curve response to a 1ppt inflation shock and finds it more front-end-driven than peers, with the </w:t>
      </w:r>
      <w:r>
        <w:rPr>
          <w:rFonts w:ascii="Public Sans" w:hAnsi="Public Sans"/>
          <w:b/>
          <w:i w:val="0"/>
          <w:color w:val="3D3E3E"/>
          <w:sz w:val="19"/>
        </w:rPr>
        <w:t>UK carrying the highest inflation-linked debt share</w:t>
      </w:r>
      <w:r>
        <w:rPr>
          <w:rFonts w:ascii="Public Sans" w:hAnsi="Public Sans"/>
          <w:b w:val="0"/>
          <w:i w:val="0"/>
          <w:color w:val="3D3E3E"/>
          <w:sz w:val="19"/>
        </w:rPr>
        <w:t xml:space="preserve"> — so an inflation shock transmits harder into UK rates and fiscal. The companion "Simply UK: The Gilt Trip" (14310) carries the thesis cross-asset, and UBS's UK-leadership-transition note (14824) adds an institutional overhang to watch into the July path.</w:t>
      </w:r>
    </w:p>
    <w:p>
      <w:pPr>
        <w:spacing w:before="120" w:after="40"/>
        <w:keepNext/>
      </w:pPr>
      <w:r>
        <w:rPr>
          <w:rFonts w:ascii="Public Sans" w:hAnsi="Public Sans"/>
          <w:b/>
          <w:i w:val="0"/>
          <w:color w:val="001830"/>
          <w:sz w:val="19"/>
        </w:rPr>
        <w:t>C. Consensus views (≥2 independent banks)</w:t>
      </w:r>
    </w:p>
    <w:p>
      <w:pPr>
        <w:spacing w:after="80" w:line="283" w:lineRule="auto"/>
      </w:pPr>
      <w:r>
        <w:rPr>
          <w:rFonts w:ascii="Public Sans" w:hAnsi="Public Sans"/>
          <w:b w:val="0"/>
          <w:i/>
          <w:color w:val="3D3E3E"/>
          <w:sz w:val="19"/>
        </w:rPr>
        <w:t>None cleared the ≥2-independent-bank bar in-window.</w:t>
      </w:r>
      <w:r>
        <w:rPr>
          <w:rFonts w:ascii="Public Sans" w:hAnsi="Public Sans"/>
          <w:b w:val="0"/>
          <w:i w:val="0"/>
          <w:color w:val="3D3E3E"/>
          <w:sz w:val="19"/>
        </w:rPr>
        <w:t xml:space="preserve"> UK flow was dominated by the BoE mechanics (FACT) and a single differentiated house (UBS) on the gilt curve. Stated as low-n rather than manufacturing a consensus row.</w:t>
      </w:r>
    </w:p>
    <w:p>
      <w:pPr>
        <w:spacing w:before="120" w:after="40"/>
        <w:keepNext/>
      </w:pPr>
      <w:r>
        <w:rPr>
          <w:rFonts w:ascii="Public Sans" w:hAnsi="Public Sans"/>
          <w:b/>
          <w:i w:val="0"/>
          <w:color w:val="001830"/>
          <w:sz w:val="19"/>
        </w:rPr>
        <w:t>D.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46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96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30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30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30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30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4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UBS (14426)</w:t>
            </w:r>
          </w:p>
        </w:tc>
        <w:tc>
          <w:tcPr>
            <w:tcW w:type="dxa" w:w="9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Gilts, linkers</w:t>
            </w:r>
          </w:p>
        </w:tc>
        <w:tc>
          <w:tcPr>
            <w:tcW w:type="dxa" w:w="23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Inflation shocks steepen the gilt curve</w:t>
            </w:r>
            <w:r>
              <w:rPr>
                <w:rFonts w:ascii="Public Sans" w:hAnsi="Public Sans"/>
                <w:b w:val="0"/>
                <w:i w:val="0"/>
                <w:color w:val="3D3E3E"/>
                <w:sz w:val="16"/>
              </w:rPr>
              <w:t>; UK most exposed via high linker share</w:t>
            </w:r>
          </w:p>
        </w:tc>
        <w:tc>
          <w:tcPr>
            <w:tcW w:type="dxa" w:w="23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Quantifies a UK-specific curve response tied to the index-linked debt structure</w:t>
            </w:r>
          </w:p>
        </w:tc>
        <w:tc>
          <w:tcPr>
            <w:tcW w:type="dxa" w:w="23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 inflation shock is the operative risk; front-end whiplash leads</w:t>
            </w:r>
          </w:p>
        </w:tc>
        <w:tc>
          <w:tcPr>
            <w:tcW w:type="dxa" w:w="23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disinflation surprise / flight-to-quality bull-flattening</w:t>
            </w:r>
          </w:p>
        </w:tc>
      </w:tr>
      <w:tr>
        <w:tc>
          <w:tcPr>
            <w:tcW w:type="dxa" w:w="4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UBS (14310)</w:t>
            </w:r>
          </w:p>
        </w:tc>
        <w:tc>
          <w:tcPr>
            <w:tcW w:type="dxa" w:w="9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UK equity / cross-asset</w:t>
            </w:r>
          </w:p>
        </w:tc>
        <w:tc>
          <w:tcPr>
            <w:tcW w:type="dxa" w:w="23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t>
            </w:r>
            <w:r>
              <w:rPr>
                <w:rFonts w:ascii="Public Sans" w:hAnsi="Public Sans"/>
                <w:b/>
                <w:i w:val="0"/>
                <w:color w:val="3D3E3E"/>
                <w:sz w:val="16"/>
              </w:rPr>
              <w:t>The Gilt Trip</w:t>
            </w:r>
            <w:r>
              <w:rPr>
                <w:rFonts w:ascii="Public Sans" w:hAnsi="Public Sans"/>
                <w:b w:val="0"/>
                <w:i w:val="0"/>
                <w:color w:val="3D3E3E"/>
                <w:sz w:val="16"/>
              </w:rPr>
              <w:t>" — carries the steepening thesis into equity positioning</w:t>
            </w:r>
          </w:p>
        </w:tc>
        <w:tc>
          <w:tcPr>
            <w:tcW w:type="dxa" w:w="23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Bridges the rates call into equity strategy</w:t>
            </w:r>
          </w:p>
        </w:tc>
        <w:tc>
          <w:tcPr>
            <w:tcW w:type="dxa" w:w="23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Gilt-curve dynamics dominate the UK equity risk premium</w:t>
            </w:r>
          </w:p>
        </w:tc>
        <w:tc>
          <w:tcPr>
            <w:tcW w:type="dxa" w:w="23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 stabilise; equity read decouples from the curve</w:t>
            </w:r>
          </w:p>
        </w:tc>
      </w:tr>
    </w:tbl>
    <w:p>
      <w:pPr>
        <w:spacing w:after="80" w:line="283" w:lineRule="auto"/>
      </w:pPr>
      <w:r>
        <w:rPr>
          <w:rFonts w:ascii="Public Sans" w:hAnsi="Public Sans"/>
          <w:b/>
          <w:i w:val="0"/>
          <w:color w:val="3D3E3E"/>
          <w:sz w:val="19"/>
        </w:rPr>
        <w:t>Not loaded:</w:t>
      </w:r>
      <w:r>
        <w:rPr>
          <w:rFonts w:ascii="Public Sans" w:hAnsi="Public Sans"/>
          <w:b w:val="0"/>
          <w:i w:val="0"/>
          <w:color w:val="3D3E3E"/>
          <w:sz w:val="19"/>
        </w:rPr>
        <w:t xml:space="preserve"> UK econ.fact_indicator thin (1 indicator, latest 06-02) — vote split and GDP are cb_events prints.</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India — the RBI-inflows theme goes live</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2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85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98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54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85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85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RBI measures drive INR inflows</w:t>
            </w:r>
            <w:r>
              <w:rPr>
                <w:rFonts w:ascii="Public Sans" w:hAnsi="Public Sans"/>
                <w:b w:val="0"/>
                <w:i w:val="0"/>
                <w:color w:val="3D3E3E"/>
                <w:sz w:val="16"/>
              </w:rPr>
              <w:t xml:space="preserve"> (FCNR(B) swap, ECB-related)</w:t>
            </w:r>
          </w:p>
        </w:tc>
        <w:tc>
          <w:tcPr>
            <w:tcW w:type="dxa" w:w="9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INR, IGB</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BNP, Barclays, Goldman</w:t>
            </w:r>
          </w:p>
        </w:tc>
        <w:tc>
          <w:tcPr>
            <w:tcW w:type="dxa" w:w="385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three-house FX/bonds cluster — the freshest tradeable theme</w:t>
            </w:r>
          </w:p>
        </w:tc>
      </w:tr>
      <w:tr>
        <w:tc>
          <w:tcPr>
            <w:tcW w:type="dxa" w:w="4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85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Fiscal improvement</w:t>
            </w:r>
            <w:r>
              <w:rPr>
                <w:rFonts w:ascii="Public Sans" w:hAnsi="Public Sans"/>
                <w:b w:val="0"/>
                <w:i w:val="0"/>
                <w:color w:val="3D3E3E"/>
                <w:sz w:val="16"/>
              </w:rPr>
              <w:t xml:space="preserve"> on a record RBI dividend</w:t>
            </w:r>
          </w:p>
        </w:tc>
        <w:tc>
          <w:tcPr>
            <w:tcW w:type="dxa" w:w="9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INR rates, IGB</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Goldman, Nomura, MS</w:t>
            </w:r>
          </w:p>
        </w:tc>
        <w:tc>
          <w:tcPr>
            <w:tcW w:type="dxa" w:w="385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Eases govvie supply pressure</w:t>
            </w:r>
          </w:p>
        </w:tc>
      </w:tr>
      <w:tr>
        <w:tc>
          <w:tcPr>
            <w:tcW w:type="dxa" w:w="4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85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Monsoon/food-inflation tail</w:t>
            </w:r>
            <w:r>
              <w:rPr>
                <w:rFonts w:ascii="Public Sans" w:hAnsi="Public Sans"/>
                <w:b w:val="0"/>
                <w:i w:val="0"/>
                <w:color w:val="3D3E3E"/>
                <w:sz w:val="16"/>
              </w:rPr>
              <w:t xml:space="preserve"> (weak start, El Niño)</w:t>
            </w:r>
          </w:p>
        </w:tc>
        <w:tc>
          <w:tcPr>
            <w:tcW w:type="dxa" w:w="9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INR rates, BE</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MS, Citi, JPM</w:t>
            </w:r>
          </w:p>
        </w:tc>
        <w:tc>
          <w:tcPr>
            <w:tcW w:type="dxa" w:w="385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main inflation risk to the on-hold RBI</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RBI </w:t>
      </w:r>
      <w:r>
        <w:rPr>
          <w:rFonts w:ascii="Public Sans" w:hAnsi="Public Sans"/>
          <w:b/>
          <w:i w:val="0"/>
          <w:color w:val="3D3E3E"/>
          <w:sz w:val="19"/>
        </w:rPr>
        <w:t>held 5.25%</w:t>
      </w:r>
      <w:r>
        <w:rPr>
          <w:rFonts w:ascii="Public Sans" w:hAnsi="Public Sans"/>
          <w:b w:val="0"/>
          <w:i w:val="0"/>
          <w:color w:val="3D3E3E"/>
          <w:sz w:val="19"/>
        </w:rPr>
        <w:t xml:space="preserve"> (06-05). The theme that went live this window is </w:t>
      </w:r>
      <w:r>
        <w:rPr>
          <w:rFonts w:ascii="Public Sans" w:hAnsi="Public Sans"/>
          <w:b/>
          <w:i w:val="0"/>
          <w:color w:val="3D3E3E"/>
          <w:sz w:val="19"/>
        </w:rPr>
        <w:t>INR inflows</w:t>
      </w:r>
      <w:r>
        <w:rPr>
          <w:rFonts w:ascii="Public Sans" w:hAnsi="Public Sans"/>
          <w:b w:val="0"/>
          <w:i w:val="0"/>
          <w:color w:val="3D3E3E"/>
          <w:sz w:val="19"/>
        </w:rPr>
        <w:t xml:space="preserve">: BNP (14665), Barclays (14709) and Goldman (14730) independently build off RBI measures — the FCNR(B) swap facility and ECB-related steps — that are designed to draw inflows, lower INR volatility, and make bond inflows "less FX-hedged." BNP expresses it as </w:t>
      </w:r>
      <w:r>
        <w:rPr>
          <w:rFonts w:ascii="Public Sans" w:hAnsi="Public Sans"/>
          <w:b/>
          <w:i w:val="0"/>
          <w:color w:val="3D3E3E"/>
          <w:sz w:val="19"/>
        </w:rPr>
        <w:t>sell EUR/INR</w:t>
      </w:r>
      <w:r>
        <w:rPr>
          <w:rFonts w:ascii="Public Sans" w:hAnsi="Public Sans"/>
          <w:b w:val="0"/>
          <w:i w:val="0"/>
          <w:color w:val="3D3E3E"/>
          <w:sz w:val="19"/>
        </w:rPr>
        <w:t xml:space="preserve">; Barclays </w:t>
      </w:r>
      <w:r>
        <w:rPr>
          <w:rFonts w:ascii="Public Sans" w:hAnsi="Public Sans"/>
          <w:b w:val="0"/>
          <w:i/>
          <w:color w:val="3D3E3E"/>
          <w:sz w:val="19"/>
        </w:rPr>
        <w:t>takes profit</w:t>
      </w:r>
      <w:r>
        <w:rPr>
          <w:rFonts w:ascii="Public Sans" w:hAnsi="Public Sans"/>
          <w:b w:val="0"/>
          <w:i w:val="0"/>
          <w:color w:val="3D3E3E"/>
          <w:sz w:val="19"/>
        </w:rPr>
        <w:t xml:space="preserve"> on a 5y INR NDOIS receiver, judging inflation concerns "outweighed growth" and the move played out; Goldman turns </w:t>
      </w:r>
      <w:r>
        <w:rPr>
          <w:rFonts w:ascii="Public Sans" w:hAnsi="Public Sans"/>
          <w:b/>
          <w:i w:val="0"/>
          <w:color w:val="3D3E3E"/>
          <w:sz w:val="19"/>
        </w:rPr>
        <w:t>constructive on INR FX and bonds</w:t>
      </w:r>
      <w:r>
        <w:rPr>
          <w:rFonts w:ascii="Public Sans" w:hAnsi="Public Sans"/>
          <w:b w:val="0"/>
          <w:i w:val="0"/>
          <w:color w:val="3D3E3E"/>
          <w:sz w:val="19"/>
        </w:rPr>
        <w:t xml:space="preserve"> on "attractive carry and improving fundamentals," having narrowed its current-account-deficit forecast. That is a genuine multi-house convergence on the same flows mechanism, from three different expressions.</w:t>
      </w:r>
    </w:p>
    <w:p>
      <w:pPr>
        <w:spacing w:after="80" w:line="283" w:lineRule="auto"/>
      </w:pPr>
      <w:r>
        <w:rPr>
          <w:rFonts w:ascii="Public Sans" w:hAnsi="Public Sans"/>
          <w:b w:val="0"/>
          <w:i w:val="0"/>
          <w:color w:val="3D3E3E"/>
          <w:sz w:val="19"/>
        </w:rPr>
        <w:t>The supporting fiscal positive persists — a May surplus/improvement on a record RBI dividend (Goldman 14492, Nomura 14467, MS 14466) — easing govvie supply. The offsetting risk is monsoon/food: MS (14301) flags the June rainfall deficit at a 12-year high, Citi (14482) and JPM (14747) work the El Niño / food-inflation channel. HSBC mfg PMI declined to a 3-month low but "still solid" (Goldman 14675); services/composite PMIs land 07-03. So: a fiscal-positive, inflows-supported backdrop with a food-inflation tail — a constructive INR story with a clear negative catalyst to monitor.</w:t>
      </w:r>
    </w:p>
    <w:p>
      <w:pPr>
        <w:spacing w:before="120" w:after="40"/>
        <w:keepNext/>
      </w:pPr>
      <w:r>
        <w:rPr>
          <w:rFonts w:ascii="Public Sans" w:hAnsi="Public Sans"/>
          <w:b/>
          <w:i w:val="0"/>
          <w:color w:val="001830"/>
          <w:sz w:val="19"/>
        </w:rPr>
        <w:t>C.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192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06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3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6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6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 (grounded)</w:t>
            </w:r>
          </w:p>
        </w:tc>
      </w:tr>
      <w:tr>
        <w:tc>
          <w:tcPr>
            <w:tcW w:type="dxa" w:w="192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RBI measures support INR inflows / bonds</w:t>
            </w:r>
          </w:p>
        </w:tc>
        <w:tc>
          <w:tcPr>
            <w:tcW w:type="dxa" w:w="10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BNP, Barclays, Goldman</w:t>
            </w:r>
          </w:p>
        </w:tc>
        <w:tc>
          <w:tcPr>
            <w:tcW w:type="dxa" w:w="23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Inflow measures → constructive INR + bonds</w:t>
            </w:r>
          </w:p>
        </w:tc>
        <w:tc>
          <w:tcPr>
            <w:tcW w:type="dxa" w:w="26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FCNR(B) swap / ECB-related (14665/14709); carry + narrower C/A (14730)</w:t>
            </w:r>
          </w:p>
        </w:tc>
        <w:tc>
          <w:tcPr>
            <w:tcW w:type="dxa" w:w="26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Assumes measures land as designed and global risk stays benign</w:t>
            </w:r>
          </w:p>
        </w:tc>
      </w:tr>
      <w:tr>
        <w:tc>
          <w:tcPr>
            <w:tcW w:type="dxa" w:w="192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Fiscal improved in May</w:t>
            </w:r>
          </w:p>
        </w:tc>
        <w:tc>
          <w:tcPr>
            <w:tcW w:type="dxa" w:w="10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Goldman, Nomura, MS</w:t>
            </w:r>
          </w:p>
        </w:tc>
        <w:tc>
          <w:tcPr>
            <w:tcW w:type="dxa" w:w="23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Deficit narrowed / surplus on record RBI dividend</w:t>
            </w:r>
          </w:p>
        </w:tc>
        <w:tc>
          <w:tcPr>
            <w:tcW w:type="dxa" w:w="26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May fiscal + RBI dividend (14492/14467/14466)</w:t>
            </w:r>
          </w:p>
        </w:tc>
        <w:tc>
          <w:tcPr>
            <w:tcW w:type="dxa" w:w="26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one-off dividend flatters the run-rate</w:t>
            </w:r>
          </w:p>
        </w:tc>
      </w:tr>
      <w:tr>
        <w:tc>
          <w:tcPr>
            <w:tcW w:type="dxa" w:w="192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Monsoon/food is the inflation risk</w:t>
            </w:r>
          </w:p>
        </w:tc>
        <w:tc>
          <w:tcPr>
            <w:tcW w:type="dxa" w:w="10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MS, Citi, JPM</w:t>
            </w:r>
          </w:p>
        </w:tc>
        <w:tc>
          <w:tcPr>
            <w:tcW w:type="dxa" w:w="23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Weak monsoon + El Niño = food-price upside</w:t>
            </w:r>
          </w:p>
        </w:tc>
        <w:tc>
          <w:tcPr>
            <w:tcW w:type="dxa" w:w="26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Rainfall deficit 12-yr high (14301); El Niño (14482/14747)</w:t>
            </w:r>
          </w:p>
        </w:tc>
        <w:tc>
          <w:tcPr>
            <w:tcW w:type="dxa" w:w="26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Not yet in the CPI print — IN DEPTH available to track it</w:t>
            </w:r>
          </w:p>
        </w:tc>
      </w:tr>
    </w:tbl>
    <w:p>
      <w:pPr>
        <w:spacing w:before="120" w:after="40"/>
        <w:keepNext/>
      </w:pPr>
      <w:r>
        <w:rPr>
          <w:rFonts w:ascii="Public Sans" w:hAnsi="Public Sans"/>
          <w:b/>
          <w:i w:val="0"/>
          <w:color w:val="001830"/>
          <w:sz w:val="19"/>
        </w:rPr>
        <w:t>D.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74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65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15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57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57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19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74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Barclays (14709)</w:t>
            </w:r>
          </w:p>
        </w:tc>
        <w:tc>
          <w:tcPr>
            <w:tcW w:type="dxa" w:w="65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INR rates</w:t>
            </w:r>
          </w:p>
        </w:tc>
        <w:tc>
          <w:tcPr>
            <w:tcW w:type="dxa" w:w="215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Take profit</w:t>
            </w:r>
            <w:r>
              <w:rPr>
                <w:rFonts w:ascii="Public Sans" w:hAnsi="Public Sans"/>
                <w:b w:val="0"/>
                <w:i w:val="0"/>
                <w:color w:val="3D3E3E"/>
                <w:sz w:val="16"/>
              </w:rPr>
              <w:t xml:space="preserve"> on 5y INR NDOIS receiver</w:t>
            </w:r>
          </w:p>
        </w:tc>
        <w:tc>
          <w:tcPr>
            <w:tcW w:type="dxa" w:w="257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Says the receiver move is done where others are still adding INR risk</w:t>
            </w:r>
          </w:p>
        </w:tc>
        <w:tc>
          <w:tcPr>
            <w:tcW w:type="dxa" w:w="257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Front-end has repriced enough; inflation concerns capped it</w:t>
            </w:r>
          </w:p>
        </w:tc>
        <w:tc>
          <w:tcPr>
            <w:tcW w:type="dxa" w:w="19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fresh dovish RBI shift extends the rally</w:t>
            </w:r>
          </w:p>
        </w:tc>
      </w:tr>
      <w:tr>
        <w:tc>
          <w:tcPr>
            <w:tcW w:type="dxa" w:w="74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Goldman (14730)</w:t>
            </w:r>
          </w:p>
        </w:tc>
        <w:tc>
          <w:tcPr>
            <w:tcW w:type="dxa" w:w="65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INR FX + bonds</w:t>
            </w:r>
          </w:p>
        </w:tc>
        <w:tc>
          <w:tcPr>
            <w:tcW w:type="dxa" w:w="215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Constructive</w:t>
            </w:r>
            <w:r>
              <w:rPr>
                <w:rFonts w:ascii="Public Sans" w:hAnsi="Public Sans"/>
                <w:b w:val="0"/>
                <w:i w:val="0"/>
                <w:color w:val="3D3E3E"/>
                <w:sz w:val="16"/>
              </w:rPr>
              <w:t xml:space="preserve"> on carry + improving fundamentals</w:t>
            </w:r>
          </w:p>
        </w:tc>
        <w:tc>
          <w:tcPr>
            <w:tcW w:type="dxa" w:w="257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Broadest cross-asset INR-bull expression</w:t>
            </w:r>
          </w:p>
        </w:tc>
        <w:tc>
          <w:tcPr>
            <w:tcW w:type="dxa" w:w="257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Carry holds; C/A keeps narrowing</w:t>
            </w:r>
          </w:p>
        </w:tc>
        <w:tc>
          <w:tcPr>
            <w:tcW w:type="dxa" w:w="19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Oil re-spike widens C/A; carry erodes</w:t>
            </w:r>
          </w:p>
        </w:tc>
      </w:tr>
    </w:tbl>
    <w:p>
      <w:pPr>
        <w:spacing w:after="80" w:line="283" w:lineRule="auto"/>
      </w:pPr>
      <w:r>
        <w:rPr>
          <w:rFonts w:ascii="Public Sans" w:hAnsi="Public Sans"/>
          <w:b w:val="0"/>
          <w:i/>
          <w:color w:val="3D3E3E"/>
          <w:sz w:val="19"/>
        </w:rPr>
        <w:t>Trade rows expanded:</w:t>
      </w:r>
      <w:r>
        <w:rPr>
          <w:rFonts w:ascii="Public Sans" w:hAnsi="Public Sans"/>
          <w:b w:val="0"/>
          <w:i w:val="0"/>
          <w:color w:val="3D3E3E"/>
          <w:sz w:val="19"/>
        </w:rPr>
        <w:t xml:space="preserve"> #1 (BNP sell EUR/INR), #2 (Barclays take-profit INR NDOIS receiver), #3 (Goldman constructive INR FX+bonds) — see A/D. Surfaced, not judged. </w:t>
      </w:r>
      <w:r>
        <w:rPr>
          <w:rFonts w:ascii="Public Sans" w:hAnsi="Public Sans"/>
          <w:b/>
          <w:i w:val="0"/>
          <w:color w:val="3D3E3E"/>
          <w:sz w:val="19"/>
        </w:rPr>
        <w:t>DEPTH:</w:t>
      </w:r>
      <w:r>
        <w:rPr>
          <w:rFonts w:ascii="Public Sans" w:hAnsi="Public Sans"/>
          <w:b w:val="0"/>
          <w:i w:val="0"/>
          <w:color w:val="3D3E3E"/>
          <w:sz w:val="19"/>
        </w:rPr>
        <w:t xml:space="preserve"> IN deep (279 indicators, latest 06-29) — food/CPI component follow-up (incl. fresh-food nowcaster) available for the monsoon tail.</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Thailand — soft prints, but the sell-side leans constructive</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3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5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30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37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98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3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5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Data soft, houses lean constructive</w:t>
            </w:r>
            <w:r>
              <w:rPr>
                <w:rFonts w:ascii="Public Sans" w:hAnsi="Public Sans"/>
                <w:b w:val="0"/>
                <w:i w:val="0"/>
                <w:color w:val="3D3E3E"/>
                <w:sz w:val="16"/>
              </w:rPr>
              <w:t xml:space="preserve"> (the tension)</w:t>
            </w:r>
          </w:p>
        </w:tc>
        <w:tc>
          <w:tcPr>
            <w:tcW w:type="dxa" w:w="13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THB rates, THB</w:t>
            </w:r>
          </w:p>
        </w:tc>
        <w:tc>
          <w:tcPr>
            <w:tcW w:type="dxa" w:w="137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 Barclays, BofA</w:t>
            </w:r>
          </w:p>
        </w:tc>
        <w:tc>
          <w:tcPr>
            <w:tcW w:type="dxa" w:w="398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Print vs narrative disagree — the spot to interrogate</w:t>
            </w:r>
          </w:p>
        </w:tc>
      </w:tr>
      <w:tr>
        <w:tc>
          <w:tcPr>
            <w:tcW w:type="dxa" w:w="43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5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Oil-price relief → GDP</w:t>
            </w:r>
            <w:r>
              <w:rPr>
                <w:rFonts w:ascii="Public Sans" w:hAnsi="Public Sans"/>
                <w:b w:val="0"/>
                <w:i w:val="0"/>
                <w:color w:val="3D3E3E"/>
                <w:sz w:val="16"/>
              </w:rPr>
              <w:t xml:space="preserve"> channel</w:t>
            </w:r>
          </w:p>
        </w:tc>
        <w:tc>
          <w:tcPr>
            <w:tcW w:type="dxa" w:w="13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THB rates, BE</w:t>
            </w:r>
          </w:p>
        </w:tc>
        <w:tc>
          <w:tcPr>
            <w:tcW w:type="dxa" w:w="137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BofA</w:t>
            </w:r>
          </w:p>
        </w:tc>
        <w:tc>
          <w:tcPr>
            <w:tcW w:type="dxa" w:w="398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Differentiated growth-positive mechanism from lower energy</w:t>
            </w:r>
          </w:p>
        </w:tc>
      </w:tr>
      <w:tr>
        <w:tc>
          <w:tcPr>
            <w:tcW w:type="dxa" w:w="43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5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Energy shock → corporate margins</w:t>
            </w:r>
          </w:p>
        </w:tc>
        <w:tc>
          <w:tcPr>
            <w:tcW w:type="dxa" w:w="13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THB equity, credit</w:t>
            </w:r>
          </w:p>
        </w:tc>
        <w:tc>
          <w:tcPr>
            <w:tcW w:type="dxa" w:w="137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HSBC, UBS</w:t>
            </w:r>
          </w:p>
        </w:tc>
        <w:tc>
          <w:tcPr>
            <w:tcW w:type="dxa" w:w="398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Cross-checks the oil story from the margin side</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BoT </w:t>
      </w:r>
      <w:r>
        <w:rPr>
          <w:rFonts w:ascii="Public Sans" w:hAnsi="Public Sans"/>
          <w:b/>
          <w:i w:val="0"/>
          <w:color w:val="3D3E3E"/>
          <w:sz w:val="19"/>
        </w:rPr>
        <w:t>held 1.00%</w:t>
      </w:r>
      <w:r>
        <w:rPr>
          <w:rFonts w:ascii="Public Sans" w:hAnsi="Public Sans"/>
          <w:b w:val="0"/>
          <w:i w:val="0"/>
          <w:color w:val="3D3E3E"/>
          <w:sz w:val="19"/>
        </w:rPr>
        <w:t xml:space="preserve"> (06-24); minutes 07-08 (FACT). Hard data was soft — private consumption -2.1% MoM, private investment -5% MoM, current account -\$7.6B (FACT). Yet the sell-side leans constructive on the </w:t>
      </w:r>
      <w:r>
        <w:rPr>
          <w:rFonts w:ascii="Public Sans" w:hAnsi="Public Sans"/>
          <w:b w:val="0"/>
          <w:i/>
          <w:color w:val="3D3E3E"/>
          <w:sz w:val="19"/>
        </w:rPr>
        <w:t>outlook</w:t>
      </w:r>
      <w:r>
        <w:rPr>
          <w:rFonts w:ascii="Public Sans" w:hAnsi="Public Sans"/>
          <w:b w:val="0"/>
          <w:i w:val="0"/>
          <w:color w:val="3D3E3E"/>
          <w:sz w:val="19"/>
        </w:rPr>
        <w:t>: JPM (14528) "investment-led growth gains momentum in May," Barclays (14370) "modest rebound," BofA both "limited recovery" (14545) and "GDP relief from lower oil prices and AI wave" (14548). HSBC (14562) and UBS (14828) work the energy-shock-to-margins angle. The logic that permits constructiveness over soft prints is forward-looking: lower oil improves the terms of trade and current account, and an AI/investment cycle supports capex — so the desks look through the weak May consumption/investment reads. Nomura's Asia-rates note (14421) references a Thailand rates position with a defined ~10bp stop.</w:t>
      </w:r>
    </w:p>
    <w:p>
      <w:pPr>
        <w:spacing w:before="120" w:after="40"/>
        <w:keepNext/>
      </w:pPr>
      <w:r>
        <w:rPr>
          <w:rFonts w:ascii="Public Sans" w:hAnsi="Public Sans"/>
          <w:b/>
          <w:i w:val="0"/>
          <w:color w:val="001830"/>
          <w:sz w:val="19"/>
        </w:rPr>
        <w:t>C.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142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00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42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90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90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 (grounded)</w:t>
            </w:r>
          </w:p>
        </w:tc>
      </w:tr>
      <w:tr>
        <w:tc>
          <w:tcPr>
            <w:tcW w:type="dxa" w:w="142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Soft now, stabilising ahead</w:t>
            </w:r>
          </w:p>
        </w:tc>
        <w:tc>
          <w:tcPr>
            <w:tcW w:type="dxa" w:w="100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 Barclays, BofA</w:t>
            </w:r>
          </w:p>
        </w:tc>
        <w:tc>
          <w:tcPr>
            <w:tcW w:type="dxa" w:w="242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Look through weak May data to a firmer outlook</w:t>
            </w:r>
          </w:p>
        </w:tc>
        <w:tc>
          <w:tcPr>
            <w:tcW w:type="dxa" w:w="290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"Investment-led momentum" (14528); "modest rebound" (14370); "limited recovery" (14545)</w:t>
            </w:r>
          </w:p>
        </w:tc>
        <w:tc>
          <w:tcPr>
            <w:tcW w:type="dxa" w:w="290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Hard data (consumption -2.1%, investment -5%, C/A -\$7.6B) is unambiguously weak now — the constructive read is a forecast</w:t>
            </w:r>
          </w:p>
        </w:tc>
      </w:tr>
    </w:tbl>
    <w:p>
      <w:pPr>
        <w:spacing w:before="120" w:after="40"/>
        <w:keepNext/>
      </w:pPr>
      <w:r>
        <w:rPr>
          <w:rFonts w:ascii="Public Sans" w:hAnsi="Public Sans"/>
          <w:b/>
          <w:i w:val="0"/>
          <w:color w:val="001830"/>
          <w:sz w:val="19"/>
        </w:rPr>
        <w:t>D.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62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88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151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8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7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03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62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BofA (14548)</w:t>
            </w:r>
          </w:p>
        </w:tc>
        <w:tc>
          <w:tcPr>
            <w:tcW w:type="dxa" w:w="88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THB rates / macro</w:t>
            </w:r>
          </w:p>
        </w:tc>
        <w:tc>
          <w:tcPr>
            <w:tcW w:type="dxa" w:w="151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Oil relief + AI wave lift GDP</w:t>
            </w:r>
          </w:p>
        </w:tc>
        <w:tc>
          <w:tcPr>
            <w:tcW w:type="dxa" w:w="28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Names a specific positive mechanism where others say "stabilising"</w:t>
            </w:r>
          </w:p>
        </w:tc>
        <w:tc>
          <w:tcPr>
            <w:tcW w:type="dxa" w:w="27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Lower oil sustains; the AI/investment cycle broadens</w:t>
            </w:r>
          </w:p>
        </w:tc>
        <w:tc>
          <w:tcPr>
            <w:tcW w:type="dxa" w:w="20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Oil re-spikes / investment cycle stalls</w:t>
            </w:r>
          </w:p>
        </w:tc>
      </w:tr>
    </w:tbl>
    <w:p>
      <w:pPr>
        <w:spacing w:after="80" w:line="283" w:lineRule="auto"/>
      </w:pPr>
      <w:r>
        <w:rPr>
          <w:rFonts w:ascii="Public Sans" w:hAnsi="Public Sans"/>
          <w:b/>
          <w:i w:val="0"/>
          <w:color w:val="3D3E3E"/>
          <w:sz w:val="19"/>
        </w:rPr>
        <w:t>Not loaded:</w:t>
      </w:r>
      <w:r>
        <w:rPr>
          <w:rFonts w:ascii="Public Sans" w:hAnsi="Public Sans"/>
          <w:b w:val="0"/>
          <w:i w:val="0"/>
          <w:color w:val="3D3E3E"/>
          <w:sz w:val="19"/>
        </w:rPr>
        <w:t xml:space="preserve"> TH has no in-window econ.fact_indicator rows — all numbers are cb_events prints or sell-side.</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Singapore — MAS review live; a slight-easing lean</w:t>
      </w:r>
    </w:p>
    <w:p>
      <w:pPr>
        <w:spacing w:before="120" w:after="40"/>
        <w:keepNext/>
      </w:pPr>
      <w:r>
        <w:rPr>
          <w:rFonts w:ascii="Public Sans" w:hAnsi="Public Sans"/>
          <w:b/>
          <w:i w:val="0"/>
          <w:color w:val="001830"/>
          <w:sz w:val="19"/>
        </w:rPr>
        <w:t>A.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2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79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93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5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93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2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79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MAS July review</w:t>
            </w:r>
            <w:r>
              <w:rPr>
                <w:rFonts w:ascii="Public Sans" w:hAnsi="Public Sans"/>
                <w:b w:val="0"/>
                <w:i w:val="0"/>
                <w:color w:val="3D3E3E"/>
                <w:sz w:val="16"/>
              </w:rPr>
              <w:t xml:space="preserve"> — a close call, lean to slight easing</w:t>
            </w:r>
          </w:p>
        </w:tc>
        <w:tc>
          <w:tcPr>
            <w:tcW w:type="dxa" w:w="93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SGD NEER, SGS</w:t>
            </w:r>
          </w:p>
        </w:tc>
        <w:tc>
          <w:tcPr>
            <w:tcW w:type="dxa" w:w="15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Barclays, Nomura, Citi</w:t>
            </w:r>
          </w:p>
        </w:tc>
        <w:tc>
          <w:tcPr>
            <w:tcW w:type="dxa" w:w="393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live regional CB event; band re-centre/slope in play</w:t>
            </w:r>
          </w:p>
        </w:tc>
      </w:tr>
    </w:tbl>
    <w:p>
      <w:pPr>
        <w:spacing w:before="120" w:after="40"/>
        <w:keepNext/>
      </w:pPr>
      <w:r>
        <w:rPr>
          <w:rFonts w:ascii="Public Sans" w:hAnsi="Public Sans"/>
          <w:b/>
          <w:i w:val="0"/>
          <w:color w:val="001830"/>
          <w:sz w:val="19"/>
        </w:rPr>
        <w:t>B. The "why" — how the houses are reasoning</w:t>
      </w:r>
    </w:p>
    <w:p>
      <w:pPr>
        <w:spacing w:after="80" w:line="283" w:lineRule="auto"/>
      </w:pPr>
      <w:r>
        <w:rPr>
          <w:rFonts w:ascii="Public Sans" w:hAnsi="Public Sans"/>
          <w:b w:val="0"/>
          <w:i w:val="0"/>
          <w:color w:val="3D3E3E"/>
          <w:sz w:val="19"/>
        </w:rPr>
        <w:t xml:space="preserve">MAS runs the S\$NEER band, not a policy rate. This window it became a live event: three houses previewed the July review and converge on a </w:t>
      </w:r>
      <w:r>
        <w:rPr>
          <w:rFonts w:ascii="Public Sans" w:hAnsi="Public Sans"/>
          <w:b/>
          <w:i w:val="0"/>
          <w:color w:val="3D3E3E"/>
          <w:sz w:val="19"/>
        </w:rPr>
        <w:t>close call with a lean to slight easing</w:t>
      </w:r>
      <w:r>
        <w:rPr>
          <w:rFonts w:ascii="Public Sans" w:hAnsi="Public Sans"/>
          <w:b w:val="0"/>
          <w:i w:val="0"/>
          <w:color w:val="3D3E3E"/>
          <w:sz w:val="19"/>
        </w:rPr>
        <w:t>. Citi (14962) still expects a July slight easing (re-centre/slope), with inflation concerns "centred less on the level" and export prices/volumes the growth swing factor. Barclays (14656) frames it "a close call between near-term inflation [and growth]." Nomura (14815) sees "a possible" tentative easing. SIPMM PMI (07-02, prior 51.0) and bank-lending/property prints fill the data backdrop. Consensus direction (slight easing) with genuine two-sidedness on whether MAS moves in July at all.</w:t>
      </w:r>
    </w:p>
    <w:p>
      <w:pPr>
        <w:spacing w:before="120" w:after="40"/>
        <w:keepNext/>
      </w:pPr>
      <w:r>
        <w:rPr>
          <w:rFonts w:ascii="Public Sans" w:hAnsi="Public Sans"/>
          <w:b/>
          <w:i w:val="0"/>
          <w:color w:val="001830"/>
          <w:sz w:val="19"/>
        </w:rPr>
        <w:t>C.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193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06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32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66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66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 (grounded)</w:t>
            </w:r>
          </w:p>
        </w:tc>
      </w:tr>
      <w:tr>
        <w:tc>
          <w:tcPr>
            <w:tcW w:type="dxa" w:w="19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MAS July: close call, lean slight easing</w:t>
            </w:r>
          </w:p>
        </w:tc>
        <w:tc>
          <w:tcPr>
            <w:tcW w:type="dxa" w:w="106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Barclays, Nomura, Citi</w:t>
            </w:r>
          </w:p>
        </w:tc>
        <w:tc>
          <w:tcPr>
            <w:tcW w:type="dxa" w:w="23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modest re-centre/slope easing is the base case</w:t>
            </w:r>
          </w:p>
        </w:tc>
        <w:tc>
          <w:tcPr>
            <w:tcW w:type="dxa" w:w="266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"Close call" (14656); "possible tentative" (14815); "still expect July slight easing" (14962)</w:t>
            </w:r>
          </w:p>
        </w:tc>
        <w:tc>
          <w:tcPr>
            <w:tcW w:type="dxa" w:w="266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review date/outcome is forward — no MAS decision row in cb_events yet</w:t>
            </w:r>
          </w:p>
        </w:tc>
      </w:tr>
    </w:tbl>
    <w:p>
      <w:pPr>
        <w:spacing w:after="80" w:line="283" w:lineRule="auto"/>
      </w:pPr>
      <w:r>
        <w:rPr>
          <w:rFonts w:ascii="Public Sans" w:hAnsi="Public Sans"/>
          <w:b/>
          <w:i w:val="0"/>
          <w:color w:val="3D3E3E"/>
          <w:sz w:val="19"/>
        </w:rPr>
        <w:t>Not loaded:</w:t>
      </w:r>
      <w:r>
        <w:rPr>
          <w:rFonts w:ascii="Public Sans" w:hAnsi="Public Sans"/>
          <w:b w:val="0"/>
          <w:i w:val="0"/>
          <w:color w:val="3D3E3E"/>
          <w:sz w:val="19"/>
        </w:rPr>
        <w:t xml:space="preserve"> SG has no in-window econ.fact_indicator rows; the MAS band is not a cb_events policy-rate row.</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Canada — steady BoC, growth the question</w:t>
      </w:r>
    </w:p>
    <w:p>
      <w:pPr>
        <w:spacing w:after="80" w:line="283" w:lineRule="auto"/>
      </w:pPr>
      <w:r>
        <w:rPr>
          <w:rFonts w:ascii="Public Sans" w:hAnsi="Public Sans"/>
          <w:b w:val="0"/>
          <w:i w:val="0"/>
          <w:color w:val="3D3E3E"/>
          <w:sz w:val="19"/>
        </w:rPr>
        <w:t xml:space="preserve">BoC </w:t>
      </w:r>
      <w:r>
        <w:rPr>
          <w:rFonts w:ascii="Public Sans" w:hAnsi="Public Sans"/>
          <w:b/>
          <w:i w:val="0"/>
          <w:color w:val="3D3E3E"/>
          <w:sz w:val="19"/>
        </w:rPr>
        <w:t>held 2.25%</w:t>
      </w:r>
      <w:r>
        <w:rPr>
          <w:rFonts w:ascii="Public Sans" w:hAnsi="Public Sans"/>
          <w:b w:val="0"/>
          <w:i w:val="0"/>
          <w:color w:val="3D3E3E"/>
          <w:sz w:val="19"/>
        </w:rPr>
        <w:t xml:space="preserve"> (06-10, FACT); Macklem spoke 07-01, Business Outlook Survey + Consumer Expectations land 07-06. Monthly GDP (06-30) consensus </w:t>
      </w:r>
      <w:r>
        <w:rPr>
          <w:rFonts w:ascii="Public Sans" w:hAnsi="Public Sans"/>
          <w:b/>
          <w:i w:val="0"/>
          <w:color w:val="3D3E3E"/>
          <w:sz w:val="19"/>
        </w:rPr>
        <w:t>+0.4% MoM</w:t>
      </w:r>
      <w:r>
        <w:rPr>
          <w:rFonts w:ascii="Public Sans" w:hAnsi="Public Sans"/>
          <w:b w:val="0"/>
          <w:i w:val="0"/>
          <w:color w:val="3D3E3E"/>
          <w:sz w:val="19"/>
        </w:rPr>
        <w:t xml:space="preserve"> rebounding from -0.1% prior. BofA's mid-year (14376) is "Weak growth, steady BoC" — the frame is no urgency either way; nothing differentiated cleared the bar in-window. </w:t>
      </w:r>
      <w:r>
        <w:rPr>
          <w:rFonts w:ascii="Public Sans" w:hAnsi="Public Sans"/>
          <w:b/>
          <w:i w:val="0"/>
          <w:color w:val="3D3E3E"/>
          <w:sz w:val="19"/>
        </w:rPr>
        <w:t>Not loaded:</w:t>
      </w:r>
      <w:r>
        <w:rPr>
          <w:rFonts w:ascii="Public Sans" w:hAnsi="Public Sans"/>
          <w:b w:val="0"/>
          <w:i w:val="0"/>
          <w:color w:val="3D3E3E"/>
          <w:sz w:val="19"/>
        </w:rPr>
        <w:t xml:space="preserve"> CA econ.fact_indicator absent (no in-window rows) — as expected for CA.</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Philippines — a quiet hike, external balance improving</w:t>
      </w:r>
    </w:p>
    <w:p>
      <w:pPr>
        <w:spacing w:after="80" w:line="283" w:lineRule="auto"/>
      </w:pPr>
      <w:r>
        <w:rPr>
          <w:rFonts w:ascii="Public Sans" w:hAnsi="Public Sans"/>
          <w:b w:val="0"/>
          <w:i w:val="0"/>
          <w:color w:val="3D3E3E"/>
          <w:sz w:val="19"/>
        </w:rPr>
        <w:t xml:space="preserve">BSP </w:t>
      </w:r>
      <w:r>
        <w:rPr>
          <w:rFonts w:ascii="Public Sans" w:hAnsi="Public Sans"/>
          <w:b/>
          <w:i w:val="0"/>
          <w:color w:val="3D3E3E"/>
          <w:sz w:val="19"/>
        </w:rPr>
        <w:t>hiked +25bp to 4.75%</w:t>
      </w:r>
      <w:r>
        <w:rPr>
          <w:rFonts w:ascii="Public Sans" w:hAnsi="Public Sans"/>
          <w:b w:val="0"/>
          <w:i w:val="0"/>
          <w:color w:val="3D3E3E"/>
          <w:sz w:val="19"/>
        </w:rPr>
        <w:t xml:space="preserve"> on 06-18 (from 4.50%, FACT) — part of the June EM-tightening cluster with ID and PH. In-window: trade deficit narrowed in May (JPM 14291), exports +6.3% YoY, PPI +2.4%. Thin flow; filed as EM-tightening + external-balance improvement. </w:t>
      </w:r>
      <w:r>
        <w:rPr>
          <w:rFonts w:ascii="Public Sans" w:hAnsi="Public Sans"/>
          <w:b/>
          <w:i w:val="0"/>
          <w:color w:val="3D3E3E"/>
          <w:sz w:val="19"/>
        </w:rPr>
        <w:t>Not loaded:</w:t>
      </w:r>
      <w:r>
        <w:rPr>
          <w:rFonts w:ascii="Public Sans" w:hAnsi="Public Sans"/>
          <w:b w:val="0"/>
          <w:i w:val="0"/>
          <w:color w:val="3D3E3E"/>
          <w:sz w:val="19"/>
        </w:rPr>
        <w:t xml:space="preserve"> no in-window econ.fact_indicator rows.</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Malaysia — BNM Jul-9 preview, "La pausa"</w:t>
      </w:r>
    </w:p>
    <w:p>
      <w:pPr>
        <w:spacing w:after="80" w:line="283" w:lineRule="auto"/>
      </w:pPr>
      <w:r>
        <w:rPr>
          <w:rFonts w:ascii="Public Sans" w:hAnsi="Public Sans"/>
          <w:b w:val="0"/>
          <w:i w:val="0"/>
          <w:color w:val="3D3E3E"/>
          <w:sz w:val="19"/>
        </w:rPr>
        <w:t xml:space="preserve">OPR </w:t>
      </w:r>
      <w:r>
        <w:rPr>
          <w:rFonts w:ascii="Public Sans" w:hAnsi="Public Sans"/>
          <w:b/>
          <w:i w:val="0"/>
          <w:color w:val="3D3E3E"/>
          <w:sz w:val="19"/>
        </w:rPr>
        <w:t>2.75%</w:t>
      </w:r>
      <w:r>
        <w:rPr>
          <w:rFonts w:ascii="Public Sans" w:hAnsi="Public Sans"/>
          <w:b w:val="0"/>
          <w:i w:val="0"/>
          <w:color w:val="3D3E3E"/>
          <w:sz w:val="19"/>
        </w:rPr>
        <w:t xml:space="preserve">; </w:t>
      </w:r>
      <w:r>
        <w:rPr>
          <w:rFonts w:ascii="Public Sans" w:hAnsi="Public Sans"/>
          <w:b/>
          <w:i w:val="0"/>
          <w:color w:val="3D3E3E"/>
          <w:sz w:val="19"/>
        </w:rPr>
        <w:t>BNM decides 2026-07-09</w:t>
      </w:r>
      <w:r>
        <w:rPr>
          <w:rFonts w:ascii="Public Sans" w:hAnsi="Public Sans"/>
          <w:b w:val="0"/>
          <w:i w:val="0"/>
          <w:color w:val="3D3E3E"/>
          <w:sz w:val="19"/>
        </w:rPr>
        <w:t xml:space="preserve"> (FACT, forward). HSBC's preview (14288) is "La pausa" — houses expect a hold; JPM's Malaysia note (14748) is equity-angled. M3 ~5% YoY. Calendar-driven into next week. </w:t>
      </w:r>
      <w:r>
        <w:rPr>
          <w:rFonts w:ascii="Public Sans" w:hAnsi="Public Sans"/>
          <w:b/>
          <w:i w:val="0"/>
          <w:color w:val="3D3E3E"/>
          <w:sz w:val="19"/>
        </w:rPr>
        <w:t>Not loaded:</w:t>
      </w:r>
      <w:r>
        <w:rPr>
          <w:rFonts w:ascii="Public Sans" w:hAnsi="Public Sans"/>
          <w:b w:val="0"/>
          <w:i w:val="0"/>
          <w:color w:val="3D3E3E"/>
          <w:sz w:val="19"/>
        </w:rPr>
        <w:t xml:space="preserve"> no in-window econ.fact_indicator rows.</w:t>
      </w:r>
    </w:p>
    <w:p>
      <w:pPr>
        <w:spacing w:before="80" w:after="80"/>
        <w:pBdr>
          <w:bottom w:val="single" w:sz="6" w:space="2" w:color="D9DCD8"/>
        </w:pBdr>
      </w:pPr>
    </w:p>
    <w:p>
      <w:pPr>
        <w:spacing w:before="200" w:after="60"/>
        <w:keepNext/>
        <w:pBdr>
          <w:bottom w:val="single" w:sz="4" w:space="2" w:color="E0E9E4"/>
        </w:pBdr>
      </w:pPr>
      <w:r>
        <w:rPr>
          <w:rFonts w:ascii="Georgia" w:hAnsi="Georgia"/>
          <w:b/>
          <w:color w:val="4D806A"/>
          <w:sz w:val="23"/>
        </w:rPr>
        <w:t>Hong Kong — peg follows Fed</w:t>
      </w:r>
    </w:p>
    <w:p>
      <w:pPr>
        <w:spacing w:after="80" w:line="283" w:lineRule="auto"/>
      </w:pPr>
      <w:r>
        <w:rPr>
          <w:rFonts w:ascii="Public Sans" w:hAnsi="Public Sans"/>
          <w:b w:val="0"/>
          <w:i w:val="0"/>
          <w:color w:val="3D3E3E"/>
          <w:sz w:val="19"/>
        </w:rPr>
        <w:t>USD-linked (no independent policy rate; rides US pricing via the peg/LAF). Regional read this window is Korea liquidity/KRW-tightening (Goldman 14778, country_id tagged HK) rather than anything HK-domestic. HK econ.fact_indicator exists (19 indicators, latest 06-03) but nothing rate-relevant moved. Peg-follows-Fed; no differentiated HK flow.</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5. Grounding ledger</w:t>
      </w:r>
      <w:r>
        <w:rPr>
          <w:rFonts w:ascii="Public Sans" w:hAnsi="Public Sans"/>
          <w:i/>
          <w:color w:val="7A7C7C"/>
          <w:sz w:val="16"/>
        </w:rPr>
        <w:t xml:space="preserve">   SYN</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Rates / decisions / surprises → calendar.cb_events</w:t>
      </w:r>
      <w:r>
        <w:rPr>
          <w:rFonts w:ascii="Public Sans" w:hAnsi="Public Sans"/>
          <w:b w:val="0"/>
          <w:i w:val="0"/>
          <w:color w:val="3D3E3E"/>
          <w:sz w:val="19"/>
        </w:rPr>
        <w:t xml:space="preserve"> (BQL → TradingEconomics), window 2026-07-01→07-03. Verified decision rows: RBA 4.35% (06-16 hold), BoJ 1.00% (06-16 hike), BI 5.75% (06-09 &amp; 06-18 hikes), BSP 4.75% (06-18 hike), RBI 5.25% (06-05 hold), BoE 3.75% (06-18 hold, 7/2/0), Fed 3.75% (06-17 hold, dots up); RBNZ (07-08) and BNM (07-09) forward.</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Component depth → econ.fact_indicator:</w:t>
      </w:r>
      <w:r>
        <w:rPr>
          <w:rFonts w:ascii="Public Sans" w:hAnsi="Public Sans"/>
          <w:b w:val="0"/>
          <w:i w:val="0"/>
          <w:color w:val="3D3E3E"/>
          <w:sz w:val="19"/>
        </w:rPr>
        <w:t xml:space="preserve"> deep IN (279) / AU (215) / US (140) / ID (91); thin NZ (46) / HK (19) / UK (1); no in-window rows CA / JP / TH / MY / SG / PH. Latest obs 06-29 (IN/AU/US), 06-26 (ID).</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Views / trades / quotes → research.fact_chunk + Qdrant (research_gemini_embedding_2_3072d) + ingested Outlook bodies:</w:t>
      </w:r>
      <w:r>
        <w:rPr>
          <w:rFonts w:ascii="Public Sans" w:hAnsi="Public Sans"/>
          <w:b w:val="0"/>
          <w:i w:val="0"/>
          <w:color w:val="3D3E3E"/>
          <w:sz w:val="19"/>
        </w:rPr>
        <w:t xml:space="preserve"> 376 in-window reports across 13 vendors (all source_type=research; portal + desk/email bodies). Movers read at chunk level. Per-theme semantic sweeps: JPY/intervention, Warsh/Sintra, US payrolls, JP Tankan DI, US core-PCE, RBNZ Jul-8, AU neutral rate, Indonesia inflation, India inflows, MAS.</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Unreconciled:</w:t>
      </w:r>
      <w:r>
        <w:rPr>
          <w:rFonts w:ascii="Public Sans" w:hAnsi="Public Sans"/>
          <w:b w:val="0"/>
          <w:i w:val="0"/>
          <w:color w:val="3D3E3E"/>
          <w:sz w:val="19"/>
        </w:rPr>
        <w:t xml:space="preserve"> (a) JP Tankan — TE "large-mfg index 16 vs 17" (cb_events) vs BoJ business-conditions </w:t>
      </w:r>
      <w:r>
        <w:rPr>
          <w:rFonts w:ascii="Public Sans" w:hAnsi="Public Sans"/>
          <w:b/>
          <w:i w:val="0"/>
          <w:color w:val="3D3E3E"/>
          <w:sz w:val="19"/>
        </w:rPr>
        <w:t>DI ~+37</w:t>
      </w:r>
      <w:r>
        <w:rPr>
          <w:rFonts w:ascii="Public Sans" w:hAnsi="Public Sans"/>
          <w:b w:val="0"/>
          <w:i w:val="0"/>
          <w:color w:val="3D3E3E"/>
          <w:sz w:val="19"/>
        </w:rPr>
        <w:t xml:space="preserve"> (house-cited); both shown. (b) NZ Jul-8 — ANZ hike / Westpac hold→Sept / cb_events forecast hold; all three shown. (c) AU neutral rate — Nomura (long-run up, no hike) vs BofA (short-run falls, quiet tightening) reach "tight" via opposite mechanisms. (d) US core-PCE revision — Citi "big deal" vs Barclays "refinement" on identical BEA data.</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Not loaded / pre-print:</w:t>
      </w:r>
      <w:r>
        <w:rPr>
          <w:rFonts w:ascii="Public Sans" w:hAnsi="Public Sans"/>
          <w:b w:val="0"/>
          <w:i w:val="0"/>
          <w:color w:val="3D3E3E"/>
          <w:sz w:val="19"/>
        </w:rPr>
        <w:t xml:space="preserve"> US June payrolls / AHE / claims / factory orders — survey/consensus in cb_events, actuals not booked at run. ID / JP / AU June-print actuals for 07-01/02 not booked; sell-side-reported figures tagged as such.</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Japan intervention:</w:t>
      </w:r>
      <w:r>
        <w:rPr>
          <w:rFonts w:ascii="Public Sans" w:hAnsi="Public Sans"/>
          <w:b w:val="0"/>
          <w:i w:val="0"/>
          <w:color w:val="3D3E3E"/>
          <w:sz w:val="19"/>
        </w:rPr>
        <w:t xml:space="preserve"> signalled near-imminent (Mimura interview, Nomura 14752) — </w:t>
      </w:r>
      <w:r>
        <w:rPr>
          <w:rFonts w:ascii="Public Sans" w:hAnsi="Public Sans"/>
          <w:b/>
          <w:i w:val="0"/>
          <w:color w:val="3D3E3E"/>
          <w:sz w:val="19"/>
        </w:rPr>
        <w:t>not executed</w:t>
      </w:r>
      <w:r>
        <w:rPr>
          <w:rFonts w:ascii="Public Sans" w:hAnsi="Public Sans"/>
          <w:b w:val="0"/>
          <w:i w:val="0"/>
          <w:color w:val="3D3E3E"/>
          <w:sz w:val="19"/>
        </w:rPr>
        <w:t xml:space="preserve"> on the record.</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Indonesia instrument:</w:t>
      </w:r>
      <w:r>
        <w:rPr>
          <w:rFonts w:ascii="Public Sans" w:hAnsi="Public Sans"/>
          <w:b w:val="0"/>
          <w:i w:val="0"/>
          <w:color w:val="3D3E3E"/>
          <w:sz w:val="19"/>
        </w:rPr>
        <w:t xml:space="preserve"> no Spider instrument named — </w:t>
      </w:r>
      <w:r>
        <w:rPr>
          <w:rFonts w:ascii="Public Sans" w:hAnsi="Public Sans"/>
          <w:b/>
          <w:i w:val="0"/>
          <w:color w:val="3D3E3E"/>
          <w:sz w:val="19"/>
        </w:rPr>
        <w:t>PENDING DEEPAK</w:t>
      </w:r>
      <w:r>
        <w:rPr>
          <w:rFonts w:ascii="Public Sans" w:hAnsi="Public Sans"/>
          <w:b w:val="0"/>
          <w:i w:val="0"/>
          <w:color w:val="3D3E3E"/>
          <w:sz w:val="19"/>
        </w:rPr>
        <w:t>.</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Differentiated-view count (§4.D):</w:t>
      </w:r>
      <w:r>
        <w:rPr>
          <w:rFonts w:ascii="Public Sans" w:hAnsi="Public Sans"/>
          <w:b w:val="0"/>
          <w:i w:val="0"/>
          <w:color w:val="3D3E3E"/>
          <w:sz w:val="19"/>
        </w:rPr>
        <w:t xml:space="preserve"> US 5 · JP 4 · Indonesia 2 · AU 2 · NZ 2 · UK 2 · India 2 · Thailand 1 = </w:t>
      </w:r>
      <w:r>
        <w:rPr>
          <w:rFonts w:ascii="Public Sans" w:hAnsi="Public Sans"/>
          <w:b/>
          <w:i w:val="0"/>
          <w:color w:val="3D3E3E"/>
          <w:sz w:val="19"/>
        </w:rPr>
        <w:t>20 rows across 8 countries.</w:t>
      </w:r>
      <w:r>
        <w:rPr>
          <w:rFonts w:ascii="Public Sans" w:hAnsi="Public Sans"/>
          <w:b w:val="0"/>
          <w:i w:val="0"/>
          <w:color w:val="3D3E3E"/>
          <w:sz w:val="19"/>
        </w:rPr>
        <w:t xml:space="preserve"> Quiet countries (CA / PH / MY / HK) carry honest short reads; SG carries a single consensus theme (MAS).</w:t>
      </w:r>
    </w:p>
    <w:p>
      <w:pPr>
        <w:spacing w:after="8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448"/>
        <w:gridCol w:w="8208"/>
      </w:tblGrid>
      <w:tr>
        <w:tc>
          <w:tcPr>
            <w:tcW w:type="dxa" w:w="2448"/>
            <w:shd w:val="clear" w:color="auto" w:fill="001830"/>
            <w:tcMar>
              <w:top w:w="150" w:type="dxa"/>
              <w:bottom w:w="150" w:type="dxa"/>
              <w:start w:w="170" w:type="dxa"/>
              <w:end w:w="170" w:type="dxa"/>
              <w:left w:w="170" w:type="dxa"/>
              <w:right w:w="170" w:type="dxa"/>
            </w:tcMar>
            <w:vAlign w:val="center"/>
          </w:tcPr>
          <w:p>
            <w:r>
              <w:drawing>
                <wp:inline xmlns:a="http://schemas.openxmlformats.org/drawingml/2006/main" xmlns:pic="http://schemas.openxmlformats.org/drawingml/2006/picture">
                  <wp:extent cx="1280160" cy="428712"/>
                  <wp:docPr id="2" name="Picture 2"/>
                  <wp:cNvGraphicFramePr>
                    <a:graphicFrameLocks noChangeAspect="1"/>
                  </wp:cNvGraphicFramePr>
                  <a:graphic>
                    <a:graphicData uri="http://schemas.openxmlformats.org/drawingml/2006/picture">
                      <pic:pic>
                        <pic:nvPicPr>
                          <pic:cNvPr id="0" name="rv-logo-negative.png"/>
                          <pic:cNvPicPr/>
                        </pic:nvPicPr>
                        <pic:blipFill>
                          <a:blip r:embed="rId9"/>
                          <a:stretch>
                            <a:fillRect/>
                          </a:stretch>
                        </pic:blipFill>
                        <pic:spPr>
                          <a:xfrm>
                            <a:off x="0" y="0"/>
                            <a:ext cx="1280160" cy="428712"/>
                          </a:xfrm>
                          <a:prstGeom prst="rect"/>
                        </pic:spPr>
                      </pic:pic>
                    </a:graphicData>
                  </a:graphic>
                </wp:inline>
              </w:drawing>
            </w:r>
          </w:p>
        </w:tc>
        <w:tc>
          <w:tcPr>
            <w:tcW w:type="dxa" w:w="8208"/>
            <w:shd w:val="clear" w:color="auto" w:fill="001830"/>
            <w:tcMar>
              <w:top w:w="150" w:type="dxa"/>
              <w:bottom w:w="150" w:type="dxa"/>
              <w:start w:w="170" w:type="dxa"/>
              <w:end w:w="170" w:type="dxa"/>
              <w:left w:w="170" w:type="dxa"/>
              <w:right w:w="170" w:type="dxa"/>
            </w:tcMar>
            <w:vAlign w:val="center"/>
          </w:tcPr>
          <w:p>
            <w:pPr>
              <w:jc w:val="right"/>
            </w:pPr>
            <w:r>
              <w:rPr>
                <w:rFonts w:ascii="Public Sans" w:hAnsi="Public Sans"/>
                <w:b/>
                <w:color w:val="FFFFFF"/>
                <w:sz w:val="18"/>
              </w:rPr>
              <w:t>RV Capital  ·  Daily Macro Research Digest (Spider · demo)</w:t>
            </w:r>
          </w:p>
          <w:p>
            <w:pPr>
              <w:spacing w:before="40"/>
              <w:jc w:val="right"/>
            </w:pPr>
            <w:r>
              <w:rPr>
                <w:rFonts w:ascii="Public Sans" w:hAnsi="Public Sans"/>
                <w:color w:val="85A2BE"/>
                <w:sz w:val="15"/>
              </w:rPr>
              <w:t>Opinion &amp; trade-extraction tool, not a clipping service. Internal use only — not investment advice.</w:t>
            </w:r>
          </w:p>
        </w:tc>
      </w:tr>
    </w:tbl>
    <w:sectPr w:rsidR="00FC693F" w:rsidRPr="0006063C" w:rsidSect="00034616">
      <w:footerReference w:type="default" r:id="rId10"/>
      <w:pgSz w:w="12240" w:h="15840"/>
      <w:pgMar w:top="792"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ublic Sans" w:hAnsi="Public Sans"/>
        <w:color w:val="7A7C7C"/>
        <w:sz w:val="15"/>
      </w:rPr>
      <w:t xml:space="preserve">RV Capital  ·  Daily Macro Research Digest (Spider · demo)  ·  page </w:t>
    </w:r>
    <w:fldSimple w:instr="PAGE">
      <w:r>
        <w:rPr>
          <w:sz w:val="15"/>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3" w:lineRule="auto"/>
    </w:pPr>
    <w:rPr>
      <w:rFonts w:ascii="Public Sans" w:hAnsi="Public Sans"/>
      <w:color w:val="3D3E3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