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36"/>
        <w:gridCol w:w="7920"/>
      </w:tblGrid>
      <w:tr>
        <w:tc>
          <w:tcPr>
            <w:tcW w:type="dxa" w:w="2736"/>
            <w:shd w:val="clear" w:color="auto" w:fill="004527"/>
            <w:tcMar>
              <w:top w:w="140" w:type="dxa"/>
              <w:bottom w:w="140" w:type="dxa"/>
              <w:start w:w="170" w:type="dxa"/>
              <w:end w:w="170" w:type="dxa"/>
              <w:left w:w="170" w:type="dxa"/>
              <w:right w:w="170" w:type="dxa"/>
            </w:tcMar>
            <w:vAlign w:val="center"/>
          </w:tcPr>
          <w:p>
            <w:r>
              <w:drawing>
                <wp:inline xmlns:a="http://schemas.openxmlformats.org/drawingml/2006/main" xmlns:pic="http://schemas.openxmlformats.org/drawingml/2006/picture">
                  <wp:extent cx="1417320" cy="474645"/>
                  <wp:docPr id="1" name="Picture 1"/>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417320" cy="474645"/>
                          </a:xfrm>
                          <a:prstGeom prst="rect"/>
                        </pic:spPr>
                      </pic:pic>
                    </a:graphicData>
                  </a:graphic>
                </wp:inline>
              </w:drawing>
            </w:r>
          </w:p>
        </w:tc>
        <w:tc>
          <w:tcPr>
            <w:tcW w:type="dxa" w:w="7920"/>
            <w:shd w:val="clear" w:color="auto" w:fill="004527"/>
            <w:tcMar>
              <w:top w:w="140" w:type="dxa"/>
              <w:bottom w:w="140" w:type="dxa"/>
              <w:start w:w="170" w:type="dxa"/>
              <w:end w:w="170" w:type="dxa"/>
              <w:left w:w="170" w:type="dxa"/>
              <w:right w:w="170" w:type="dxa"/>
            </w:tcMar>
            <w:vAlign w:val="center"/>
          </w:tcPr>
          <w:p>
            <w:pPr>
              <w:spacing w:after="0"/>
              <w:jc w:val="right"/>
            </w:pPr>
            <w:r>
              <w:rPr>
                <w:rFonts w:ascii="Georgia" w:hAnsi="Georgia"/>
                <w:b/>
                <w:color w:val="FFFFFF"/>
                <w:sz w:val="38"/>
              </w:rPr>
              <w:t>Spider — Daily Macro Research Digest (DRAFT)</w:t>
            </w:r>
          </w:p>
          <w:p>
            <w:pPr>
              <w:spacing w:before="40" w:after="0"/>
              <w:jc w:val="right"/>
            </w:pPr>
            <w:r>
              <w:rPr>
                <w:rFonts w:ascii="Public Sans" w:hAnsi="Public Sans"/>
                <w:color w:val="B2D0B9"/>
                <w:sz w:val="20"/>
              </w:rPr>
              <w:t>Rates / FX desk</w:t>
            </w:r>
          </w:p>
        </w:tc>
      </w:tr>
    </w:tbl>
    <w:p>
      <w:pPr>
        <w:spacing w:before="120" w:after="160"/>
        <w:pBdr>
          <w:bottom w:val="single" w:sz="12" w:space="2" w:color="004527"/>
        </w:pBdr>
      </w:pPr>
    </w:p>
    <w:p>
      <w:pPr>
        <w:spacing w:after="80" w:line="283" w:lineRule="auto"/>
      </w:pPr>
      <w:r>
        <w:rPr>
          <w:rFonts w:ascii="Public Sans" w:hAnsi="Public Sans"/>
          <w:b/>
          <w:i w:val="0"/>
          <w:color w:val="3D3E3E"/>
          <w:sz w:val="19"/>
        </w:rPr>
        <w:t>Window:</w:t>
      </w:r>
      <w:r>
        <w:rPr>
          <w:rFonts w:ascii="Public Sans" w:hAnsi="Public Sans"/>
          <w:b w:val="0"/>
          <w:i w:val="0"/>
          <w:color w:val="3D3E3E"/>
          <w:sz w:val="19"/>
        </w:rPr>
        <w:t xml:space="preserve"> 2026-06-30 → 2026-07-02 (rolling day around 2026-07-01) · </w:t>
      </w:r>
      <w:r>
        <w:rPr>
          <w:rFonts w:ascii="Public Sans" w:hAnsi="Public Sans"/>
          <w:b/>
          <w:i w:val="0"/>
          <w:color w:val="3D3E3E"/>
          <w:sz w:val="19"/>
        </w:rPr>
        <w:t>Edition:</w:t>
      </w:r>
      <w:r>
        <w:rPr>
          <w:rFonts w:ascii="Public Sans" w:hAnsi="Public Sans"/>
          <w:b w:val="0"/>
          <w:i w:val="0"/>
          <w:color w:val="3D3E3E"/>
          <w:sz w:val="19"/>
        </w:rPr>
        <w:t xml:space="preserve"> Daily · </w:t>
      </w:r>
      <w:r>
        <w:rPr>
          <w:rFonts w:ascii="Public Sans" w:hAnsi="Public Sans"/>
          <w:b/>
          <w:i w:val="0"/>
          <w:color w:val="3D3E3E"/>
          <w:sz w:val="19"/>
        </w:rPr>
        <w:t>Slices run:</w:t>
      </w:r>
      <w:r>
        <w:rPr>
          <w:rFonts w:ascii="Public Sans" w:hAnsi="Public Sans"/>
          <w:b w:val="0"/>
          <w:i w:val="0"/>
          <w:color w:val="3D3E3E"/>
          <w:sz w:val="19"/>
        </w:rPr>
        <w:t xml:space="preserve"> dashboard + calendar + trade ideas + per-country read · </w:t>
      </w:r>
      <w:r>
        <w:rPr>
          <w:rFonts w:ascii="Public Sans" w:hAnsi="Public Sans"/>
          <w:b/>
          <w:i w:val="0"/>
          <w:color w:val="3D3E3E"/>
          <w:sz w:val="19"/>
        </w:rPr>
        <w:t>Status:</w:t>
      </w:r>
      <w:r>
        <w:rPr>
          <w:rFonts w:ascii="Public Sans" w:hAnsi="Public Sans"/>
          <w:b w:val="0"/>
          <w:i w:val="0"/>
          <w:color w:val="3D3E3E"/>
          <w:sz w:val="19"/>
        </w:rPr>
        <w:t xml:space="preserve"> DRAFT / demo cut</w:t>
      </w:r>
    </w:p>
    <w:p>
      <w:pPr>
        <w:spacing w:after="80" w:line="283" w:lineRule="auto"/>
      </w:pPr>
      <w:r>
        <w:rPr>
          <w:rFonts w:ascii="Public Sans" w:hAnsi="Public Sans"/>
          <w:b w:val="0"/>
          <w:i w:val="0"/>
          <w:color w:val="3D3E3E"/>
          <w:sz w:val="19"/>
        </w:rPr>
        <w:t>&gt; Read from an FX/rates PM chair. Number-first, low-opinion. Sell-side is treated as motivated until the numbers say otherwise. Trades are surfaced — never judged. Every table row is explained in the prose below it.</w:t>
      </w:r>
    </w:p>
    <w:p>
      <w:pPr>
        <w:spacing w:after="80" w:line="283" w:lineRule="auto"/>
      </w:pPr>
      <w:r>
        <w:rPr>
          <w:rFonts w:ascii="Public Sans" w:hAnsi="Public Sans"/>
          <w:b w:val="0"/>
          <w:i w:val="0"/>
          <w:color w:val="3D3E3E"/>
          <w:sz w:val="19"/>
        </w:rPr>
        <w:t>&gt;</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Grounding legend:</w:t>
      </w:r>
      <w:r>
        <w:rPr>
          <w:rFonts w:ascii="Public Sans" w:hAnsi="Public Sans"/>
          <w:b w:val="0"/>
          <w:i w:val="0"/>
          <w:color w:val="3D3E3E"/>
          <w:sz w:val="19"/>
        </w:rPr>
        <w:t xml:space="preserve"> FACT = printed/decision (calendar.cb_events) · DEPTH = component series (econ.fact_indicator) · VIEW = sell-side interpretation (research.fact_chunk + Qdrant) · PRICING = market-implied · SYN = my synthesis.</w:t>
      </w:r>
    </w:p>
    <w:p>
      <w:pPr>
        <w:spacing w:after="80" w:line="283" w:lineRule="auto"/>
      </w:pPr>
      <w:r>
        <w:rPr>
          <w:rFonts w:ascii="Public Sans" w:hAnsi="Public Sans"/>
          <w:b w:val="0"/>
          <w:i w:val="0"/>
          <w:color w:val="3D3E3E"/>
          <w:sz w:val="19"/>
        </w:rPr>
        <w:t>&gt;</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Run flags (read first):</w:t>
      </w:r>
    </w:p>
    <w:p>
      <w:pPr>
        <w:spacing w:after="80" w:line="283" w:lineRule="auto"/>
      </w:pPr>
      <w:r>
        <w:rPr>
          <w:rFonts w:ascii="Public Sans" w:hAnsi="Public Sans"/>
          <w:b w:val="0"/>
          <w:i w:val="0"/>
          <w:color w:val="3D3E3E"/>
          <w:sz w:val="19"/>
        </w:rPr>
        <w:t xml:space="preserve">&gt; - </w:t>
      </w:r>
      <w:r>
        <w:rPr>
          <w:rFonts w:ascii="Public Sans" w:hAnsi="Public Sans"/>
          <w:b/>
          <w:i w:val="0"/>
          <w:color w:val="3D3E3E"/>
          <w:sz w:val="19"/>
        </w:rPr>
        <w:t>Window is partly forward-looking.</w:t>
      </w:r>
      <w:r>
        <w:rPr>
          <w:rFonts w:ascii="Public Sans" w:hAnsi="Public Sans"/>
          <w:b w:val="0"/>
          <w:i w:val="0"/>
          <w:color w:val="3D3E3E"/>
          <w:sz w:val="19"/>
        </w:rPr>
        <w:t xml:space="preserve"> As of ingest, cb_events for this window carries survey/forecast/prior but many actual fields are still null (e.g. US NFP row 21819 shows survey 114K / forecast 110K / prior 172K, actual null). Where I cite an "actual" I say so and give the source row; where only a survey exists I tag it PRICING/consensus, not a print.</w:t>
      </w:r>
    </w:p>
    <w:p>
      <w:pPr>
        <w:spacing w:after="80" w:line="283" w:lineRule="auto"/>
      </w:pPr>
      <w:r>
        <w:rPr>
          <w:rFonts w:ascii="Public Sans" w:hAnsi="Public Sans"/>
          <w:b w:val="0"/>
          <w:i w:val="0"/>
          <w:color w:val="3D3E3E"/>
          <w:sz w:val="19"/>
        </w:rPr>
        <w:t xml:space="preserve">&gt; - </w:t>
      </w:r>
      <w:r>
        <w:rPr>
          <w:rFonts w:ascii="Public Sans" w:hAnsi="Public Sans"/>
          <w:b/>
          <w:i w:val="0"/>
          <w:color w:val="3D3E3E"/>
          <w:sz w:val="19"/>
        </w:rPr>
        <w:t>Research corpus in-window runs 2026-06-30 → 2026-07-01.</w:t>
      </w:r>
      <w:r>
        <w:rPr>
          <w:rFonts w:ascii="Public Sans" w:hAnsi="Public Sans"/>
          <w:b w:val="0"/>
          <w:i w:val="0"/>
          <w:color w:val="3D3E3E"/>
          <w:sz w:val="19"/>
        </w:rPr>
        <w:t xml:space="preserve"> No 2026-07-02 sell-side rows were ingested at run time (408 reports across 13 vendors, latest publish_date 2026-07-01). The Jul-2 US payrolls/factory-orders reactions are therefore calendar-only, not yet in the note flow.</w:t>
      </w:r>
    </w:p>
    <w:p>
      <w:pPr>
        <w:spacing w:after="80" w:line="283" w:lineRule="auto"/>
      </w:pPr>
      <w:r>
        <w:rPr>
          <w:rFonts w:ascii="Public Sans" w:hAnsi="Public Sans"/>
          <w:b w:val="0"/>
          <w:i w:val="0"/>
          <w:color w:val="3D3E3E"/>
          <w:sz w:val="19"/>
        </w:rPr>
        <w:t xml:space="preserve">&gt; - </w:t>
      </w:r>
      <w:r>
        <w:rPr>
          <w:rFonts w:ascii="Public Sans" w:hAnsi="Public Sans"/>
          <w:b/>
          <w:i w:val="0"/>
          <w:color w:val="3D3E3E"/>
          <w:sz w:val="19"/>
        </w:rPr>
        <w:t>Qdrant semantic layer IS up</w:t>
      </w:r>
      <w:r>
        <w:rPr>
          <w:rFonts w:ascii="Public Sans" w:hAnsi="Public Sans"/>
          <w:b w:val="0"/>
          <w:i w:val="0"/>
          <w:color w:val="3D3E3E"/>
          <w:sz w:val="19"/>
        </w:rPr>
        <w:t xml:space="preserve"> (127.0.0.1:6333, collection research_gemini_embedding_2_3072d); per-theme semantic sweeps were run and reconciled against the SQL scan. For the six mover countries the flagship/desk notes were read </w:t>
      </w:r>
      <w:r>
        <w:rPr>
          <w:rFonts w:ascii="Public Sans" w:hAnsi="Public Sans"/>
          <w:b/>
          <w:i w:val="0"/>
          <w:color w:val="3D3E3E"/>
          <w:sz w:val="19"/>
        </w:rPr>
        <w:t>in full at the chunk level</w:t>
      </w:r>
      <w:r>
        <w:rPr>
          <w:rFonts w:ascii="Public Sans" w:hAnsi="Public Sans"/>
          <w:b w:val="0"/>
          <w:i w:val="0"/>
          <w:color w:val="3D3E3E"/>
          <w:sz w:val="19"/>
        </w:rPr>
        <w:t xml:space="preserve"> (not off titles) — see §5 for the report list. retrieve.py needs PYTHONUTF8=1 to avoid a cp1252 crash on box-drawing chars (playground-tooling nit, not promoted).</w:t>
      </w:r>
    </w:p>
    <w:p>
      <w:pPr>
        <w:spacing w:after="80" w:line="283" w:lineRule="auto"/>
      </w:pPr>
      <w:r>
        <w:rPr>
          <w:rFonts w:ascii="Public Sans" w:hAnsi="Public Sans"/>
          <w:b w:val="0"/>
          <w:i w:val="0"/>
          <w:color w:val="3D3E3E"/>
          <w:sz w:val="19"/>
        </w:rPr>
        <w:t xml:space="preserve">&gt; - </w:t>
      </w:r>
      <w:r>
        <w:rPr>
          <w:rFonts w:ascii="Public Sans" w:hAnsi="Public Sans"/>
          <w:b/>
          <w:i w:val="0"/>
          <w:color w:val="3D3E3E"/>
          <w:sz w:val="19"/>
        </w:rPr>
        <w:t>econ depth is uneven and I do not fake it:</w:t>
      </w:r>
      <w:r>
        <w:rPr>
          <w:rFonts w:ascii="Public Sans" w:hAnsi="Public Sans"/>
          <w:b w:val="0"/>
          <w:i w:val="0"/>
          <w:color w:val="3D3E3E"/>
          <w:sz w:val="19"/>
        </w:rPr>
        <w:t xml:space="preserve"> deep AU/US/IN/ID/HK, thin NZ/UK, effectively absent JP/CA (1 obs each) and TH/MY/SG/PH (no in-window rows). Country reads flag this inline.</w:t>
      </w:r>
    </w:p>
    <w:p>
      <w:pPr>
        <w:spacing w:after="80" w:line="283" w:lineRule="auto"/>
      </w:pPr>
      <w:r>
        <w:rPr>
          <w:rFonts w:ascii="Public Sans" w:hAnsi="Public Sans"/>
          <w:b w:val="0"/>
          <w:i w:val="0"/>
          <w:color w:val="3D3E3E"/>
          <w:sz w:val="19"/>
        </w:rPr>
        <w:t xml:space="preserve">&gt; - </w:t>
      </w:r>
      <w:r>
        <w:rPr>
          <w:rFonts w:ascii="Public Sans" w:hAnsi="Public Sans"/>
          <w:b/>
          <w:i w:val="0"/>
          <w:color w:val="3D3E3E"/>
          <w:sz w:val="19"/>
        </w:rPr>
        <w:t>Indonesia instrument: PENDING DEEPAK.</w:t>
      </w:r>
      <w:r>
        <w:rPr>
          <w:rFonts w:ascii="Public Sans" w:hAnsi="Public Sans"/>
          <w:b w:val="0"/>
          <w:i w:val="0"/>
          <w:color w:val="3D3E3E"/>
          <w:sz w:val="19"/>
        </w:rPr>
        <w:t xml:space="preserve"> The "use the bonds" instruction (SRBI vs IDR-rates vs govvies) is </w:t>
      </w:r>
      <w:r>
        <w:rPr>
          <w:rFonts w:ascii="Public Sans" w:hAnsi="Public Sans"/>
          <w:b w:val="0"/>
          <w:i/>
          <w:color w:val="3D3E3E"/>
          <w:sz w:val="19"/>
        </w:rPr>
        <w:t>not</w:t>
      </w:r>
      <w:r>
        <w:rPr>
          <w:rFonts w:ascii="Public Sans" w:hAnsi="Public Sans"/>
          <w:b w:val="0"/>
          <w:i w:val="0"/>
          <w:color w:val="3D3E3E"/>
          <w:sz w:val="19"/>
        </w:rPr>
        <w:t xml:space="preserve"> wired. ID views below are described at the theme level only; no instrument is asserted.</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1. CB / macro dashboard</w:t>
      </w:r>
      <w:r>
        <w:rPr>
          <w:rFonts w:ascii="Public Sans" w:hAnsi="Public Sans"/>
          <w:i/>
          <w:color w:val="7A7C7C"/>
          <w:sz w:val="16"/>
        </w:rPr>
        <w:t xml:space="preserve">   FACT — calendar.cb_events</w:t>
      </w:r>
    </w:p>
    <w:p>
      <w:pPr>
        <w:spacing w:after="80" w:line="283" w:lineRule="auto"/>
      </w:pPr>
      <w:r>
        <w:rPr>
          <w:rFonts w:ascii="Public Sans" w:hAnsi="Public Sans"/>
          <w:b w:val="0"/>
          <w:i w:val="0"/>
          <w:color w:val="3D3E3E"/>
          <w:sz w:val="19"/>
        </w:rPr>
        <w:t>One row per covered country. Rate = last decided policy rate verified against a real decision row; "last move" and "next" verified against event rows in cb_events.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8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1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Policy rate</w:t>
            </w:r>
          </w:p>
        </w:tc>
        <w:tc>
          <w:tcPr>
            <w:tcW w:type="dxa" w:w="33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Last move (date, verified)</w:t>
            </w:r>
          </w:p>
        </w:tc>
        <w:tc>
          <w:tcPr>
            <w:tcW w:type="dxa" w:w="182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Next scheduled</w:t>
            </w:r>
          </w:p>
        </w:tc>
        <w:tc>
          <w:tcPr>
            <w:tcW w:type="dxa" w:w="34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Bias / key issue</w:t>
            </w:r>
          </w:p>
        </w:tc>
      </w:tr>
      <w:tr>
        <w:tc>
          <w:tcPr>
            <w:tcW w:type="dxa" w:w="8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States</w:t>
            </w:r>
          </w:p>
        </w:tc>
        <w:tc>
          <w:tcPr>
            <w:tcW w:type="dxa" w:w="11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3.75%</w:t>
            </w:r>
          </w:p>
        </w:tc>
        <w:tc>
          <w:tcPr>
            <w:tcW w:type="dxa" w:w="3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Held 2026-06-17 (dots revised </w:t>
            </w:r>
            <w:r>
              <w:rPr>
                <w:rFonts w:ascii="Public Sans" w:hAnsi="Public Sans"/>
                <w:b/>
                <w:i w:val="0"/>
                <w:color w:val="3D3E3E"/>
                <w:sz w:val="16"/>
              </w:rPr>
              <w:t>up</w:t>
            </w:r>
            <w:r>
              <w:rPr>
                <w:rFonts w:ascii="Public Sans" w:hAnsi="Public Sans"/>
                <w:b w:val="0"/>
                <w:i w:val="0"/>
                <w:color w:val="3D3E3E"/>
                <w:sz w:val="16"/>
              </w:rPr>
              <w:t>)</w:t>
            </w:r>
          </w:p>
        </w:tc>
        <w:tc>
          <w:tcPr>
            <w:tcW w:type="dxa" w:w="18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FOMC minutes 07-08</w:t>
            </w:r>
          </w:p>
        </w:tc>
        <w:tc>
          <w:tcPr>
            <w:tcW w:type="dxa" w:w="34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Hawkish repricing; market prices net </w:t>
            </w:r>
            <w:r>
              <w:rPr>
                <w:rFonts w:ascii="Public Sans" w:hAnsi="Public Sans"/>
                <w:b/>
                <w:i w:val="0"/>
                <w:color w:val="3D3E3E"/>
                <w:sz w:val="16"/>
              </w:rPr>
              <w:t>hikes</w:t>
            </w:r>
            <w:r>
              <w:rPr>
                <w:rFonts w:ascii="Public Sans" w:hAnsi="Public Sans"/>
                <w:b w:val="0"/>
                <w:i w:val="0"/>
                <w:color w:val="3D3E3E"/>
                <w:sz w:val="16"/>
              </w:rPr>
              <w:t>, not cuts (see §3)</w:t>
            </w:r>
          </w:p>
        </w:tc>
      </w:tr>
      <w:tr>
        <w:tc>
          <w:tcPr>
            <w:tcW w:type="dxa" w:w="8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Japan</w:t>
            </w:r>
          </w:p>
        </w:tc>
        <w:tc>
          <w:tcPr>
            <w:tcW w:type="dxa" w:w="11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1.00%</w:t>
            </w:r>
          </w:p>
        </w:tc>
        <w:tc>
          <w:tcPr>
            <w:tcW w:type="dxa" w:w="33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Hiked +25bp</w:t>
            </w:r>
            <w:r>
              <w:rPr>
                <w:rFonts w:ascii="Public Sans" w:hAnsi="Public Sans"/>
                <w:b w:val="0"/>
                <w:i w:val="0"/>
                <w:color w:val="3D3E3E"/>
                <w:sz w:val="16"/>
              </w:rPr>
              <w:t xml:space="preserve"> 2026-06-16 (from 0.75%)</w:t>
            </w:r>
          </w:p>
        </w:tc>
        <w:tc>
          <w:tcPr>
            <w:tcW w:type="dxa" w:w="18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(post-window)</w:t>
            </w:r>
          </w:p>
        </w:tc>
        <w:tc>
          <w:tcPr>
            <w:tcW w:type="dxa" w:w="34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Tankan firm; JPY weakness + intervention watch</w:t>
            </w:r>
          </w:p>
        </w:tc>
      </w:tr>
      <w:tr>
        <w:tc>
          <w:tcPr>
            <w:tcW w:type="dxa" w:w="8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Indonesia</w:t>
            </w:r>
          </w:p>
        </w:tc>
        <w:tc>
          <w:tcPr>
            <w:tcW w:type="dxa" w:w="11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5.75%</w:t>
            </w:r>
          </w:p>
        </w:tc>
        <w:tc>
          <w:tcPr>
            <w:tcW w:type="dxa" w:w="3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Hiked +25bp</w:t>
            </w:r>
            <w:r>
              <w:rPr>
                <w:rFonts w:ascii="Public Sans" w:hAnsi="Public Sans"/>
                <w:b w:val="0"/>
                <w:i w:val="0"/>
                <w:color w:val="3D3E3E"/>
                <w:sz w:val="16"/>
              </w:rPr>
              <w:t xml:space="preserve"> 2026-06-18 (from 5.50; +25bp again 06-09)</w:t>
            </w:r>
          </w:p>
        </w:tc>
        <w:tc>
          <w:tcPr>
            <w:tcW w:type="dxa" w:w="18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(post-window)</w:t>
            </w:r>
          </w:p>
        </w:tc>
        <w:tc>
          <w:tcPr>
            <w:tcW w:type="dxa" w:w="34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Two June hikes; rupiah defence; CPI lifted by fuel</w:t>
            </w:r>
          </w:p>
        </w:tc>
      </w:tr>
      <w:tr>
        <w:tc>
          <w:tcPr>
            <w:tcW w:type="dxa" w:w="8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Australia</w:t>
            </w:r>
          </w:p>
        </w:tc>
        <w:tc>
          <w:tcPr>
            <w:tcW w:type="dxa" w:w="11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4.35%</w:t>
            </w:r>
          </w:p>
        </w:tc>
        <w:tc>
          <w:tcPr>
            <w:tcW w:type="dxa" w:w="33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2026-06-16</w:t>
            </w:r>
          </w:p>
        </w:tc>
        <w:tc>
          <w:tcPr>
            <w:tcW w:type="dxa" w:w="18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RBA speech (Hunter) 07-08</w:t>
            </w:r>
          </w:p>
        </w:tc>
        <w:tc>
          <w:tcPr>
            <w:tcW w:type="dxa" w:w="34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Minutes: neutral-rate debate; houses split on hold-vs-hike-risk; OIS ~17% a hike by Aug</w:t>
            </w:r>
          </w:p>
        </w:tc>
      </w:tr>
      <w:tr>
        <w:tc>
          <w:tcPr>
            <w:tcW w:type="dxa" w:w="8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New Zealand</w:t>
            </w:r>
          </w:p>
        </w:tc>
        <w:tc>
          <w:tcPr>
            <w:tcW w:type="dxa" w:w="11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2.25%</w:t>
            </w:r>
          </w:p>
        </w:tc>
        <w:tc>
          <w:tcPr>
            <w:tcW w:type="dxa" w:w="3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decision)</w:t>
            </w:r>
          </w:p>
        </w:tc>
        <w:tc>
          <w:tcPr>
            <w:tcW w:type="dxa" w:w="18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RBNZ MPR 2026-07-08</w:t>
            </w:r>
          </w:p>
        </w:tc>
        <w:tc>
          <w:tcPr>
            <w:tcW w:type="dxa" w:w="34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Hike-cycle debate; ANZ calls +25bp Jul-8, Westpac holds → Sept (unreconciled)</w:t>
            </w:r>
          </w:p>
        </w:tc>
      </w:tr>
      <w:tr>
        <w:tc>
          <w:tcPr>
            <w:tcW w:type="dxa" w:w="8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United Kingdom</w:t>
            </w:r>
          </w:p>
        </w:tc>
        <w:tc>
          <w:tcPr>
            <w:tcW w:type="dxa" w:w="11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3.75%</w:t>
            </w:r>
          </w:p>
        </w:tc>
        <w:tc>
          <w:tcPr>
            <w:tcW w:type="dxa" w:w="33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Held 2026-06-18 (vote 7/2/0 — </w:t>
            </w:r>
            <w:r>
              <w:rPr>
                <w:rFonts w:ascii="Public Sans" w:hAnsi="Public Sans"/>
                <w:b/>
                <w:i w:val="0"/>
                <w:color w:val="3D3E3E"/>
                <w:sz w:val="16"/>
              </w:rPr>
              <w:t>2 hike dissents</w:t>
            </w:r>
            <w:r>
              <w:rPr>
                <w:rFonts w:ascii="Public Sans" w:hAnsi="Public Sans"/>
                <w:b w:val="0"/>
                <w:i w:val="0"/>
                <w:color w:val="3D3E3E"/>
                <w:sz w:val="16"/>
              </w:rPr>
              <w:t>)</w:t>
            </w:r>
          </w:p>
        </w:tc>
        <w:tc>
          <w:tcPr>
            <w:tcW w:type="dxa" w:w="18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FSR 07-07; speakers in-window</w:t>
            </w:r>
          </w:p>
        </w:tc>
        <w:tc>
          <w:tcPr>
            <w:tcW w:type="dxa" w:w="34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Sticky; hawkish dissent; gilt supply</w:t>
            </w:r>
          </w:p>
        </w:tc>
      </w:tr>
      <w:tr>
        <w:tc>
          <w:tcPr>
            <w:tcW w:type="dxa" w:w="8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Canada</w:t>
            </w:r>
          </w:p>
        </w:tc>
        <w:tc>
          <w:tcPr>
            <w:tcW w:type="dxa" w:w="11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2.25%</w:t>
            </w:r>
          </w:p>
        </w:tc>
        <w:tc>
          <w:tcPr>
            <w:tcW w:type="dxa" w:w="3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2026-06-10</w:t>
            </w:r>
          </w:p>
        </w:tc>
        <w:tc>
          <w:tcPr>
            <w:tcW w:type="dxa" w:w="18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BoC Business Outlook 07-06</w:t>
            </w:r>
          </w:p>
        </w:tc>
        <w:tc>
          <w:tcPr>
            <w:tcW w:type="dxa" w:w="34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Steady BoC; weak growth, Macklem speech 07-01</w:t>
            </w:r>
          </w:p>
        </w:tc>
      </w:tr>
      <w:tr>
        <w:tc>
          <w:tcPr>
            <w:tcW w:type="dxa" w:w="8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India</w:t>
            </w:r>
          </w:p>
        </w:tc>
        <w:tc>
          <w:tcPr>
            <w:tcW w:type="dxa" w:w="11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5.25%</w:t>
            </w:r>
          </w:p>
        </w:tc>
        <w:tc>
          <w:tcPr>
            <w:tcW w:type="dxa" w:w="33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2026-06-05</w:t>
            </w:r>
          </w:p>
        </w:tc>
        <w:tc>
          <w:tcPr>
            <w:tcW w:type="dxa" w:w="18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(post-window)</w:t>
            </w:r>
          </w:p>
        </w:tc>
        <w:tc>
          <w:tcPr>
            <w:tcW w:type="dxa" w:w="34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 surplus (RBI dividend); monsoon/food-price watch</w:t>
            </w:r>
          </w:p>
        </w:tc>
      </w:tr>
      <w:tr>
        <w:tc>
          <w:tcPr>
            <w:tcW w:type="dxa" w:w="8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Philippines</w:t>
            </w:r>
          </w:p>
        </w:tc>
        <w:tc>
          <w:tcPr>
            <w:tcW w:type="dxa" w:w="11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4.75%</w:t>
            </w:r>
          </w:p>
        </w:tc>
        <w:tc>
          <w:tcPr>
            <w:tcW w:type="dxa" w:w="3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Hiked +25bp</w:t>
            </w:r>
            <w:r>
              <w:rPr>
                <w:rFonts w:ascii="Public Sans" w:hAnsi="Public Sans"/>
                <w:b w:val="0"/>
                <w:i w:val="0"/>
                <w:color w:val="3D3E3E"/>
                <w:sz w:val="16"/>
              </w:rPr>
              <w:t xml:space="preserve"> 2026-06-18 (from 4.50)</w:t>
            </w:r>
          </w:p>
        </w:tc>
        <w:tc>
          <w:tcPr>
            <w:tcW w:type="dxa" w:w="18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(post-window)</w:t>
            </w:r>
          </w:p>
        </w:tc>
        <w:tc>
          <w:tcPr>
            <w:tcW w:type="dxa" w:w="34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Trade deficit narrowing; EM tightening cluster</w:t>
            </w:r>
          </w:p>
        </w:tc>
      </w:tr>
      <w:tr>
        <w:tc>
          <w:tcPr>
            <w:tcW w:type="dxa" w:w="8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Thailand</w:t>
            </w:r>
          </w:p>
        </w:tc>
        <w:tc>
          <w:tcPr>
            <w:tcW w:type="dxa" w:w="11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1.00%</w:t>
            </w:r>
          </w:p>
        </w:tc>
        <w:tc>
          <w:tcPr>
            <w:tcW w:type="dxa" w:w="33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2026-06-24</w:t>
            </w:r>
          </w:p>
        </w:tc>
        <w:tc>
          <w:tcPr>
            <w:tcW w:type="dxa" w:w="18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BoT minutes 07-08</w:t>
            </w:r>
          </w:p>
        </w:tc>
        <w:tc>
          <w:tcPr>
            <w:tcW w:type="dxa" w:w="34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Weak demand; current-account/energy shock in focus</w:t>
            </w:r>
          </w:p>
        </w:tc>
      </w:tr>
      <w:tr>
        <w:tc>
          <w:tcPr>
            <w:tcW w:type="dxa" w:w="8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Malaysia</w:t>
            </w:r>
          </w:p>
        </w:tc>
        <w:tc>
          <w:tcPr>
            <w:tcW w:type="dxa" w:w="11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2.75%</w:t>
            </w:r>
          </w:p>
        </w:tc>
        <w:tc>
          <w:tcPr>
            <w:tcW w:type="dxa" w:w="3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(prior decision)</w:t>
            </w:r>
          </w:p>
        </w:tc>
        <w:tc>
          <w:tcPr>
            <w:tcW w:type="dxa" w:w="18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BNM 2026-07-09</w:t>
            </w:r>
          </w:p>
        </w:tc>
        <w:tc>
          <w:tcPr>
            <w:tcW w:type="dxa" w:w="34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"La pausa" — houses expect hold</w:t>
            </w:r>
          </w:p>
        </w:tc>
      </w:tr>
      <w:tr>
        <w:tc>
          <w:tcPr>
            <w:tcW w:type="dxa" w:w="8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Hong Kong</w:t>
            </w:r>
          </w:p>
        </w:tc>
        <w:tc>
          <w:tcPr>
            <w:tcW w:type="dxa" w:w="11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peg / LAF)</w:t>
            </w:r>
          </w:p>
        </w:tc>
        <w:tc>
          <w:tcPr>
            <w:tcW w:type="dxa" w:w="33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(linked to Fed)</w:t>
            </w:r>
          </w:p>
        </w:tc>
        <w:tc>
          <w:tcPr>
            <w:tcW w:type="dxa" w:w="18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34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Peg; retail sales soft; rides US pricing</w:t>
            </w:r>
          </w:p>
        </w:tc>
      </w:tr>
      <w:tr>
        <w:tc>
          <w:tcPr>
            <w:tcW w:type="dxa" w:w="8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Singapore</w:t>
            </w:r>
          </w:p>
        </w:tc>
        <w:tc>
          <w:tcPr>
            <w:tcW w:type="dxa" w:w="11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S\$NEER band)</w:t>
            </w:r>
          </w:p>
        </w:tc>
        <w:tc>
          <w:tcPr>
            <w:tcW w:type="dxa" w:w="3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(band, not a rate)</w:t>
            </w:r>
          </w:p>
        </w:tc>
        <w:tc>
          <w:tcPr>
            <w:tcW w:type="dxa" w:w="18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4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3M T-bill ~1.46%; property + bank-lending prints</w:t>
            </w:r>
          </w:p>
        </w:tc>
      </w:tr>
    </w:tbl>
    <w:p>
      <w:pPr>
        <w:spacing w:after="80" w:line="283" w:lineRule="auto"/>
      </w:pPr>
      <w:r>
        <w:rPr>
          <w:rFonts w:ascii="Public Sans" w:hAnsi="Public Sans"/>
          <w:b/>
          <w:i w:val="0"/>
          <w:color w:val="3D3E3E"/>
          <w:sz w:val="19"/>
        </w:rPr>
        <w:t>SYN — the one-line state of the world:</w:t>
      </w:r>
      <w:r>
        <w:rPr>
          <w:rFonts w:ascii="Public Sans" w:hAnsi="Public Sans"/>
          <w:b w:val="0"/>
          <w:i w:val="0"/>
          <w:color w:val="3D3E3E"/>
          <w:sz w:val="19"/>
        </w:rPr>
        <w:t xml:space="preserve"> this is a </w:t>
      </w:r>
      <w:r>
        <w:rPr>
          <w:rFonts w:ascii="Public Sans" w:hAnsi="Public Sans"/>
          <w:b w:val="0"/>
          <w:i/>
          <w:color w:val="3D3E3E"/>
          <w:sz w:val="19"/>
        </w:rPr>
        <w:t>hawkish-repricing</w:t>
      </w:r>
      <w:r>
        <w:rPr>
          <w:rFonts w:ascii="Public Sans" w:hAnsi="Public Sans"/>
          <w:b w:val="0"/>
          <w:i w:val="0"/>
          <w:color w:val="3D3E3E"/>
          <w:sz w:val="19"/>
        </w:rPr>
        <w:t xml:space="preserve"> window, not an easing one. The Fed's June dots moved up (current-year projection 3.8% from 3.4%, FACT rows 21690-series), JGB is post-hike at 1.00%, and BI / BSP hiked in June. DM OIS curves price </w:t>
      </w:r>
      <w:r>
        <w:rPr>
          <w:rFonts w:ascii="Public Sans" w:hAnsi="Public Sans"/>
          <w:b/>
          <w:i w:val="0"/>
          <w:color w:val="3D3E3E"/>
          <w:sz w:val="19"/>
        </w:rPr>
        <w:t>net hikes</w:t>
      </w:r>
      <w:r>
        <w:rPr>
          <w:rFonts w:ascii="Public Sans" w:hAnsi="Public Sans"/>
          <w:b w:val="0"/>
          <w:i w:val="0"/>
          <w:color w:val="3D3E3E"/>
          <w:sz w:val="19"/>
        </w:rPr>
        <w:t xml:space="preserve"> over the next 3–6m (§3). The differentiated debate is no longer "when do they cut" but "how much more tightening is already in the price, and where is it mispriced."</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2. Calendar — releases + CB events with rate relevance</w:t>
      </w:r>
      <w:r>
        <w:rPr>
          <w:rFonts w:ascii="Public Sans" w:hAnsi="Public Sans"/>
          <w:i/>
          <w:color w:val="7A7C7C"/>
          <w:sz w:val="16"/>
        </w:rPr>
        <w:t xml:space="preserve">   FACT — cb_events; pure calendar, no view</w:t>
      </w:r>
    </w:p>
    <w:p>
      <w:pPr>
        <w:spacing w:after="80" w:line="283" w:lineRule="auto"/>
      </w:pPr>
      <w:r>
        <w:rPr>
          <w:rFonts w:ascii="Public Sans" w:hAnsi="Public Sans"/>
          <w:b w:val="0"/>
          <w:i w:val="0"/>
          <w:color w:val="3D3E3E"/>
          <w:sz w:val="19"/>
        </w:rPr>
        <w:t>Consensus (survey/forecast) shown where present; actual shown only where the row carries one. Times are UTC per event_datetime.</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9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Date</w:t>
            </w:r>
          </w:p>
        </w:tc>
        <w:tc>
          <w:tcPr>
            <w:tcW w:type="dxa" w:w="5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34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224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w:t>
            </w:r>
          </w:p>
        </w:tc>
        <w:tc>
          <w:tcPr>
            <w:tcW w:type="dxa" w:w="9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Prior</w:t>
            </w:r>
          </w:p>
        </w:tc>
        <w:tc>
          <w:tcPr>
            <w:tcW w:type="dxa" w:w="299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Actual (if printed)</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RBA June meeting </w:t>
            </w:r>
            <w:r>
              <w:rPr>
                <w:rFonts w:ascii="Public Sans" w:hAnsi="Public Sans"/>
                <w:b/>
                <w:i w:val="0"/>
                <w:color w:val="3D3E3E"/>
                <w:sz w:val="16"/>
              </w:rPr>
              <w:t>minutes</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released (row 21618/20370)</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Private-sector credit MoM</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0.6%</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0.7%</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Tankan</w:t>
            </w:r>
            <w:r>
              <w:rPr>
                <w:rFonts w:ascii="Public Sans" w:hAnsi="Public Sans"/>
                <w:b w:val="0"/>
                <w:i w:val="0"/>
                <w:color w:val="3D3E3E"/>
                <w:sz w:val="16"/>
              </w:rPr>
              <w:t xml:space="preserve"> large mfg index (Q2)</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16</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16 (survey=actual, row 21708)</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Tankan large mfg </w:t>
            </w:r>
            <w:r>
              <w:rPr>
                <w:rFonts w:ascii="Public Sans" w:hAnsi="Public Sans"/>
                <w:b/>
                <w:i w:val="0"/>
                <w:color w:val="3D3E3E"/>
                <w:sz w:val="16"/>
              </w:rPr>
              <w:t>outlook</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13</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14</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13</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2y JGB auction</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1.369%</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UK</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GDP QoQ / YoY (final)</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0.6% / 1.1%</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0.2% / 1.0%</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0.6% / 1.1% (final, rows 21639/40)</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UK</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Current account</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£-24B</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£-18.4B</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Monthly GDP MoM</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0.4%</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-0.1%</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JOLTS job openings</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7.6M</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7.618M</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CB consumer confidence</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95</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93.1</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06-30</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Chicago PMI</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61</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62.7</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CPI YoY</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3.1% (BQL 3.2)</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3.08%</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CPI YoY</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2.4%</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2.59%</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 balance</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\$4.0B</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\$0.09B</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Consumer confidence</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32</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33.6</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34 (row 21742)</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 mfg PMI (final)</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54.5</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54.5</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ADP employment</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105K (fcst)</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122K</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118K (row 21767)</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ISM manufacturing</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53.6 (fcst)</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54.0</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53.7 (row 21770)</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ISM prices paid</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80</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82.1</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79 (row 21774)</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Fed chair Warsh speech</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scheduled (row 53359, relevance 100)</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UK</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BoE Gov Bailey speech</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scheduled</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07-01</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UK</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Mfg PMI final</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53.1</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53.1</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07-02</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Non-farm payrolls</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110K (fcst) / 114K (survey)</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172K</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(Jul-2, not yet printed at run)</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07-02</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Unemployment rate</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4.3%</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4.3%</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07-02</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Avg hourly earnings MoM</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0.2% (fcst)</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0.3%</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07-02</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Factory orders MoM</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1.9% (fcst)</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4.8%</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07-02</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Trade balance</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A\$1.5B</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A\$1.791B</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07-02</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UK</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BoE credit conditions survey; </w:t>
            </w:r>
            <w:r>
              <w:rPr>
                <w:rFonts w:ascii="Public Sans" w:hAnsi="Public Sans"/>
                <w:b/>
                <w:i w:val="0"/>
                <w:color w:val="3D3E3E"/>
                <w:sz w:val="16"/>
              </w:rPr>
              <w:t>Mann speech</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scheduled</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07-02</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S&amp;P Global mfg PMI</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53.4</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52.9</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07-08</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RBNZ Monetary Policy Review</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2.25% (fcst)</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2.25%</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07-08</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BoT meeting minutes</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49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07-08</w:t>
            </w:r>
          </w:p>
        </w:tc>
        <w:tc>
          <w:tcPr>
            <w:tcW w:type="dxa" w:w="5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3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FOMC minutes</w:t>
            </w:r>
          </w:p>
        </w:tc>
        <w:tc>
          <w:tcPr>
            <w:tcW w:type="dxa" w:w="22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9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99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49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07-09</w:t>
            </w:r>
          </w:p>
        </w:tc>
        <w:tc>
          <w:tcPr>
            <w:tcW w:type="dxa" w:w="5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MY</w:t>
            </w:r>
          </w:p>
        </w:tc>
        <w:tc>
          <w:tcPr>
            <w:tcW w:type="dxa" w:w="3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BNM interest-rate decision</w:t>
            </w:r>
          </w:p>
        </w:tc>
        <w:tc>
          <w:tcPr>
            <w:tcW w:type="dxa" w:w="22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hold 2.75% (fcst)</w:t>
            </w:r>
          </w:p>
        </w:tc>
        <w:tc>
          <w:tcPr>
            <w:tcW w:type="dxa" w:w="9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2.75%</w:t>
            </w:r>
          </w:p>
        </w:tc>
        <w:tc>
          <w:tcPr>
            <w:tcW w:type="dxa" w:w="299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bl>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3. Cross-cutting trade-ideas table</w:t>
      </w:r>
      <w:r>
        <w:rPr>
          <w:rFonts w:ascii="Public Sans" w:hAnsi="Public Sans"/>
          <w:i/>
          <w:color w:val="7A7C7C"/>
          <w:sz w:val="16"/>
        </w:rPr>
        <w:t xml:space="preserve">   VIEW / trade recommendation — provenance tagged; not judged</w:t>
      </w:r>
    </w:p>
    <w:p>
      <w:pPr>
        <w:spacing w:after="80" w:line="283" w:lineRule="auto"/>
      </w:pPr>
      <w:r>
        <w:rPr>
          <w:rFonts w:ascii="Public Sans" w:hAnsi="Public Sans"/>
          <w:b w:val="0"/>
          <w:i w:val="0"/>
          <w:color w:val="3D3E3E"/>
          <w:sz w:val="19"/>
        </w:rPr>
        <w:t>Distilled from the fact-chunk sweep + per-theme Qdrant search. Each row is expanded in the country read below.</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3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21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21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Key driver / rationale</w:t>
            </w:r>
          </w:p>
        </w:tc>
        <w:tc>
          <w:tcPr>
            <w:tcW w:type="dxa" w:w="21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Assumption it rests on</w:t>
            </w:r>
          </w:p>
        </w:tc>
        <w:tc>
          <w:tcPr>
            <w:tcW w:type="dxa" w:w="21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c>
          <w:tcPr>
            <w:tcW w:type="dxa" w:w="17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Provenance (report_id)</w:t>
            </w:r>
          </w:p>
        </w:tc>
      </w:tr>
      <w:tr>
        <w:tc>
          <w:tcPr>
            <w:tcW w:type="dxa" w:w="2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Short 5y5y Germany (add)</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DM real-yield re-anchoring higher; hawkish ECB/Lagarde bias</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Term-premium/real-rate repricing has further to run</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Growth/inflation rolls over → bull-flattening</w:t>
            </w:r>
          </w:p>
        </w:tc>
        <w:tc>
          <w:tcPr>
            <w:tcW w:type="dxa" w:w="1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BNP (14319)</w:t>
            </w:r>
          </w:p>
        </w:tc>
      </w:tr>
      <w:tr>
        <w:tc>
          <w:tcPr>
            <w:tcW w:type="dxa" w:w="23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30y Italian real yields @ 2.43%</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"Re-anchoring real yields higher" rates map</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Real yields structurally too low vs new regime</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Risk-off bid for duration</w:t>
            </w:r>
          </w:p>
        </w:tc>
        <w:tc>
          <w:tcPr>
            <w:tcW w:type="dxa" w:w="1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UBS Global Strategy (14309)</w:t>
            </w:r>
          </w:p>
        </w:tc>
      </w:tr>
      <w:tr>
        <w:tc>
          <w:tcPr>
            <w:tcW w:type="dxa" w:w="2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Close </w:t>
            </w:r>
            <w:r>
              <w:rPr>
                <w:rFonts w:ascii="Public Sans" w:hAnsi="Public Sans"/>
                <w:b/>
                <w:i w:val="0"/>
                <w:color w:val="3D3E3E"/>
                <w:sz w:val="16"/>
              </w:rPr>
              <w:t>sell SGD/JPY</w:t>
            </w:r>
            <w:r>
              <w:rPr>
                <w:rFonts w:ascii="Public Sans" w:hAnsi="Public Sans"/>
                <w:b w:val="0"/>
                <w:i w:val="0"/>
                <w:color w:val="3D3E3E"/>
                <w:sz w:val="16"/>
              </w:rPr>
              <w:t xml:space="preserve"> (take profit)</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JPY leg of the trade played out; book the move</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Yen weakness pace fades near intervention zone</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Fresh yen leg lower → left money on table</w:t>
            </w:r>
          </w:p>
        </w:tc>
        <w:tc>
          <w:tcPr>
            <w:tcW w:type="dxa" w:w="1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 FX (14595)</w:t>
            </w:r>
          </w:p>
        </w:tc>
      </w:tr>
      <w:tr>
        <w:tc>
          <w:tcPr>
            <w:tcW w:type="dxa" w:w="23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Take profit on </w:t>
            </w:r>
            <w:r>
              <w:rPr>
                <w:rFonts w:ascii="Public Sans" w:hAnsi="Public Sans"/>
                <w:b/>
                <w:i w:val="0"/>
                <w:color w:val="3D3E3E"/>
                <w:sz w:val="16"/>
              </w:rPr>
              <w:t>USD/JPY call EKO</w:t>
            </w:r>
            <w:r>
              <w:rPr>
                <w:rFonts w:ascii="Public Sans" w:hAnsi="Public Sans"/>
                <w:b w:val="0"/>
                <w:i w:val="0"/>
                <w:color w:val="3D3E3E"/>
                <w:sz w:val="16"/>
              </w:rPr>
              <w:t xml:space="preserve"> (FX vol)</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Vol/spot structure matured as USD/JPY ran to 40y high</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Upside largely realised; intervention caps tail</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Disorderly break higher past 162</w:t>
            </w:r>
          </w:p>
        </w:tc>
        <w:tc>
          <w:tcPr>
            <w:tcW w:type="dxa" w:w="1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BNP FX vol (14478)</w:t>
            </w:r>
          </w:p>
        </w:tc>
      </w:tr>
      <w:tr>
        <w:tc>
          <w:tcPr>
            <w:tcW w:type="dxa" w:w="2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Antipodean rates: bias to </w:t>
            </w:r>
            <w:r>
              <w:rPr>
                <w:rFonts w:ascii="Public Sans" w:hAnsi="Public Sans"/>
                <w:b/>
                <w:i w:val="0"/>
                <w:color w:val="3D3E3E"/>
                <w:sz w:val="16"/>
              </w:rPr>
              <w:t>higher-for-longer / hike risk</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RBA minutes flag higher neutral; OIS ~17% a hike by Aug</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Sticky AU services inflation persists</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Labour market cracks → cut re-priced</w:t>
            </w:r>
          </w:p>
        </w:tc>
        <w:tc>
          <w:tcPr>
            <w:tcW w:type="dxa" w:w="1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(14304), BofA (14544), Westpac (14363)</w:t>
            </w:r>
          </w:p>
        </w:tc>
      </w:tr>
      <w:tr>
        <w:tc>
          <w:tcPr>
            <w:tcW w:type="dxa" w:w="23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6</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NZ: position for RBNZ </w:t>
            </w:r>
            <w:r>
              <w:rPr>
                <w:rFonts w:ascii="Public Sans" w:hAnsi="Public Sans"/>
                <w:b/>
                <w:i w:val="0"/>
                <w:color w:val="3D3E3E"/>
                <w:sz w:val="16"/>
              </w:rPr>
              <w:t>start of a hike cycle</w:t>
            </w:r>
            <w:r>
              <w:rPr>
                <w:rFonts w:ascii="Public Sans" w:hAnsi="Public Sans"/>
                <w:b w:val="0"/>
                <w:i w:val="0"/>
                <w:color w:val="3D3E3E"/>
                <w:sz w:val="16"/>
              </w:rPr>
              <w:t xml:space="preserve"> (timing split)</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hike +25bp to 2.50% Jul-8; Westpac: hold, lift-off Sept</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RBNZ delivers the hikes it forecast; oil-shock persistence sticks</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Growth/oil undershoot lets the Governor hold (his May off-ramp)</w:t>
            </w:r>
          </w:p>
        </w:tc>
        <w:tc>
          <w:tcPr>
            <w:tcW w:type="dxa" w:w="1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(14581), Westpac (14368)</w:t>
            </w:r>
          </w:p>
        </w:tc>
      </w:tr>
      <w:tr>
        <w:tc>
          <w:tcPr>
            <w:tcW w:type="dxa" w:w="2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7</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Asia rates: fade recent move, </w:t>
            </w:r>
            <w:r>
              <w:rPr>
                <w:rFonts w:ascii="Public Sans" w:hAnsi="Public Sans"/>
                <w:b/>
                <w:i w:val="0"/>
                <w:color w:val="3D3E3E"/>
                <w:sz w:val="16"/>
              </w:rPr>
              <w:t>stability then TWD/IN outperform</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Post-selloff stabilisation; carry re-engages</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fresh US-rate shock into NFP</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NFP upside → renewed Asia-rates selloff</w:t>
            </w:r>
          </w:p>
        </w:tc>
        <w:tc>
          <w:tcPr>
            <w:tcW w:type="dxa" w:w="1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Asia rates (14421)</w:t>
            </w:r>
          </w:p>
        </w:tc>
      </w:tr>
      <w:tr>
        <w:tc>
          <w:tcPr>
            <w:tcW w:type="dxa" w:w="23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8</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Tactically </w:t>
            </w:r>
            <w:r>
              <w:rPr>
                <w:rFonts w:ascii="Public Sans" w:hAnsi="Public Sans"/>
                <w:b/>
                <w:i w:val="0"/>
                <w:color w:val="3D3E3E"/>
                <w:sz w:val="16"/>
              </w:rPr>
              <w:t>bearish € duration</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Supply + inflation-surprise mix near-term</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Supply indigestion into July</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Dovish CPI surprise</w:t>
            </w:r>
          </w:p>
        </w:tc>
        <w:tc>
          <w:tcPr>
            <w:tcW w:type="dxa" w:w="1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(14326)</w:t>
            </w:r>
          </w:p>
        </w:tc>
      </w:tr>
      <w:tr>
        <w:tc>
          <w:tcPr>
            <w:tcW w:type="dxa" w:w="2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9</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2H26: </w:t>
            </w:r>
            <w:r>
              <w:rPr>
                <w:rFonts w:ascii="Public Sans" w:hAnsi="Public Sans"/>
                <w:b/>
                <w:i w:val="0"/>
                <w:color w:val="3D3E3E"/>
                <w:sz w:val="16"/>
              </w:rPr>
              <w:t>take profits S&amp;P / secular growth, buy Large-cap value</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Mid-year rotation call</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Leadership broadens off mega-cap</w:t>
            </w:r>
          </w:p>
        </w:tc>
        <w:tc>
          <w:tcPr>
            <w:tcW w:type="dxa" w:w="21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Momentum persists in growth</w:t>
            </w:r>
          </w:p>
        </w:tc>
        <w:tc>
          <w:tcPr>
            <w:tcW w:type="dxa" w:w="17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BofA (14429)</w:t>
            </w:r>
          </w:p>
        </w:tc>
      </w:tr>
      <w:tr>
        <w:tc>
          <w:tcPr>
            <w:tcW w:type="dxa" w:w="23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US 10y: </w:t>
            </w:r>
            <w:r>
              <w:rPr>
                <w:rFonts w:ascii="Public Sans" w:hAnsi="Public Sans"/>
                <w:b/>
                <w:i w:val="0"/>
                <w:color w:val="3D3E3E"/>
                <w:sz w:val="16"/>
              </w:rPr>
              <w:t>stay on the sidelines</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Range-bound into data; poor risk/reward</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 decisive NFP/CPI break</w:t>
            </w:r>
          </w:p>
        </w:tc>
        <w:tc>
          <w:tcPr>
            <w:tcW w:type="dxa" w:w="21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Clean payrolls beat/miss forces a break</w:t>
            </w:r>
          </w:p>
        </w:tc>
        <w:tc>
          <w:tcPr>
            <w:tcW w:type="dxa" w:w="176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(14617)</w:t>
            </w:r>
          </w:p>
        </w:tc>
      </w:tr>
    </w:tbl>
    <w:p>
      <w:pPr>
        <w:spacing w:after="80" w:line="283" w:lineRule="auto"/>
      </w:pPr>
      <w:r>
        <w:rPr>
          <w:rFonts w:ascii="Public Sans" w:hAnsi="Public Sans"/>
          <w:b/>
          <w:i w:val="0"/>
          <w:color w:val="3D3E3E"/>
          <w:sz w:val="19"/>
        </w:rPr>
        <w:t>SYN:</w:t>
      </w:r>
      <w:r>
        <w:rPr>
          <w:rFonts w:ascii="Public Sans" w:hAnsi="Public Sans"/>
          <w:b w:val="0"/>
          <w:i w:val="0"/>
          <w:color w:val="3D3E3E"/>
          <w:sz w:val="19"/>
        </w:rPr>
        <w:t xml:space="preserve"> the live-trade cluster is overwhelmingly a </w:t>
      </w:r>
      <w:r>
        <w:rPr>
          <w:rFonts w:ascii="Public Sans" w:hAnsi="Public Sans"/>
          <w:b/>
          <w:i w:val="0"/>
          <w:color w:val="3D3E3E"/>
          <w:sz w:val="19"/>
        </w:rPr>
        <w:t>rates-higher / real-yield-re-anchoring</w:t>
      </w:r>
      <w:r>
        <w:rPr>
          <w:rFonts w:ascii="Public Sans" w:hAnsi="Public Sans"/>
          <w:b w:val="0"/>
          <w:i w:val="0"/>
          <w:color w:val="3D3E3E"/>
          <w:sz w:val="19"/>
        </w:rPr>
        <w:t xml:space="preserve"> book (rows 1, 2, 5, 6, 8) plus </w:t>
      </w:r>
      <w:r>
        <w:rPr>
          <w:rFonts w:ascii="Public Sans" w:hAnsi="Public Sans"/>
          <w:b/>
          <w:i w:val="0"/>
          <w:color w:val="3D3E3E"/>
          <w:sz w:val="19"/>
        </w:rPr>
        <w:t>JPY-weakness profit-taking</w:t>
      </w:r>
      <w:r>
        <w:rPr>
          <w:rFonts w:ascii="Public Sans" w:hAnsi="Public Sans"/>
          <w:b w:val="0"/>
          <w:i w:val="0"/>
          <w:color w:val="3D3E3E"/>
          <w:sz w:val="19"/>
        </w:rPr>
        <w:t xml:space="preserve"> (rows 3, 4). Two houses are explicitly </w:t>
      </w:r>
      <w:r>
        <w:rPr>
          <w:rFonts w:ascii="Public Sans" w:hAnsi="Public Sans"/>
          <w:b w:val="0"/>
          <w:i/>
          <w:color w:val="3D3E3E"/>
          <w:sz w:val="19"/>
        </w:rPr>
        <w:t>fading</w:t>
      </w:r>
      <w:r>
        <w:rPr>
          <w:rFonts w:ascii="Public Sans" w:hAnsi="Public Sans"/>
          <w:b w:val="0"/>
          <w:i w:val="0"/>
          <w:color w:val="3D3E3E"/>
          <w:sz w:val="19"/>
        </w:rPr>
        <w:t xml:space="preserve"> the yen move rather than pressing it — worth flagging as a divergence from the "USD/JPY to new highs" narrative running elsewhere (Citi 14583, DB 14517).</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4. Per-country read</w:t>
      </w:r>
      <w:r>
        <w:rPr>
          <w:rFonts w:ascii="Public Sans" w:hAnsi="Public Sans"/>
          <w:i/>
          <w:color w:val="7A7C7C"/>
          <w:sz w:val="16"/>
        </w:rPr>
        <w:t xml:space="preserve">   JJ format: A themes · B the "why" · C consensus · D differentiated</w:t>
      </w:r>
    </w:p>
    <w:p>
      <w:pPr>
        <w:spacing w:after="80" w:line="283" w:lineRule="auto"/>
      </w:pPr>
      <w:r>
        <w:rPr>
          <w:rFonts w:ascii="Public Sans" w:hAnsi="Public Sans"/>
          <w:b w:val="0"/>
          <w:i w:val="0"/>
          <w:color w:val="3D3E3E"/>
          <w:sz w:val="19"/>
        </w:rPr>
        <w:t>Ordered by what actually moved in the window. For each mover country the flagship/desk notes were read in full (not off titles). Consensus (≥2 independent banks) and differentiated views are separated explicitly. Trades are surfaced with assumption + falsifier only — never judged.</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United States — the window's gravity well</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8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4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58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7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48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4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Fed reaction function turned </w:t>
            </w:r>
            <w:r>
              <w:rPr>
                <w:rFonts w:ascii="Public Sans" w:hAnsi="Public Sans"/>
                <w:b/>
                <w:i w:val="0"/>
                <w:color w:val="3D3E3E"/>
                <w:sz w:val="16"/>
              </w:rPr>
              <w:t>hawkish</w:t>
            </w:r>
            <w:r>
              <w:rPr>
                <w:rFonts w:ascii="Public Sans" w:hAnsi="Public Sans"/>
                <w:b w:val="0"/>
                <w:i w:val="0"/>
                <w:color w:val="3D3E3E"/>
                <w:sz w:val="16"/>
              </w:rPr>
              <w:t xml:space="preserve"> (dots up); market prices net hikes</w:t>
            </w:r>
          </w:p>
        </w:tc>
        <w:tc>
          <w:tcPr>
            <w:tcW w:type="dxa" w:w="15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 rates, front-end, USD</w:t>
            </w:r>
          </w:p>
        </w:tc>
        <w:tc>
          <w:tcPr>
            <w:tcW w:type="dxa" w:w="17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DB, UBS, Citi, Goldman</w:t>
            </w:r>
          </w:p>
        </w:tc>
        <w:tc>
          <w:tcPr>
            <w:tcW w:type="dxa" w:w="34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Re-anchors the whole DM curve; the "when do they cut" frame is dead this window</w:t>
            </w:r>
          </w:p>
        </w:tc>
      </w:tr>
      <w:tr>
        <w:tc>
          <w:tcPr>
            <w:tcW w:type="dxa" w:w="3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4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Jul-2 payrolls</w:t>
            </w:r>
            <w:r>
              <w:rPr>
                <w:rFonts w:ascii="Public Sans" w:hAnsi="Public Sans"/>
                <w:b w:val="0"/>
                <w:i w:val="0"/>
                <w:color w:val="3D3E3E"/>
                <w:sz w:val="16"/>
              </w:rPr>
              <w:t xml:space="preserve"> — headline vs internals disagree</w:t>
            </w:r>
          </w:p>
        </w:tc>
        <w:tc>
          <w:tcPr>
            <w:tcW w:type="dxa" w:w="158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rates, USD, risk</w:t>
            </w:r>
          </w:p>
        </w:tc>
        <w:tc>
          <w:tcPr>
            <w:tcW w:type="dxa" w:w="17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Goldman, UBS, Citi, MS</w:t>
            </w:r>
          </w:p>
        </w:tc>
        <w:tc>
          <w:tcPr>
            <w:tcW w:type="dxa" w:w="34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binary event; a one-off beat over a cooling trend is the trap</w:t>
            </w:r>
          </w:p>
        </w:tc>
      </w:tr>
      <w:tr>
        <w:tc>
          <w:tcPr>
            <w:tcW w:type="dxa" w:w="3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4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Core-PCE methodology change</w:t>
            </w:r>
            <w:r>
              <w:rPr>
                <w:rFonts w:ascii="Public Sans" w:hAnsi="Public Sans"/>
                <w:b w:val="0"/>
                <w:i w:val="0"/>
                <w:color w:val="3D3E3E"/>
                <w:sz w:val="16"/>
              </w:rPr>
              <w:t xml:space="preserve"> mechanically lowers measured inflation</w:t>
            </w:r>
          </w:p>
        </w:tc>
        <w:tc>
          <w:tcPr>
            <w:tcW w:type="dxa" w:w="15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 rates, TIPS/BE</w:t>
            </w:r>
          </w:p>
        </w:tc>
        <w:tc>
          <w:tcPr>
            <w:tcW w:type="dxa" w:w="17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Goldman, Barclays, DB</w:t>
            </w:r>
          </w:p>
        </w:tc>
        <w:tc>
          <w:tcPr>
            <w:tcW w:type="dxa" w:w="34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Changes the number the Fed reacts to by ~0.2–0.25pp; distorts the read</w:t>
            </w:r>
          </w:p>
        </w:tc>
      </w:tr>
      <w:tr>
        <w:tc>
          <w:tcPr>
            <w:tcW w:type="dxa" w:w="38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4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Trend inflation still hot</w:t>
            </w:r>
            <w:r>
              <w:rPr>
                <w:rFonts w:ascii="Public Sans" w:hAnsi="Public Sans"/>
                <w:b w:val="0"/>
                <w:i w:val="0"/>
                <w:color w:val="3D3E3E"/>
                <w:sz w:val="16"/>
              </w:rPr>
              <w:t xml:space="preserve"> — one house sees hikes to 4.1%</w:t>
            </w:r>
          </w:p>
        </w:tc>
        <w:tc>
          <w:tcPr>
            <w:tcW w:type="dxa" w:w="158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rates</w:t>
            </w:r>
          </w:p>
        </w:tc>
        <w:tc>
          <w:tcPr>
            <w:tcW w:type="dxa" w:w="17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DB (outlier)</w:t>
            </w:r>
          </w:p>
        </w:tc>
        <w:tc>
          <w:tcPr>
            <w:tcW w:type="dxa" w:w="348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genuinely differentiated tail: a hiker, not a holder</w:t>
            </w:r>
          </w:p>
        </w:tc>
      </w:tr>
      <w:tr>
        <w:tc>
          <w:tcPr>
            <w:tcW w:type="dxa" w:w="38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w:t>
            </w:r>
          </w:p>
        </w:tc>
        <w:tc>
          <w:tcPr>
            <w:tcW w:type="dxa" w:w="34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Personnel noise (Warsh chair speech; Cook stays)</w:t>
            </w:r>
          </w:p>
        </w:tc>
        <w:tc>
          <w:tcPr>
            <w:tcW w:type="dxa" w:w="15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17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Barclays; calendar</w:t>
            </w:r>
          </w:p>
        </w:tc>
        <w:tc>
          <w:tcPr>
            <w:tcW w:type="dxa" w:w="348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Consensus filler; down-weighted, noted only</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The frame is the June-17 FOMC: held at 3.75% but the </w:t>
      </w:r>
      <w:r>
        <w:rPr>
          <w:rFonts w:ascii="Public Sans" w:hAnsi="Public Sans"/>
          <w:b/>
          <w:i w:val="0"/>
          <w:color w:val="3D3E3E"/>
          <w:sz w:val="19"/>
        </w:rPr>
        <w:t>dots moved up</w:t>
      </w:r>
      <w:r>
        <w:rPr>
          <w:rFonts w:ascii="Public Sans" w:hAnsi="Public Sans"/>
          <w:b w:val="0"/>
          <w:i w:val="0"/>
          <w:color w:val="3D3E3E"/>
          <w:sz w:val="19"/>
        </w:rPr>
        <w:t xml:space="preserve"> — current-year projection 3.8% (from 3.4%), 1st-yr 3.6% (from 3.1%), 2nd-yr 3.4% (from 3.1%), longer-run unchanged 3.1% (FACT, cb_events rows on 06-17). JPM's Quant Econ Dashboard (14494, VIEW/PRICING) shows the market has </w:t>
      </w:r>
      <w:r>
        <w:rPr>
          <w:rFonts w:ascii="Public Sans" w:hAnsi="Public Sans"/>
          <w:b w:val="0"/>
          <w:i/>
          <w:color w:val="3D3E3E"/>
          <w:sz w:val="19"/>
        </w:rPr>
        <w:t>followed</w:t>
      </w:r>
      <w:r>
        <w:rPr>
          <w:rFonts w:ascii="Public Sans" w:hAnsi="Public Sans"/>
          <w:b w:val="0"/>
          <w:i w:val="0"/>
          <w:color w:val="3D3E3E"/>
          <w:sz w:val="19"/>
        </w:rPr>
        <w:t xml:space="preserve"> the Fed rather than fought it: US OIS prices </w:t>
      </w:r>
      <w:r>
        <w:rPr>
          <w:rFonts w:ascii="Public Sans" w:hAnsi="Public Sans"/>
          <w:b/>
          <w:i w:val="0"/>
          <w:color w:val="3D3E3E"/>
          <w:sz w:val="19"/>
        </w:rPr>
        <w:t>+7bp at 1m, +19bp at 3m, +32bp at 6m</w:t>
      </w:r>
      <w:r>
        <w:rPr>
          <w:rFonts w:ascii="Public Sans" w:hAnsi="Public Sans"/>
          <w:b w:val="0"/>
          <w:i w:val="0"/>
          <w:color w:val="3D3E3E"/>
          <w:sz w:val="19"/>
        </w:rPr>
        <w:t xml:space="preserve"> off a 3.75% base — a net-tightening curve. The reasoning chain the houses share is: inflation has stopped falling, the labour market is stable enough to remove the cut-insurance case, and Fed communication (Hammack, Barkin both "inflation too high," per UBS 14508) validates the higher dots. That is the single most important fact in the whole digest, because it sets the real-yield-re-anchoring backdrop for the AU/NZ/UK trades in §3.</w:t>
      </w:r>
    </w:p>
    <w:p>
      <w:pPr>
        <w:spacing w:after="80" w:line="283" w:lineRule="auto"/>
      </w:pPr>
      <w:r>
        <w:rPr>
          <w:rFonts w:ascii="Public Sans" w:hAnsi="Public Sans"/>
          <w:b w:val="0"/>
          <w:i w:val="0"/>
          <w:color w:val="3D3E3E"/>
          <w:sz w:val="19"/>
        </w:rPr>
        <w:t xml:space="preserve">The </w:t>
      </w:r>
      <w:r>
        <w:rPr>
          <w:rFonts w:ascii="Public Sans" w:hAnsi="Public Sans"/>
          <w:b/>
          <w:i w:val="0"/>
          <w:color w:val="3D3E3E"/>
          <w:sz w:val="19"/>
        </w:rPr>
        <w:t>Jul-2 payrolls</w:t>
      </w:r>
      <w:r>
        <w:rPr>
          <w:rFonts w:ascii="Public Sans" w:hAnsi="Public Sans"/>
          <w:b w:val="0"/>
          <w:i w:val="0"/>
          <w:color w:val="3D3E3E"/>
          <w:sz w:val="19"/>
        </w:rPr>
        <w:t xml:space="preserve"> debate is where the reasoning splits, and it splits on </w:t>
      </w:r>
      <w:r>
        <w:rPr>
          <w:rFonts w:ascii="Public Sans" w:hAnsi="Public Sans"/>
          <w:b w:val="0"/>
          <w:i/>
          <w:color w:val="3D3E3E"/>
          <w:sz w:val="19"/>
        </w:rPr>
        <w:t>mechanism</w:t>
      </w:r>
      <w:r>
        <w:rPr>
          <w:rFonts w:ascii="Public Sans" w:hAnsi="Public Sans"/>
          <w:b w:val="0"/>
          <w:i w:val="0"/>
          <w:color w:val="3D3E3E"/>
          <w:sz w:val="19"/>
        </w:rPr>
        <w:t xml:space="preserve">, not direction. Goldman (14557) is above consensus at </w:t>
      </w:r>
      <w:r>
        <w:rPr>
          <w:rFonts w:ascii="Public Sans" w:hAnsi="Public Sans"/>
          <w:b/>
          <w:i w:val="0"/>
          <w:color w:val="3D3E3E"/>
          <w:sz w:val="19"/>
        </w:rPr>
        <w:t>+130k vs 115k</w:t>
      </w:r>
      <w:r>
        <w:rPr>
          <w:rFonts w:ascii="Public Sans" w:hAnsi="Public Sans"/>
          <w:b w:val="0"/>
          <w:i w:val="0"/>
          <w:color w:val="3D3E3E"/>
          <w:sz w:val="19"/>
        </w:rPr>
        <w:t xml:space="preserve">, and is explicit about </w:t>
      </w:r>
      <w:r>
        <w:rPr>
          <w:rFonts w:ascii="Public Sans" w:hAnsi="Public Sans"/>
          <w:b w:val="0"/>
          <w:i/>
          <w:color w:val="3D3E3E"/>
          <w:sz w:val="19"/>
        </w:rPr>
        <w:t>why</w:t>
      </w:r>
      <w:r>
        <w:rPr>
          <w:rFonts w:ascii="Public Sans" w:hAnsi="Public Sans"/>
          <w:b w:val="0"/>
          <w:i w:val="0"/>
          <w:color w:val="3D3E3E"/>
          <w:sz w:val="19"/>
        </w:rPr>
        <w:t xml:space="preserve">: two special factors, with the World Cup category alone estimated at ~+40-45k (a category Goldman says "printed 45k"), plus a stabilisation in continuing claims. UBS (14508) and Citi (14480/14481) lean the other way on the </w:t>
      </w:r>
      <w:r>
        <w:rPr>
          <w:rFonts w:ascii="Public Sans" w:hAnsi="Public Sans"/>
          <w:b w:val="0"/>
          <w:i/>
          <w:color w:val="3D3E3E"/>
          <w:sz w:val="19"/>
        </w:rPr>
        <w:t>quality</w:t>
      </w:r>
      <w:r>
        <w:rPr>
          <w:rFonts w:ascii="Public Sans" w:hAnsi="Public Sans"/>
          <w:b w:val="0"/>
          <w:i w:val="0"/>
          <w:color w:val="3D3E3E"/>
          <w:sz w:val="19"/>
        </w:rPr>
        <w:t xml:space="preserve"> channel — "hiring remains soft despite stronger payrolls," the labour-market differential falling, the April improvement narrow, consumer confidence disappointing on labour perceptions. So the set-up is a headline that could beat on a one-off while the internals corroborate cooling — the print and the trend disagree, and a PM has to decide which one the market trades. </w:t>
      </w:r>
      <w:r>
        <w:rPr>
          <w:rFonts w:ascii="Public Sans" w:hAnsi="Public Sans"/>
          <w:b w:val="0"/>
          <w:i/>
          <w:color w:val="3D3E3E"/>
          <w:sz w:val="19"/>
        </w:rPr>
        <w:t>Actual not yet printed at run (07-02 not ingested).</w:t>
      </w:r>
    </w:p>
    <w:p>
      <w:pPr>
        <w:spacing w:after="80" w:line="283" w:lineRule="auto"/>
      </w:pPr>
      <w:r>
        <w:rPr>
          <w:rFonts w:ascii="Public Sans" w:hAnsi="Public Sans"/>
          <w:b w:val="0"/>
          <w:i w:val="0"/>
          <w:color w:val="3D3E3E"/>
          <w:sz w:val="19"/>
        </w:rPr>
        <w:t xml:space="preserve">The sleeper is the </w:t>
      </w:r>
      <w:r>
        <w:rPr>
          <w:rFonts w:ascii="Public Sans" w:hAnsi="Public Sans"/>
          <w:b/>
          <w:i w:val="0"/>
          <w:color w:val="3D3E3E"/>
          <w:sz w:val="19"/>
        </w:rPr>
        <w:t>core-PCE methodology change</w:t>
      </w:r>
      <w:r>
        <w:rPr>
          <w:rFonts w:ascii="Public Sans" w:hAnsi="Public Sans"/>
          <w:b w:val="0"/>
          <w:i w:val="0"/>
          <w:color w:val="3D3E3E"/>
          <w:sz w:val="19"/>
        </w:rPr>
        <w:t xml:space="preserve">, and here four houses converge on the fact but split on the </w:t>
      </w:r>
      <w:r>
        <w:rPr>
          <w:rFonts w:ascii="Public Sans" w:hAnsi="Public Sans"/>
          <w:b w:val="0"/>
          <w:i/>
          <w:color w:val="3D3E3E"/>
          <w:sz w:val="19"/>
        </w:rPr>
        <w:t>interpretation</w:t>
      </w:r>
      <w:r>
        <w:rPr>
          <w:rFonts w:ascii="Public Sans" w:hAnsi="Public Sans"/>
          <w:b w:val="0"/>
          <w:i w:val="0"/>
          <w:color w:val="3D3E3E"/>
          <w:sz w:val="19"/>
        </w:rPr>
        <w:t xml:space="preserve">. Citi (14437) calls it "a big deal": the BEA change (software + portfolio-management-services pricing, effective Sep-30, retroactive) mechanically </w:t>
      </w:r>
      <w:r>
        <w:rPr>
          <w:rFonts w:ascii="Public Sans" w:hAnsi="Public Sans"/>
          <w:b/>
          <w:i w:val="0"/>
          <w:color w:val="3D3E3E"/>
          <w:sz w:val="19"/>
        </w:rPr>
        <w:t>lowers 12m core PCE — 3.4% in May — by ~25bp</w:t>
      </w:r>
      <w:r>
        <w:rPr>
          <w:rFonts w:ascii="Public Sans" w:hAnsi="Public Sans"/>
          <w:b w:val="0"/>
          <w:i w:val="0"/>
          <w:color w:val="3D3E3E"/>
          <w:sz w:val="19"/>
        </w:rPr>
        <w:t xml:space="preserve">, because portfolio-management prices that rose with asset prices get re-measured. Goldman (14557) independently pegs the net effect at ~-0.2pp. Barclays (14371) frames the same revision as </w:t>
      </w:r>
      <w:r>
        <w:rPr>
          <w:rFonts w:ascii="Public Sans" w:hAnsi="Public Sans"/>
          <w:b/>
          <w:i w:val="0"/>
          <w:color w:val="3D3E3E"/>
          <w:sz w:val="19"/>
        </w:rPr>
        <w:t>"a measurement refinement"</w:t>
      </w:r>
      <w:r>
        <w:rPr>
          <w:rFonts w:ascii="Public Sans" w:hAnsi="Public Sans"/>
          <w:b w:val="0"/>
          <w:i w:val="0"/>
          <w:color w:val="3D3E3E"/>
          <w:sz w:val="19"/>
        </w:rPr>
        <w:t xml:space="preserve"> — deliberately downplaying it. The PM-relevant point is that the inflation series the Fed is reacting to is about to get mechanically better without the underlying impulse changing — a wedge between measured and true inflation.</w:t>
      </w:r>
    </w:p>
    <w:p>
      <w:pPr>
        <w:spacing w:after="80" w:line="283" w:lineRule="auto"/>
      </w:pPr>
      <w:r>
        <w:rPr>
          <w:rFonts w:ascii="Public Sans" w:hAnsi="Public Sans"/>
          <w:b w:val="0"/>
          <w:i w:val="0"/>
          <w:color w:val="3D3E3E"/>
          <w:sz w:val="19"/>
        </w:rPr>
        <w:t xml:space="preserve">Against all of that sits the genuinely differentiated </w:t>
      </w:r>
      <w:r>
        <w:rPr>
          <w:rFonts w:ascii="Public Sans" w:hAnsi="Public Sans"/>
          <w:b/>
          <w:i w:val="0"/>
          <w:color w:val="3D3E3E"/>
          <w:sz w:val="19"/>
        </w:rPr>
        <w:t>DB (14516)</w:t>
      </w:r>
      <w:r>
        <w:rPr>
          <w:rFonts w:ascii="Public Sans" w:hAnsi="Public Sans"/>
          <w:b w:val="0"/>
          <w:i w:val="0"/>
          <w:color w:val="3D3E3E"/>
          <w:sz w:val="19"/>
        </w:rPr>
        <w:t xml:space="preserve">: its trend-inflation suite shows an overshoot that "significantly surpasses the pre-pandemic" norm (trimmed-mean PCE +7bp to 2.4%), and DB forecasts the </w:t>
      </w:r>
      <w:r>
        <w:rPr>
          <w:rFonts w:ascii="Public Sans" w:hAnsi="Public Sans"/>
          <w:b/>
          <w:i w:val="0"/>
          <w:color w:val="3D3E3E"/>
          <w:sz w:val="19"/>
        </w:rPr>
        <w:t>Fed hiking to 4.1% then holding</w:t>
      </w:r>
      <w:r>
        <w:rPr>
          <w:rFonts w:ascii="Public Sans" w:hAnsi="Public Sans"/>
          <w:b w:val="0"/>
          <w:i w:val="0"/>
          <w:color w:val="3D3E3E"/>
          <w:sz w:val="19"/>
        </w:rPr>
        <w:t xml:space="preserve"> — the only house in-window explicitly modelling further hikes rather than a hold. Reasoning: the energy shock is feeding a broader, stickier inflation trend, so the higher dots are a floor, not a ceiling.</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03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1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6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6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20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Fed higher-for-longer</w:t>
            </w:r>
          </w:p>
        </w:tc>
        <w:tc>
          <w:tcPr>
            <w:tcW w:type="dxa" w:w="1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UBS, Citi, Goldman</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near-term cut; curve prices net hikes</w:t>
            </w:r>
          </w:p>
        </w:tc>
        <w:tc>
          <w:tcPr>
            <w:tcW w:type="dxa" w:w="26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Dots up (FACT); OIS +19bp 3m (14494); Hammack/Barkin "too high" (14508)</w:t>
            </w:r>
          </w:p>
        </w:tc>
        <w:tc>
          <w:tcPr>
            <w:tcW w:type="dxa" w:w="26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Doesn't price DB's </w:t>
            </w:r>
            <w:r>
              <w:rPr>
                <w:rFonts w:ascii="Public Sans" w:hAnsi="Public Sans"/>
                <w:b w:val="0"/>
                <w:i/>
                <w:color w:val="3D3E3E"/>
                <w:sz w:val="16"/>
              </w:rPr>
              <w:t>further-hike</w:t>
            </w:r>
            <w:r>
              <w:rPr>
                <w:rFonts w:ascii="Public Sans" w:hAnsi="Public Sans"/>
                <w:b w:val="0"/>
                <w:i w:val="0"/>
                <w:color w:val="3D3E3E"/>
                <w:sz w:val="16"/>
              </w:rPr>
              <w:t xml:space="preserve"> tail; assumes 3.75% is the ceiling</w:t>
            </w:r>
          </w:p>
        </w:tc>
      </w:tr>
      <w:tr>
        <w:tc>
          <w:tcPr>
            <w:tcW w:type="dxa" w:w="203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Labour market cooling underneath</w:t>
            </w:r>
          </w:p>
        </w:tc>
        <w:tc>
          <w:tcPr>
            <w:tcW w:type="dxa" w:w="1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UBS, Citi, MS</w:t>
            </w:r>
          </w:p>
        </w:tc>
        <w:tc>
          <w:tcPr>
            <w:tcW w:type="dxa" w:w="21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Hiring soft despite firm headline</w:t>
            </w:r>
          </w:p>
        </w:tc>
        <w:tc>
          <w:tcPr>
            <w:tcW w:type="dxa" w:w="26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JOLTS steady but narrow; labour differential falling (14508); soft consumer labour perceptions</w:t>
            </w:r>
          </w:p>
        </w:tc>
        <w:tc>
          <w:tcPr>
            <w:tcW w:type="dxa" w:w="26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Jul-2 NFP + AHE actuals not yet in (FACT rows 21819/21) — consensus is pre-print</w:t>
            </w:r>
          </w:p>
        </w:tc>
      </w:tr>
      <w:tr>
        <w:tc>
          <w:tcPr>
            <w:tcW w:type="dxa" w:w="20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Core-PCE revision lowers measured inflation</w:t>
            </w:r>
          </w:p>
        </w:tc>
        <w:tc>
          <w:tcPr>
            <w:tcW w:type="dxa" w:w="1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Goldman, Barclays, DB</w:t>
            </w:r>
          </w:p>
        </w:tc>
        <w:tc>
          <w:tcPr>
            <w:tcW w:type="dxa" w:w="21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Methodology change trims core PCE ~0.2–0.25pp</w:t>
            </w:r>
          </w:p>
        </w:tc>
        <w:tc>
          <w:tcPr>
            <w:tcW w:type="dxa" w:w="26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BEA Sep-30 retroactive change; portfolio-mgmt-services re-measure (14437, 14557, 14371)</w:t>
            </w:r>
          </w:p>
        </w:tc>
        <w:tc>
          <w:tcPr>
            <w:tcW w:type="dxa" w:w="26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Splits on whether it's "a big deal" (Citi) or "refinement" (Barclays) — see D</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6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7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0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3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3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3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6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DB (14516)</w:t>
            </w:r>
          </w:p>
        </w:tc>
        <w:tc>
          <w:tcPr>
            <w:tcW w:type="dxa" w:w="7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 rates</w:t>
            </w:r>
          </w:p>
        </w:tc>
        <w:tc>
          <w:tcPr>
            <w:tcW w:type="dxa" w:w="20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Fed </w:t>
            </w:r>
            <w:r>
              <w:rPr>
                <w:rFonts w:ascii="Public Sans" w:hAnsi="Public Sans"/>
                <w:b/>
                <w:i w:val="0"/>
                <w:color w:val="3D3E3E"/>
                <w:sz w:val="16"/>
              </w:rPr>
              <w:t>hikes to 4.1%</w:t>
            </w:r>
            <w:r>
              <w:rPr>
                <w:rFonts w:ascii="Public Sans" w:hAnsi="Public Sans"/>
                <w:b w:val="0"/>
                <w:i w:val="0"/>
                <w:color w:val="3D3E3E"/>
                <w:sz w:val="16"/>
              </w:rPr>
              <w:t xml:space="preserve"> then holds</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Only in-window house modelling </w:t>
            </w:r>
            <w:r>
              <w:rPr>
                <w:rFonts w:ascii="Public Sans" w:hAnsi="Public Sans"/>
                <w:b w:val="0"/>
                <w:i/>
                <w:color w:val="3D3E3E"/>
                <w:sz w:val="16"/>
              </w:rPr>
              <w:t>more</w:t>
            </w:r>
            <w:r>
              <w:rPr>
                <w:rFonts w:ascii="Public Sans" w:hAnsi="Public Sans"/>
                <w:b w:val="0"/>
                <w:i w:val="0"/>
                <w:color w:val="3D3E3E"/>
                <w:sz w:val="16"/>
              </w:rPr>
              <w:t xml:space="preserve"> hikes, not a hold</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Energy shock feeds a persistent, broad trend-inflation overshoot</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clean disinflation print / labour break re-opens the cut case</w:t>
            </w:r>
          </w:p>
        </w:tc>
      </w:tr>
      <w:tr>
        <w:tc>
          <w:tcPr>
            <w:tcW w:type="dxa" w:w="6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Goldman (14557)</w:t>
            </w:r>
          </w:p>
        </w:tc>
        <w:tc>
          <w:tcPr>
            <w:tcW w:type="dxa" w:w="7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rates, USD</w:t>
            </w:r>
          </w:p>
        </w:tc>
        <w:tc>
          <w:tcPr>
            <w:tcW w:type="dxa" w:w="20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Payrolls </w:t>
            </w:r>
            <w:r>
              <w:rPr>
                <w:rFonts w:ascii="Public Sans" w:hAnsi="Public Sans"/>
                <w:b/>
                <w:i w:val="0"/>
                <w:color w:val="3D3E3E"/>
                <w:sz w:val="16"/>
              </w:rPr>
              <w:t>+130k vs 115k</w:t>
            </w:r>
            <w:r>
              <w:rPr>
                <w:rFonts w:ascii="Public Sans" w:hAnsi="Public Sans"/>
                <w:b w:val="0"/>
                <w:i w:val="0"/>
                <w:color w:val="3D3E3E"/>
                <w:sz w:val="16"/>
              </w:rPr>
              <w:t xml:space="preserve"> on World Cup +~45k</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Above consensus via an identifiable one-off, not a trend call</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event bump lands cleanly in the establishment survey</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Payback / no-show in July → reads as underlying weakness</w:t>
            </w:r>
          </w:p>
        </w:tc>
      </w:tr>
      <w:tr>
        <w:tc>
          <w:tcPr>
            <w:tcW w:type="dxa" w:w="6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 (14437)</w:t>
            </w:r>
          </w:p>
        </w:tc>
        <w:tc>
          <w:tcPr>
            <w:tcW w:type="dxa" w:w="7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TIPS/BE, USD rates</w:t>
            </w:r>
          </w:p>
        </w:tc>
        <w:tc>
          <w:tcPr>
            <w:tcW w:type="dxa" w:w="20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PCE methodology change is </w:t>
            </w:r>
            <w:r>
              <w:rPr>
                <w:rFonts w:ascii="Public Sans" w:hAnsi="Public Sans"/>
                <w:b/>
                <w:i w:val="0"/>
                <w:color w:val="3D3E3E"/>
                <w:sz w:val="16"/>
              </w:rPr>
              <w:t>"a big deal"</w:t>
            </w:r>
            <w:r>
              <w:rPr>
                <w:rFonts w:ascii="Public Sans" w:hAnsi="Public Sans"/>
                <w:b w:val="0"/>
                <w:i w:val="0"/>
                <w:color w:val="3D3E3E"/>
                <w:sz w:val="16"/>
              </w:rPr>
              <w:t xml:space="preserve"> (−25bp)</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Elevates a measurement wrinkle to a Fed-path input</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Fed reacts to the </w:t>
            </w:r>
            <w:r>
              <w:rPr>
                <w:rFonts w:ascii="Public Sans" w:hAnsi="Public Sans"/>
                <w:b w:val="0"/>
                <w:i/>
                <w:color w:val="3D3E3E"/>
                <w:sz w:val="16"/>
              </w:rPr>
              <w:t>measured</w:t>
            </w:r>
            <w:r>
              <w:rPr>
                <w:rFonts w:ascii="Public Sans" w:hAnsi="Public Sans"/>
                <w:b w:val="0"/>
                <w:i w:val="0"/>
                <w:color w:val="3D3E3E"/>
                <w:sz w:val="16"/>
              </w:rPr>
              <w:t xml:space="preserve"> series, not the true impulse</w:t>
            </w:r>
          </w:p>
        </w:tc>
        <w:tc>
          <w:tcPr>
            <w:tcW w:type="dxa" w:w="23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 explicitly looks through the revision</w:t>
            </w:r>
          </w:p>
        </w:tc>
      </w:tr>
      <w:tr>
        <w:tc>
          <w:tcPr>
            <w:tcW w:type="dxa" w:w="6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Barclays (14371)</w:t>
            </w:r>
          </w:p>
        </w:tc>
        <w:tc>
          <w:tcPr>
            <w:tcW w:type="dxa" w:w="7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rates</w:t>
            </w:r>
          </w:p>
        </w:tc>
        <w:tc>
          <w:tcPr>
            <w:tcW w:type="dxa" w:w="20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Same revision is </w:t>
            </w:r>
            <w:r>
              <w:rPr>
                <w:rFonts w:ascii="Public Sans" w:hAnsi="Public Sans"/>
                <w:b/>
                <w:i w:val="0"/>
                <w:color w:val="3D3E3E"/>
                <w:sz w:val="16"/>
              </w:rPr>
              <w:t>"just a refinement"</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Directly </w:t>
            </w:r>
            <w:r>
              <w:rPr>
                <w:rFonts w:ascii="Public Sans" w:hAnsi="Public Sans"/>
                <w:b w:val="0"/>
                <w:i/>
                <w:color w:val="3D3E3E"/>
                <w:sz w:val="16"/>
              </w:rPr>
              <w:t>downplays</w:t>
            </w:r>
            <w:r>
              <w:rPr>
                <w:rFonts w:ascii="Public Sans" w:hAnsi="Public Sans"/>
                <w:b w:val="0"/>
                <w:i w:val="0"/>
                <w:color w:val="3D3E3E"/>
                <w:sz w:val="16"/>
              </w:rPr>
              <w:t xml:space="preserve"> the Citi/Goldman read on identical data</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Underlying momentum unchanged; optics ≠ policy</w:t>
            </w:r>
          </w:p>
        </w:tc>
        <w:tc>
          <w:tcPr>
            <w:tcW w:type="dxa" w:w="23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Fed cites the lower print as easing cover</w:t>
            </w:r>
          </w:p>
        </w:tc>
      </w:tr>
    </w:tbl>
    <w:p>
      <w:pPr>
        <w:spacing w:after="80" w:line="283" w:lineRule="auto"/>
      </w:pPr>
      <w:r>
        <w:rPr>
          <w:rFonts w:ascii="Public Sans" w:hAnsi="Public Sans"/>
          <w:b w:val="0"/>
          <w:i/>
          <w:color w:val="3D3E3E"/>
          <w:sz w:val="19"/>
        </w:rPr>
        <w:t>Trade rows expanded:</w:t>
      </w:r>
      <w:r>
        <w:rPr>
          <w:rFonts w:ascii="Public Sans" w:hAnsi="Public Sans"/>
          <w:b w:val="0"/>
          <w:i w:val="0"/>
          <w:color w:val="3D3E3E"/>
          <w:sz w:val="19"/>
        </w:rPr>
        <w:t xml:space="preserve"> #9 (BofA 2H rotation — take profits S&amp;P/secular growth, buy large-cap value; assumption = leadership broadens off mega-cap; falsifier = growth momentum persists) and #10 (Citi — stay sidelined in US 10y into the data; assumption = the range holds; falsifier = a clean NFP break). Surfaced, not judged.</w:t>
      </w:r>
    </w:p>
    <w:p>
      <w:pPr>
        <w:spacing w:after="80" w:line="283" w:lineRule="auto"/>
      </w:pPr>
      <w:r>
        <w:rPr>
          <w:rFonts w:ascii="Public Sans" w:hAnsi="Public Sans"/>
          <w:b/>
          <w:i w:val="0"/>
          <w:color w:val="3D3E3E"/>
          <w:sz w:val="19"/>
        </w:rPr>
        <w:t>DEPTH note:</w:t>
      </w:r>
      <w:r>
        <w:rPr>
          <w:rFonts w:ascii="Public Sans" w:hAnsi="Public Sans"/>
          <w:b w:val="0"/>
          <w:i w:val="0"/>
          <w:color w:val="3D3E3E"/>
          <w:sz w:val="19"/>
        </w:rPr>
        <w:t xml:space="preserve"> US econ.fact_indicator is deep (165 indicators, ~3,218 obs since Apr, latest 06-29) — component labour/ISM detail was used above.</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Japan — post-hike, firm Tankan, yen at the intervention zone</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13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5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7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13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1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June Tankan</w:t>
            </w:r>
            <w:r>
              <w:rPr>
                <w:rFonts w:ascii="Public Sans" w:hAnsi="Public Sans"/>
                <w:b w:val="0"/>
                <w:i w:val="0"/>
                <w:color w:val="3D3E3E"/>
                <w:sz w:val="16"/>
              </w:rPr>
              <w:t xml:space="preserve"> — capex + inflation expectations support faster hikes</w:t>
            </w:r>
          </w:p>
        </w:tc>
        <w:tc>
          <w:tcPr>
            <w:tcW w:type="dxa" w:w="12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 JPY, Japan equity</w:t>
            </w:r>
          </w:p>
        </w:tc>
        <w:tc>
          <w:tcPr>
            <w:tcW w:type="dxa" w:w="2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Goldman, DB, JPM, MS, Barclays, ANZ</w:t>
            </w:r>
          </w:p>
        </w:tc>
        <w:tc>
          <w:tcPr>
            <w:tcW w:type="dxa" w:w="31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hike-path validator; large-mfg DI </w:t>
            </w:r>
            <w:r>
              <w:rPr>
                <w:rFonts w:ascii="Public Sans" w:hAnsi="Public Sans"/>
                <w:b w:val="0"/>
                <w:i/>
                <w:color w:val="3D3E3E"/>
                <w:sz w:val="16"/>
              </w:rPr>
              <w:t>rose</w:t>
            </w:r>
            <w:r>
              <w:rPr>
                <w:rFonts w:ascii="Public Sans" w:hAnsi="Public Sans"/>
                <w:b w:val="0"/>
                <w:i w:val="0"/>
                <w:color w:val="3D3E3E"/>
                <w:sz w:val="16"/>
              </w:rPr>
              <w:t xml:space="preserve"> on the BoJ cut (see reconciliation)</w:t>
            </w:r>
          </w:p>
        </w:tc>
      </w:tr>
      <w:tr>
        <w:tc>
          <w:tcPr>
            <w:tcW w:type="dxa" w:w="3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13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USD/JPY at 162+ / 40-yr high</w:t>
            </w:r>
            <w:r>
              <w:rPr>
                <w:rFonts w:ascii="Public Sans" w:hAnsi="Public Sans"/>
                <w:b w:val="0"/>
                <w:i w:val="0"/>
                <w:color w:val="3D3E3E"/>
                <w:sz w:val="16"/>
              </w:rPr>
              <w:t xml:space="preserve"> — intervention watch</w:t>
            </w:r>
          </w:p>
        </w:tc>
        <w:tc>
          <w:tcPr>
            <w:tcW w:type="dxa" w:w="12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JPY, JGB, FX vol</w:t>
            </w:r>
          </w:p>
        </w:tc>
        <w:tc>
          <w:tcPr>
            <w:tcW w:type="dxa" w:w="2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Citi, DB, SocGen, HSBC, BNP</w:t>
            </w:r>
          </w:p>
        </w:tc>
        <w:tc>
          <w:tcPr>
            <w:tcW w:type="dxa" w:w="313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The live tension: post-hike currency </w:t>
            </w:r>
            <w:r>
              <w:rPr>
                <w:rFonts w:ascii="Public Sans" w:hAnsi="Public Sans"/>
                <w:b w:val="0"/>
                <w:i/>
                <w:color w:val="3D3E3E"/>
                <w:sz w:val="16"/>
              </w:rPr>
              <w:t>weaker</w:t>
            </w:r>
            <w:r>
              <w:rPr>
                <w:rFonts w:ascii="Public Sans" w:hAnsi="Public Sans"/>
                <w:b w:val="0"/>
                <w:i w:val="0"/>
                <w:color w:val="3D3E3E"/>
                <w:sz w:val="16"/>
              </w:rPr>
              <w:t>, not stronger</w:t>
            </w:r>
          </w:p>
        </w:tc>
      </w:tr>
      <w:tr>
        <w:tc>
          <w:tcPr>
            <w:tcW w:type="dxa" w:w="3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1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Positioning: </w:t>
            </w:r>
            <w:r>
              <w:rPr>
                <w:rFonts w:ascii="Public Sans" w:hAnsi="Public Sans"/>
                <w:b/>
                <w:i w:val="0"/>
                <w:color w:val="3D3E3E"/>
                <w:sz w:val="16"/>
              </w:rPr>
              <w:t>fade the yen move vs press it</w:t>
            </w:r>
          </w:p>
        </w:tc>
        <w:tc>
          <w:tcPr>
            <w:tcW w:type="dxa" w:w="125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JPY crosses, FX vol</w:t>
            </w:r>
          </w:p>
        </w:tc>
        <w:tc>
          <w:tcPr>
            <w:tcW w:type="dxa" w:w="27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 (fade), BNP (fade) vs Citi/DB (continuation)</w:t>
            </w:r>
          </w:p>
        </w:tc>
        <w:tc>
          <w:tcPr>
            <w:tcW w:type="dxa" w:w="313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tradeable split is on positioning, not direction</w:t>
            </w:r>
          </w:p>
        </w:tc>
      </w:tr>
      <w:tr>
        <w:tc>
          <w:tcPr>
            <w:tcW w:type="dxa" w:w="3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13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Inflation expectations rising (1/3/5y +0.1pt to ~2.7%)</w:t>
            </w:r>
          </w:p>
        </w:tc>
        <w:tc>
          <w:tcPr>
            <w:tcW w:type="dxa" w:w="125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JGB, BE</w:t>
            </w:r>
          </w:p>
        </w:tc>
        <w:tc>
          <w:tcPr>
            <w:tcW w:type="dxa" w:w="27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 MS</w:t>
            </w:r>
          </w:p>
        </w:tc>
        <w:tc>
          <w:tcPr>
            <w:tcW w:type="dxa" w:w="313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Feeds the "earlier hike" case; JGB curve steepening on behind-the-curve fear</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BoJ </w:t>
      </w:r>
      <w:r>
        <w:rPr>
          <w:rFonts w:ascii="Public Sans" w:hAnsi="Public Sans"/>
          <w:b/>
          <w:i w:val="0"/>
          <w:color w:val="3D3E3E"/>
          <w:sz w:val="19"/>
        </w:rPr>
        <w:t>hiked to 1.00%</w:t>
      </w:r>
      <w:r>
        <w:rPr>
          <w:rFonts w:ascii="Public Sans" w:hAnsi="Public Sans"/>
          <w:b w:val="0"/>
          <w:i w:val="0"/>
          <w:color w:val="3D3E3E"/>
          <w:sz w:val="19"/>
        </w:rPr>
        <w:t xml:space="preserve"> on 06-16 (from 0.75%, FACT). The window's catalyst is the </w:t>
      </w:r>
      <w:r>
        <w:rPr>
          <w:rFonts w:ascii="Public Sans" w:hAnsi="Public Sans"/>
          <w:b/>
          <w:i w:val="0"/>
          <w:color w:val="3D3E3E"/>
          <w:sz w:val="19"/>
        </w:rPr>
        <w:t>June Tankan</w:t>
      </w:r>
      <w:r>
        <w:rPr>
          <w:rFonts w:ascii="Public Sans" w:hAnsi="Public Sans"/>
          <w:b w:val="0"/>
          <w:i w:val="0"/>
          <w:color w:val="3D3E3E"/>
          <w:sz w:val="19"/>
        </w:rPr>
        <w:t xml:space="preserve"> (06-30), and the reasoning is near-unanimous that it supports </w:t>
      </w:r>
      <w:r>
        <w:rPr>
          <w:rFonts w:ascii="Public Sans" w:hAnsi="Public Sans"/>
          <w:b w:val="0"/>
          <w:i/>
          <w:color w:val="3D3E3E"/>
          <w:sz w:val="19"/>
        </w:rPr>
        <w:t>faster</w:t>
      </w:r>
      <w:r>
        <w:rPr>
          <w:rFonts w:ascii="Public Sans" w:hAnsi="Public Sans"/>
          <w:b w:val="0"/>
          <w:i w:val="0"/>
          <w:color w:val="3D3E3E"/>
          <w:sz w:val="19"/>
        </w:rPr>
        <w:t xml:space="preserve"> tightening — but a PM needs the reconciliation first (see the unreconciled flag below). The desks are leaning on the </w:t>
      </w:r>
      <w:r>
        <w:rPr>
          <w:rFonts w:ascii="Public Sans" w:hAnsi="Public Sans"/>
          <w:b/>
          <w:i w:val="0"/>
          <w:color w:val="3D3E3E"/>
          <w:sz w:val="19"/>
        </w:rPr>
        <w:t>BoJ business-conditions diffusion index</w:t>
      </w:r>
      <w:r>
        <w:rPr>
          <w:rFonts w:ascii="Public Sans" w:hAnsi="Public Sans"/>
          <w:b w:val="0"/>
          <w:i w:val="0"/>
          <w:color w:val="3D3E3E"/>
          <w:sz w:val="19"/>
        </w:rPr>
        <w:t xml:space="preserve">, which </w:t>
      </w:r>
      <w:r>
        <w:rPr>
          <w:rFonts w:ascii="Public Sans" w:hAnsi="Public Sans"/>
          <w:b w:val="0"/>
          <w:i/>
          <w:color w:val="3D3E3E"/>
          <w:sz w:val="19"/>
        </w:rPr>
        <w:t>rose</w:t>
      </w:r>
      <w:r>
        <w:rPr>
          <w:rFonts w:ascii="Public Sans" w:hAnsi="Public Sans"/>
          <w:b w:val="0"/>
          <w:i w:val="0"/>
          <w:color w:val="3D3E3E"/>
          <w:sz w:val="19"/>
        </w:rPr>
        <w:t xml:space="preserve">: Goldman (14586) has large-manufacturers DI at </w:t>
      </w:r>
      <w:r>
        <w:rPr>
          <w:rFonts w:ascii="Public Sans" w:hAnsi="Public Sans"/>
          <w:b/>
          <w:i w:val="0"/>
          <w:color w:val="3D3E3E"/>
          <w:sz w:val="19"/>
        </w:rPr>
        <w:t>+37 (Mar +36), the fifth consecutive quarterly improvement</w:t>
      </w:r>
      <w:r>
        <w:rPr>
          <w:rFonts w:ascii="Public Sans" w:hAnsi="Public Sans"/>
          <w:b w:val="0"/>
          <w:i w:val="0"/>
          <w:color w:val="3D3E3E"/>
          <w:sz w:val="19"/>
        </w:rPr>
        <w:t xml:space="preserve"> that "significantly exceeded" expectations, with the FY2026 capex plan "revised up sharply as usual." Barclays (14607) says the manufacturing DI hit its highest reading and the print supports its </w:t>
      </w:r>
      <w:r>
        <w:rPr>
          <w:rFonts w:ascii="Public Sans" w:hAnsi="Public Sans"/>
          <w:b/>
          <w:i w:val="0"/>
          <w:color w:val="3D3E3E"/>
          <w:sz w:val="19"/>
        </w:rPr>
        <w:t>October hike call</w:t>
      </w:r>
      <w:r>
        <w:rPr>
          <w:rFonts w:ascii="Public Sans" w:hAnsi="Public Sans"/>
          <w:b w:val="0"/>
          <w:i w:val="0"/>
          <w:color w:val="3D3E3E"/>
          <w:sz w:val="19"/>
        </w:rPr>
        <w:t xml:space="preserve">; DB (14624) is blunt — "business sentiment beats expectations, rising price pressures support </w:t>
      </w:r>
      <w:r>
        <w:rPr>
          <w:rFonts w:ascii="Public Sans" w:hAnsi="Public Sans"/>
          <w:b/>
          <w:i w:val="0"/>
          <w:color w:val="3D3E3E"/>
          <w:sz w:val="19"/>
        </w:rPr>
        <w:t>faster BoJ rate hikes</w:t>
      </w:r>
      <w:r>
        <w:rPr>
          <w:rFonts w:ascii="Public Sans" w:hAnsi="Public Sans"/>
          <w:b w:val="0"/>
          <w:i w:val="0"/>
          <w:color w:val="3D3E3E"/>
          <w:sz w:val="19"/>
        </w:rPr>
        <w:t>." The reasoning chain is: sentiment firm + capex plans revised up + output/input price DIs sharply higher + pass-through to output prices progressing = the corporate sector can absorb a higher policy rate.</w:t>
      </w:r>
    </w:p>
    <w:p>
      <w:pPr>
        <w:spacing w:after="80" w:line="283" w:lineRule="auto"/>
      </w:pPr>
      <w:r>
        <w:rPr>
          <w:rFonts w:ascii="Public Sans" w:hAnsi="Public Sans"/>
          <w:b w:val="0"/>
          <w:i w:val="0"/>
          <w:color w:val="3D3E3E"/>
          <w:sz w:val="19"/>
        </w:rPr>
        <w:t xml:space="preserve">The inflation-expectations leg is what turns a sentiment survey into a rates catalyst. JPM (14643) notes the all-firms sentiment index was </w:t>
      </w:r>
      <w:r>
        <w:rPr>
          <w:rFonts w:ascii="Public Sans" w:hAnsi="Public Sans"/>
          <w:b w:val="0"/>
          <w:i/>
          <w:color w:val="3D3E3E"/>
          <w:sz w:val="19"/>
        </w:rPr>
        <w:t>unchanged</w:t>
      </w:r>
      <w:r>
        <w:rPr>
          <w:rFonts w:ascii="Public Sans" w:hAnsi="Public Sans"/>
          <w:b w:val="0"/>
          <w:i w:val="0"/>
          <w:color w:val="3D3E3E"/>
          <w:sz w:val="19"/>
        </w:rPr>
        <w:t xml:space="preserve"> but "the strongest corporate momentum in decades remains intact," and — critically — </w:t>
      </w:r>
      <w:r>
        <w:rPr>
          <w:rFonts w:ascii="Public Sans" w:hAnsi="Public Sans"/>
          <w:b/>
          <w:i w:val="0"/>
          <w:color w:val="3D3E3E"/>
          <w:sz w:val="19"/>
        </w:rPr>
        <w:t>1yr/3yr/5yr-ahead inflation expectations all rose +0.1pt to ~2.7%</w:t>
      </w:r>
      <w:r>
        <w:rPr>
          <w:rFonts w:ascii="Public Sans" w:hAnsi="Public Sans"/>
          <w:b w:val="0"/>
          <w:i w:val="0"/>
          <w:color w:val="3D3E3E"/>
          <w:sz w:val="19"/>
        </w:rPr>
        <w:t xml:space="preserve">. MS (14646) frames the outcome as a positive surprise that could "raise market participants' expectations for an </w:t>
      </w:r>
      <w:r>
        <w:rPr>
          <w:rFonts w:ascii="Public Sans" w:hAnsi="Public Sans"/>
          <w:b w:val="0"/>
          <w:i/>
          <w:color w:val="3D3E3E"/>
          <w:sz w:val="19"/>
        </w:rPr>
        <w:t>earlier</w:t>
      </w:r>
      <w:r>
        <w:rPr>
          <w:rFonts w:ascii="Public Sans" w:hAnsi="Public Sans"/>
          <w:b w:val="0"/>
          <w:i w:val="0"/>
          <w:color w:val="3D3E3E"/>
          <w:sz w:val="19"/>
        </w:rPr>
        <w:t xml:space="preserve"> rate hike," while flagging the two-sided risks: payback after front-loaded demand, and exporters' assumed FX. That is the cleanest reaction-function read in the window — expectations drifting up give the BoJ cover to move sooner.</w:t>
      </w:r>
    </w:p>
    <w:p>
      <w:pPr>
        <w:spacing w:after="80" w:line="283" w:lineRule="auto"/>
      </w:pPr>
      <w:r>
        <w:rPr>
          <w:rFonts w:ascii="Public Sans" w:hAnsi="Public Sans"/>
          <w:b w:val="0"/>
          <w:i w:val="0"/>
          <w:color w:val="3D3E3E"/>
          <w:sz w:val="19"/>
        </w:rPr>
        <w:t xml:space="preserve">The currency is the paradox: a central bank that just hiked, with a currency that </w:t>
      </w:r>
      <w:r>
        <w:rPr>
          <w:rFonts w:ascii="Public Sans" w:hAnsi="Public Sans"/>
          <w:b/>
          <w:i w:val="0"/>
          <w:color w:val="3D3E3E"/>
          <w:sz w:val="19"/>
        </w:rPr>
        <w:t>broke above 162 to a 40-year high</w:t>
      </w:r>
      <w:r>
        <w:rPr>
          <w:rFonts w:ascii="Public Sans" w:hAnsi="Public Sans"/>
          <w:b w:val="0"/>
          <w:i w:val="0"/>
          <w:color w:val="3D3E3E"/>
          <w:sz w:val="19"/>
        </w:rPr>
        <w:t xml:space="preserve">. Nomura's intraday (14422) has USD/JPY into the July-2024 high with "intervention risk rising," BoJ's Sato striking a neutral tone, and the </w:t>
      </w:r>
      <w:r>
        <w:rPr>
          <w:rFonts w:ascii="Public Sans" w:hAnsi="Public Sans"/>
          <w:b/>
          <w:i w:val="0"/>
          <w:color w:val="3D3E3E"/>
          <w:sz w:val="19"/>
        </w:rPr>
        <w:t>JGB curve steepening on behind-the-curve concerns</w:t>
      </w:r>
      <w:r>
        <w:rPr>
          <w:rFonts w:ascii="Public Sans" w:hAnsi="Public Sans"/>
          <w:b w:val="0"/>
          <w:i w:val="0"/>
          <w:color w:val="3D3E3E"/>
          <w:sz w:val="19"/>
        </w:rPr>
        <w:t xml:space="preserve">. SocGen's Asia Pulse (14361) has spot holding above 162 with "usual jawboning," vols "exploding higher," and the market preparing for a move toward 163. Citi (14583) is blunt: "nobody stopping yen depreciation." The mechanism the bears cite is rate-differential + the hike being too slow relative to the Fed's higher dots — so JPY weakens </w:t>
      </w:r>
      <w:r>
        <w:rPr>
          <w:rFonts w:ascii="Public Sans" w:hAnsi="Public Sans"/>
          <w:b w:val="0"/>
          <w:i/>
          <w:color w:val="3D3E3E"/>
          <w:sz w:val="19"/>
        </w:rPr>
        <w:t>despite</w:t>
      </w:r>
      <w:r>
        <w:rPr>
          <w:rFonts w:ascii="Public Sans" w:hAnsi="Public Sans"/>
          <w:b w:val="0"/>
          <w:i w:val="0"/>
          <w:color w:val="3D3E3E"/>
          <w:sz w:val="19"/>
        </w:rPr>
        <w:t xml:space="preserve"> the hike.</w:t>
      </w:r>
    </w:p>
    <w:p>
      <w:pPr>
        <w:spacing w:after="80" w:line="283" w:lineRule="auto"/>
      </w:pPr>
      <w:r>
        <w:rPr>
          <w:rFonts w:ascii="Public Sans" w:hAnsi="Public Sans"/>
          <w:b w:val="0"/>
          <w:i w:val="0"/>
          <w:color w:val="3D3E3E"/>
          <w:sz w:val="19"/>
        </w:rPr>
        <w:t xml:space="preserve">The tradeable split, and the highest-value divergence, is on </w:t>
      </w:r>
      <w:r>
        <w:rPr>
          <w:rFonts w:ascii="Public Sans" w:hAnsi="Public Sans"/>
          <w:b/>
          <w:i w:val="0"/>
          <w:color w:val="3D3E3E"/>
          <w:sz w:val="19"/>
        </w:rPr>
        <w:t>positioning near the intervention zone</w:t>
      </w:r>
      <w:r>
        <w:rPr>
          <w:rFonts w:ascii="Public Sans" w:hAnsi="Public Sans"/>
          <w:b w:val="0"/>
          <w:i w:val="0"/>
          <w:color w:val="3D3E3E"/>
          <w:sz w:val="19"/>
        </w:rPr>
        <w:t xml:space="preserve">. HSBC (14595) is </w:t>
      </w:r>
      <w:r>
        <w:rPr>
          <w:rFonts w:ascii="Public Sans" w:hAnsi="Public Sans"/>
          <w:b w:val="0"/>
          <w:i/>
          <w:color w:val="3D3E3E"/>
          <w:sz w:val="19"/>
        </w:rPr>
        <w:t>closing</w:t>
      </w:r>
      <w:r>
        <w:rPr>
          <w:rFonts w:ascii="Public Sans" w:hAnsi="Public Sans"/>
          <w:b w:val="0"/>
          <w:i w:val="0"/>
          <w:color w:val="3D3E3E"/>
          <w:sz w:val="19"/>
        </w:rPr>
        <w:t xml:space="preserve"> its short SGD/JPY — it still sees "an intervention threat present" and books the move. BNP (14478) is </w:t>
      </w:r>
      <w:r>
        <w:rPr>
          <w:rFonts w:ascii="Public Sans" w:hAnsi="Public Sans"/>
          <w:b w:val="0"/>
          <w:i/>
          <w:color w:val="3D3E3E"/>
          <w:sz w:val="19"/>
        </w:rPr>
        <w:t>taking profit</w:t>
      </w:r>
      <w:r>
        <w:rPr>
          <w:rFonts w:ascii="Public Sans" w:hAnsi="Public Sans"/>
          <w:b w:val="0"/>
          <w:i w:val="0"/>
          <w:color w:val="3D3E3E"/>
          <w:sz w:val="19"/>
        </w:rPr>
        <w:t xml:space="preserve"> on a USD/JPY call structure with spot approaching 163, noting "the forces of the Japanese government and central bank will likely" lean against it. Both are fading the easy money, against the continuation crowd (HSBC's own FX strategy piece 14348 "JPY: a new and higher range," DB 14517 "40-year high"). The fade assumption is that pace slows into intervention; the falsifier is a disorderly break past 162-163 that MoF/BoJ cannot lean on.</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7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5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4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4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4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Tankan supports faster/earlier hikes</w:t>
            </w:r>
          </w:p>
        </w:tc>
        <w:tc>
          <w:tcPr>
            <w:tcW w:type="dxa" w:w="15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Goldman, DB, JPM, MS, Barclays, ANZ</w:t>
            </w:r>
          </w:p>
        </w:tc>
        <w:tc>
          <w:tcPr>
            <w:tcW w:type="dxa" w:w="24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Firm sentiment + capex + rising price DIs = hike cover</w:t>
            </w:r>
          </w:p>
        </w:tc>
        <w:tc>
          <w:tcPr>
            <w:tcW w:type="dxa" w:w="24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Large-mfg DI +37 (14586); price DIs sharply higher (14607); infl-exp +0.1pt to 2.7% (14643)</w:t>
            </w:r>
          </w:p>
        </w:tc>
        <w:tc>
          <w:tcPr>
            <w:tcW w:type="dxa" w:w="24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TE headline "large mfg index 16 vs 17" </w:t>
            </w:r>
            <w:r>
              <w:rPr>
                <w:rFonts w:ascii="Public Sans" w:hAnsi="Public Sans"/>
                <w:b w:val="0"/>
                <w:i/>
                <w:color w:val="3D3E3E"/>
                <w:sz w:val="16"/>
              </w:rPr>
              <w:t>fell</w:t>
            </w:r>
            <w:r>
              <w:rPr>
                <w:rFonts w:ascii="Public Sans" w:hAnsi="Public Sans"/>
                <w:b w:val="0"/>
                <w:i w:val="0"/>
                <w:color w:val="3D3E3E"/>
                <w:sz w:val="16"/>
              </w:rPr>
              <w:t xml:space="preserve"> — a different series/vintage than the BoJ DI (unreconciled, see flag)</w:t>
            </w:r>
          </w:p>
        </w:tc>
      </w:tr>
      <w:tr>
        <w:tc>
          <w:tcPr>
            <w:tcW w:type="dxa" w:w="1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USD/JPY weak → intervention risk rising</w:t>
            </w:r>
          </w:p>
        </w:tc>
        <w:tc>
          <w:tcPr>
            <w:tcW w:type="dxa" w:w="15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Citi, DB, SocGen</w:t>
            </w:r>
          </w:p>
        </w:tc>
        <w:tc>
          <w:tcPr>
            <w:tcW w:type="dxa" w:w="24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Spot 162+ at 40-yr high; jawboning present, action not yet</w:t>
            </w:r>
          </w:p>
        </w:tc>
        <w:tc>
          <w:tcPr>
            <w:tcW w:type="dxa" w:w="24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USD/JPY &gt; 162 (14422); vols exploding (14361); "nobody stopping" it (14583)</w:t>
            </w:r>
          </w:p>
        </w:tc>
        <w:tc>
          <w:tcPr>
            <w:tcW w:type="dxa" w:w="24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 actual intervention has printed; the threat is verbal only — a positioning, not a policy, fact</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71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2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2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7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Barclays (14607)</w:t>
            </w:r>
          </w:p>
        </w:tc>
        <w:tc>
          <w:tcPr>
            <w:tcW w:type="dxa" w:w="4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w:t>
            </w:r>
          </w:p>
        </w:tc>
        <w:tc>
          <w:tcPr>
            <w:tcW w:type="dxa" w:w="22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Explicit </w:t>
            </w:r>
            <w:r>
              <w:rPr>
                <w:rFonts w:ascii="Public Sans" w:hAnsi="Public Sans"/>
                <w:b/>
                <w:i w:val="0"/>
                <w:color w:val="3D3E3E"/>
                <w:sz w:val="16"/>
              </w:rPr>
              <w:t>October hike</w:t>
            </w:r>
            <w:r>
              <w:rPr>
                <w:rFonts w:ascii="Public Sans" w:hAnsi="Public Sans"/>
                <w:b w:val="0"/>
                <w:i w:val="0"/>
                <w:color w:val="3D3E3E"/>
                <w:sz w:val="16"/>
              </w:rPr>
              <w:t xml:space="preserve"> call, reinforced by Tankan</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Puts a </w:t>
            </w:r>
            <w:r>
              <w:rPr>
                <w:rFonts w:ascii="Public Sans" w:hAnsi="Public Sans"/>
                <w:b w:val="0"/>
                <w:i/>
                <w:color w:val="3D3E3E"/>
                <w:sz w:val="16"/>
              </w:rPr>
              <w:t>date</w:t>
            </w:r>
            <w:r>
              <w:rPr>
                <w:rFonts w:ascii="Public Sans" w:hAnsi="Public Sans"/>
                <w:b w:val="0"/>
                <w:i w:val="0"/>
                <w:color w:val="3D3E3E"/>
                <w:sz w:val="16"/>
              </w:rPr>
              <w:t xml:space="preserve"> on the next hike where others stay directional</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Tariff/autos drag (the weak DI spot) stays contained</w:t>
            </w:r>
          </w:p>
        </w:tc>
        <w:tc>
          <w:tcPr>
            <w:tcW w:type="dxa" w:w="2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Autos/export DIs roll over → BoJ delays</w:t>
            </w:r>
          </w:p>
        </w:tc>
      </w:tr>
      <w:tr>
        <w:tc>
          <w:tcPr>
            <w:tcW w:type="dxa" w:w="7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HSBC (14595)</w:t>
            </w:r>
          </w:p>
        </w:tc>
        <w:tc>
          <w:tcPr>
            <w:tcW w:type="dxa" w:w="4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SGD/JPY</w:t>
            </w:r>
          </w:p>
        </w:tc>
        <w:tc>
          <w:tcPr>
            <w:tcW w:type="dxa" w:w="22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Close the short</w:t>
            </w:r>
            <w:r>
              <w:rPr>
                <w:rFonts w:ascii="Public Sans" w:hAnsi="Public Sans"/>
                <w:b w:val="0"/>
                <w:i w:val="0"/>
                <w:color w:val="3D3E3E"/>
                <w:sz w:val="16"/>
              </w:rPr>
              <w:t xml:space="preserve"> (take profit)</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Fades the yen move where the tape says "new higher range"</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Intervention threat caps further JPY downside near-term</w:t>
            </w:r>
          </w:p>
        </w:tc>
        <w:tc>
          <w:tcPr>
            <w:tcW w:type="dxa" w:w="2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Disorderly break past 163 with no official pushback</w:t>
            </w:r>
          </w:p>
        </w:tc>
      </w:tr>
      <w:tr>
        <w:tc>
          <w:tcPr>
            <w:tcW w:type="dxa" w:w="7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BNP (14478)</w:t>
            </w:r>
          </w:p>
        </w:tc>
        <w:tc>
          <w:tcPr>
            <w:tcW w:type="dxa" w:w="4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USD/JPY vol</w:t>
            </w:r>
          </w:p>
        </w:tc>
        <w:tc>
          <w:tcPr>
            <w:tcW w:type="dxa" w:w="22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Take profit</w:t>
            </w:r>
            <w:r>
              <w:rPr>
                <w:rFonts w:ascii="Public Sans" w:hAnsi="Public Sans"/>
                <w:b w:val="0"/>
                <w:i w:val="0"/>
                <w:color w:val="3D3E3E"/>
                <w:sz w:val="16"/>
              </w:rPr>
              <w:t xml:space="preserve"> on USD/JPY call structure</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Books FX-vol gains as spot nears 163, rather than pressing</w:t>
            </w:r>
          </w:p>
        </w:tc>
        <w:tc>
          <w:tcPr>
            <w:tcW w:type="dxa" w:w="24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Gov/BoJ forces lean against the top of the range</w:t>
            </w:r>
          </w:p>
        </w:tc>
        <w:tc>
          <w:tcPr>
            <w:tcW w:type="dxa" w:w="22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break higher that officials cannot contain</w:t>
            </w:r>
          </w:p>
        </w:tc>
      </w:tr>
      <w:tr>
        <w:tc>
          <w:tcPr>
            <w:tcW w:type="dxa" w:w="7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 (14583)</w:t>
            </w:r>
          </w:p>
        </w:tc>
        <w:tc>
          <w:tcPr>
            <w:tcW w:type="dxa" w:w="4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JPY</w:t>
            </w:r>
          </w:p>
        </w:tc>
        <w:tc>
          <w:tcPr>
            <w:tcW w:type="dxa" w:w="22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r>
              <w:rPr>
                <w:rFonts w:ascii="Public Sans" w:hAnsi="Public Sans"/>
                <w:b/>
                <w:i w:val="0"/>
                <w:color w:val="3D3E3E"/>
                <w:sz w:val="16"/>
              </w:rPr>
              <w:t>Nobody stopping</w:t>
            </w:r>
            <w:r>
              <w:rPr>
                <w:rFonts w:ascii="Public Sans" w:hAnsi="Public Sans"/>
                <w:b w:val="0"/>
                <w:i w:val="0"/>
                <w:color w:val="3D3E3E"/>
                <w:sz w:val="16"/>
              </w:rPr>
              <w:t>" the depreciation (continuation)</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Directly opposite the HSBC/BNP fade on the same tape</w:t>
            </w:r>
          </w:p>
        </w:tc>
        <w:tc>
          <w:tcPr>
            <w:tcW w:type="dxa" w:w="24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 differential dominates; jawboning is empty</w:t>
            </w:r>
          </w:p>
        </w:tc>
        <w:tc>
          <w:tcPr>
            <w:tcW w:type="dxa" w:w="22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Actual intervention / a hawkish BoJ surprise</w:t>
            </w:r>
          </w:p>
        </w:tc>
      </w:tr>
    </w:tbl>
    <w:p>
      <w:pPr>
        <w:spacing w:after="80" w:line="283" w:lineRule="auto"/>
      </w:pPr>
      <w:r>
        <w:rPr>
          <w:rFonts w:ascii="Public Sans" w:hAnsi="Public Sans"/>
          <w:b/>
          <w:i w:val="0"/>
          <w:color w:val="3D3E3E"/>
          <w:sz w:val="19"/>
        </w:rPr>
        <w:t>UNRECONCILED (flag):</w:t>
      </w:r>
      <w:r>
        <w:rPr>
          <w:rFonts w:ascii="Public Sans" w:hAnsi="Public Sans"/>
          <w:b w:val="0"/>
          <w:i w:val="0"/>
          <w:color w:val="3D3E3E"/>
          <w:sz w:val="19"/>
        </w:rPr>
        <w:t xml:space="preserve"> the cb_events TE headline "Tankan large manufacturers </w:t>
      </w:r>
      <w:r>
        <w:rPr>
          <w:rFonts w:ascii="Public Sans" w:hAnsi="Public Sans"/>
          <w:b/>
          <w:i w:val="0"/>
          <w:color w:val="3D3E3E"/>
          <w:sz w:val="19"/>
        </w:rPr>
        <w:t>index 16 vs 17 prior</w:t>
      </w:r>
      <w:r>
        <w:rPr>
          <w:rFonts w:ascii="Public Sans" w:hAnsi="Public Sans"/>
          <w:b w:val="0"/>
          <w:i w:val="0"/>
          <w:color w:val="3D3E3E"/>
          <w:sz w:val="19"/>
        </w:rPr>
        <w:t xml:space="preserve">" (row 21708) shows a one-point </w:t>
      </w:r>
      <w:r>
        <w:rPr>
          <w:rFonts w:ascii="Public Sans" w:hAnsi="Public Sans"/>
          <w:b w:val="0"/>
          <w:i/>
          <w:color w:val="3D3E3E"/>
          <w:sz w:val="19"/>
        </w:rPr>
        <w:t>dip</w:t>
      </w:r>
      <w:r>
        <w:rPr>
          <w:rFonts w:ascii="Public Sans" w:hAnsi="Public Sans"/>
          <w:b w:val="0"/>
          <w:i w:val="0"/>
          <w:color w:val="3D3E3E"/>
          <w:sz w:val="19"/>
        </w:rPr>
        <w:t xml:space="preserve">, while every house note cites the BoJ </w:t>
      </w:r>
      <w:r>
        <w:rPr>
          <w:rFonts w:ascii="Public Sans" w:hAnsi="Public Sans"/>
          <w:b/>
          <w:i w:val="0"/>
          <w:color w:val="3D3E3E"/>
          <w:sz w:val="19"/>
        </w:rPr>
        <w:t>business-conditions DI improving to ~+37</w:t>
      </w:r>
      <w:r>
        <w:rPr>
          <w:rFonts w:ascii="Public Sans" w:hAnsi="Public Sans"/>
          <w:b w:val="0"/>
          <w:i w:val="0"/>
          <w:color w:val="3D3E3E"/>
          <w:sz w:val="19"/>
        </w:rPr>
        <w:t>. These are different cuts of the Tankan (TE's headline series vs the BoJ DI the desks quote) — not a contradiction, but I show both and do not silently pick one. The house-cited DI is the one driving the hike narrative.</w:t>
      </w:r>
    </w:p>
    <w:p>
      <w:pPr>
        <w:spacing w:after="80" w:line="283" w:lineRule="auto"/>
      </w:pPr>
      <w:r>
        <w:rPr>
          <w:rFonts w:ascii="Public Sans" w:hAnsi="Public Sans"/>
          <w:b/>
          <w:i w:val="0"/>
          <w:color w:val="3D3E3E"/>
          <w:sz w:val="19"/>
        </w:rPr>
        <w:t>DEPTH flag:</w:t>
      </w:r>
      <w:r>
        <w:rPr>
          <w:rFonts w:ascii="Public Sans" w:hAnsi="Public Sans"/>
          <w:b w:val="0"/>
          <w:i w:val="0"/>
          <w:color w:val="3D3E3E"/>
          <w:sz w:val="19"/>
        </w:rPr>
        <w:t xml:space="preserve"> JP econ.fact_indicator is effectively </w:t>
      </w:r>
      <w:r>
        <w:rPr>
          <w:rFonts w:ascii="Public Sans" w:hAnsi="Public Sans"/>
          <w:b/>
          <w:i w:val="0"/>
          <w:color w:val="3D3E3E"/>
          <w:sz w:val="19"/>
        </w:rPr>
        <w:t>absent</w:t>
      </w:r>
      <w:r>
        <w:rPr>
          <w:rFonts w:ascii="Public Sans" w:hAnsi="Public Sans"/>
          <w:b w:val="0"/>
          <w:i w:val="0"/>
          <w:color w:val="3D3E3E"/>
          <w:sz w:val="19"/>
        </w:rPr>
        <w:t xml:space="preserve"> (1 obs). Every Japan number above is a cb_events print or a sell-side figure; no component depth is claimed.</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Australia — the "quiet tightening" debate over a static cash rate</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0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1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30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0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RBA </w:t>
            </w:r>
            <w:r>
              <w:rPr>
                <w:rFonts w:ascii="Public Sans" w:hAnsi="Public Sans"/>
                <w:b/>
                <w:i w:val="0"/>
                <w:color w:val="3D3E3E"/>
                <w:sz w:val="16"/>
              </w:rPr>
              <w:t>neutral-rate</w:t>
            </w:r>
            <w:r>
              <w:rPr>
                <w:rFonts w:ascii="Public Sans" w:hAnsi="Public Sans"/>
                <w:b w:val="0"/>
                <w:i w:val="0"/>
                <w:color w:val="3D3E3E"/>
                <w:sz w:val="16"/>
              </w:rPr>
              <w:t xml:space="preserve"> debate from the June minutes</w:t>
            </w:r>
          </w:p>
        </w:tc>
        <w:tc>
          <w:tcPr>
            <w:tcW w:type="dxa" w:w="11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AUD rates, front-end</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BofA, Westpac, JPM</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Re-frames whether 4.35% is neutral, tight, or easy — the whole AU rates view hangs on it</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Is a static 4.35% actually </w:t>
            </w:r>
            <w:r>
              <w:rPr>
                <w:rFonts w:ascii="Public Sans" w:hAnsi="Public Sans"/>
                <w:b/>
                <w:i w:val="0"/>
                <w:color w:val="3D3E3E"/>
                <w:sz w:val="16"/>
              </w:rPr>
              <w:t>tightening</w:t>
            </w:r>
            <w:r>
              <w:rPr>
                <w:rFonts w:ascii="Public Sans" w:hAnsi="Public Sans"/>
                <w:b w:val="0"/>
                <w:i w:val="0"/>
                <w:color w:val="3D3E3E"/>
                <w:sz w:val="16"/>
              </w:rPr>
              <w:t>? (two opposite mechanisms)</w:t>
            </w:r>
          </w:p>
        </w:tc>
        <w:tc>
          <w:tcPr>
            <w:tcW w:type="dxa" w:w="11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rates, AUD</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BofA (short-run neutral </w:t>
            </w:r>
            <w:r>
              <w:rPr>
                <w:rFonts w:ascii="Public Sans" w:hAnsi="Public Sans"/>
                <w:b w:val="0"/>
                <w:i/>
                <w:color w:val="3D3E3E"/>
                <w:sz w:val="16"/>
              </w:rPr>
              <w:t>falls</w:t>
            </w:r>
            <w:r>
              <w:rPr>
                <w:rFonts w:ascii="Public Sans" w:hAnsi="Public Sans"/>
                <w:b w:val="0"/>
                <w:i w:val="0"/>
                <w:color w:val="3D3E3E"/>
                <w:sz w:val="16"/>
              </w:rPr>
              <w:t xml:space="preserve">) vs Nomura (long-run neutral </w:t>
            </w:r>
            <w:r>
              <w:rPr>
                <w:rFonts w:ascii="Public Sans" w:hAnsi="Public Sans"/>
                <w:b w:val="0"/>
                <w:i/>
                <w:color w:val="3D3E3E"/>
                <w:sz w:val="16"/>
              </w:rPr>
              <w:t>up</w:t>
            </w:r>
            <w:r>
              <w:rPr>
                <w:rFonts w:ascii="Public Sans" w:hAnsi="Public Sans"/>
                <w:b w:val="0"/>
                <w:i w:val="0"/>
                <w:color w:val="3D3E3E"/>
                <w:sz w:val="16"/>
              </w:rPr>
              <w:t>)</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differentiated crux: same "tighter" conclusion, opposite mechanism</w:t>
            </w:r>
          </w:p>
        </w:tc>
      </w:tr>
      <w:tr>
        <w:tc>
          <w:tcPr>
            <w:tcW w:type="dxa" w:w="3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Sticky services/domestic inflation</w:t>
            </w:r>
            <w:r>
              <w:rPr>
                <w:rFonts w:ascii="Public Sans" w:hAnsi="Public Sans"/>
                <w:b w:val="0"/>
                <w:i w:val="0"/>
                <w:color w:val="3D3E3E"/>
                <w:sz w:val="16"/>
              </w:rPr>
              <w:t xml:space="preserve"> vs soft tradables</w:t>
            </w:r>
          </w:p>
        </w:tc>
        <w:tc>
          <w:tcPr>
            <w:tcW w:type="dxa" w:w="11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AUD rates, ACGB</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Westpac, BofA + ABS depth</w:t>
            </w:r>
          </w:p>
        </w:tc>
        <w:tc>
          <w:tcPr>
            <w:tcW w:type="dxa" w:w="30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reason the Board is "still on edge"; corroborated by the CPI mix</w:t>
            </w:r>
          </w:p>
        </w:tc>
      </w:tr>
      <w:tr>
        <w:tc>
          <w:tcPr>
            <w:tcW w:type="dxa" w:w="3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Two-speed housing</w:t>
            </w:r>
            <w:r>
              <w:rPr>
                <w:rFonts w:ascii="Public Sans" w:hAnsi="Public Sans"/>
                <w:b w:val="0"/>
                <w:i w:val="0"/>
                <w:color w:val="3D3E3E"/>
                <w:sz w:val="16"/>
              </w:rPr>
              <w:t xml:space="preserve"> — firm credit, falling prices</w:t>
            </w:r>
          </w:p>
        </w:tc>
        <w:tc>
          <w:tcPr>
            <w:tcW w:type="dxa" w:w="11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banks, ACGB</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UBS, Goldman, MS</w:t>
            </w:r>
          </w:p>
        </w:tc>
        <w:tc>
          <w:tcPr>
            <w:tcW w:type="dxa" w:w="30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Complicates the tightening story; credit +8% YoY while Cotality falls</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RBA </w:t>
      </w:r>
      <w:r>
        <w:rPr>
          <w:rFonts w:ascii="Public Sans" w:hAnsi="Public Sans"/>
          <w:b/>
          <w:i w:val="0"/>
          <w:color w:val="3D3E3E"/>
          <w:sz w:val="19"/>
        </w:rPr>
        <w:t>held 4.35%</w:t>
      </w:r>
      <w:r>
        <w:rPr>
          <w:rFonts w:ascii="Public Sans" w:hAnsi="Public Sans"/>
          <w:b w:val="0"/>
          <w:i w:val="0"/>
          <w:color w:val="3D3E3E"/>
          <w:sz w:val="19"/>
        </w:rPr>
        <w:t xml:space="preserve"> (06-16); the </w:t>
      </w:r>
      <w:r>
        <w:rPr>
          <w:rFonts w:ascii="Public Sans" w:hAnsi="Public Sans"/>
          <w:b/>
          <w:i w:val="0"/>
          <w:color w:val="3D3E3E"/>
          <w:sz w:val="19"/>
        </w:rPr>
        <w:t>June minutes</w:t>
      </w:r>
      <w:r>
        <w:rPr>
          <w:rFonts w:ascii="Public Sans" w:hAnsi="Public Sans"/>
          <w:b w:val="0"/>
          <w:i w:val="0"/>
          <w:color w:val="3D3E3E"/>
          <w:sz w:val="19"/>
        </w:rPr>
        <w:t xml:space="preserve"> (06-30, FACT) are the AU catalyst, and the whole debate is a </w:t>
      </w:r>
      <w:r>
        <w:rPr>
          <w:rFonts w:ascii="Public Sans" w:hAnsi="Public Sans"/>
          <w:b w:val="0"/>
          <w:i/>
          <w:color w:val="3D3E3E"/>
          <w:sz w:val="19"/>
        </w:rPr>
        <w:t>reaction-function</w:t>
      </w:r>
      <w:r>
        <w:rPr>
          <w:rFonts w:ascii="Public Sans" w:hAnsi="Public Sans"/>
          <w:b w:val="0"/>
          <w:i w:val="0"/>
          <w:color w:val="3D3E3E"/>
          <w:sz w:val="19"/>
        </w:rPr>
        <w:t xml:space="preserve"> one about where neutral sits. Read in full, the houses actually </w:t>
      </w:r>
      <w:r>
        <w:rPr>
          <w:rFonts w:ascii="Public Sans" w:hAnsi="Public Sans"/>
          <w:b w:val="0"/>
          <w:i/>
          <w:color w:val="3D3E3E"/>
          <w:sz w:val="19"/>
        </w:rPr>
        <w:t>disagree on the mechanism</w:t>
      </w:r>
      <w:r>
        <w:rPr>
          <w:rFonts w:ascii="Public Sans" w:hAnsi="Public Sans"/>
          <w:b w:val="0"/>
          <w:i w:val="0"/>
          <w:color w:val="3D3E3E"/>
          <w:sz w:val="19"/>
        </w:rPr>
        <w:t xml:space="preserve"> while landing on a similar "tighter for longer" conclusion — which is exactly the kind of split a PM wants surfaced. Nomura (14304) reads the minutes as flagging a </w:t>
      </w:r>
      <w:r>
        <w:rPr>
          <w:rFonts w:ascii="Public Sans" w:hAnsi="Public Sans"/>
          <w:b/>
          <w:i w:val="0"/>
          <w:color w:val="3D3E3E"/>
          <w:sz w:val="19"/>
        </w:rPr>
        <w:t>higher long-run neutral cash rate</w:t>
      </w:r>
      <w:r>
        <w:rPr>
          <w:rFonts w:ascii="Public Sans" w:hAnsi="Public Sans"/>
          <w:b w:val="0"/>
          <w:i w:val="0"/>
          <w:color w:val="3D3E3E"/>
          <w:sz w:val="19"/>
        </w:rPr>
        <w:t xml:space="preserve"> ("a hawkish thought"), frames the terminal debate around ~4.10%, but — importantly — says the </w:t>
      </w:r>
      <w:r>
        <w:rPr>
          <w:rFonts w:ascii="Public Sans" w:hAnsi="Public Sans"/>
          <w:b/>
          <w:i w:val="0"/>
          <w:color w:val="3D3E3E"/>
          <w:sz w:val="19"/>
        </w:rPr>
        <w:t>board did not specifically consider a hike</w:t>
      </w:r>
      <w:r>
        <w:rPr>
          <w:rFonts w:ascii="Public Sans" w:hAnsi="Public Sans"/>
          <w:b w:val="0"/>
          <w:i w:val="0"/>
          <w:color w:val="3D3E3E"/>
          <w:sz w:val="19"/>
        </w:rPr>
        <w:t xml:space="preserve">, the neutral discussion "related to the tightness of policy," and Nomura keeps its cash-rate profile </w:t>
      </w:r>
      <w:r>
        <w:rPr>
          <w:rFonts w:ascii="Public Sans" w:hAnsi="Public Sans"/>
          <w:b/>
          <w:i w:val="0"/>
          <w:color w:val="3D3E3E"/>
          <w:sz w:val="19"/>
        </w:rPr>
        <w:t>unaltered (no further hikes, 4.35% into end-2026)</w:t>
      </w:r>
      <w:r>
        <w:rPr>
          <w:rFonts w:ascii="Public Sans" w:hAnsi="Public Sans"/>
          <w:b w:val="0"/>
          <w:i w:val="0"/>
          <w:color w:val="3D3E3E"/>
          <w:sz w:val="19"/>
        </w:rPr>
        <w:t xml:space="preserve">. So Nomura is </w:t>
      </w:r>
      <w:r>
        <w:rPr>
          <w:rFonts w:ascii="Public Sans" w:hAnsi="Public Sans"/>
          <w:b w:val="0"/>
          <w:i/>
          <w:color w:val="3D3E3E"/>
          <w:sz w:val="19"/>
        </w:rPr>
        <w:t>not</w:t>
      </w:r>
      <w:r>
        <w:rPr>
          <w:rFonts w:ascii="Public Sans" w:hAnsi="Public Sans"/>
          <w:b w:val="0"/>
          <w:i w:val="0"/>
          <w:color w:val="3D3E3E"/>
          <w:sz w:val="19"/>
        </w:rPr>
        <w:t xml:space="preserve"> a hiker; it reads a hawkish nuance but holds its call. That is a more careful read than the "minutes = hawkish" headline.</w:t>
      </w:r>
    </w:p>
    <w:p>
      <w:pPr>
        <w:spacing w:after="80" w:line="283" w:lineRule="auto"/>
      </w:pPr>
      <w:r>
        <w:rPr>
          <w:rFonts w:ascii="Public Sans" w:hAnsi="Public Sans"/>
          <w:b w:val="0"/>
          <w:i w:val="0"/>
          <w:color w:val="3D3E3E"/>
          <w:sz w:val="19"/>
        </w:rPr>
        <w:t>BofA's flagship "</w:t>
      </w:r>
      <w:r>
        <w:rPr>
          <w:rFonts w:ascii="Public Sans" w:hAnsi="Public Sans"/>
          <w:b/>
          <w:i w:val="0"/>
          <w:color w:val="3D3E3E"/>
          <w:sz w:val="19"/>
        </w:rPr>
        <w:t>The Quiet Tightening</w:t>
      </w:r>
      <w:r>
        <w:rPr>
          <w:rFonts w:ascii="Public Sans" w:hAnsi="Public Sans"/>
          <w:b w:val="0"/>
          <w:i w:val="0"/>
          <w:color w:val="3D3E3E"/>
          <w:sz w:val="19"/>
        </w:rPr>
        <w:t xml:space="preserve">" (14544) runs the opposite mechanism to the same destination. Its argument is that the </w:t>
      </w:r>
      <w:r>
        <w:rPr>
          <w:rFonts w:ascii="Public Sans" w:hAnsi="Public Sans"/>
          <w:b/>
          <w:i w:val="0"/>
          <w:color w:val="3D3E3E"/>
          <w:sz w:val="19"/>
        </w:rPr>
        <w:t>short-run (cyclical) neutral rate is *falling</w:t>
      </w:r>
      <w:r>
        <w:rPr>
          <w:rFonts w:ascii="Public Sans" w:hAnsi="Public Sans"/>
          <w:b w:val="0"/>
          <w:i/>
          <w:color w:val="3D3E3E"/>
          <w:sz w:val="19"/>
        </w:rPr>
        <w:t xml:space="preserve">, so with the cash rate pinned at 4.35% the </w:t>
      </w:r>
      <w:r>
        <w:rPr>
          <w:rFonts w:ascii="Public Sans" w:hAnsi="Public Sans"/>
          <w:b w:val="0"/>
          <w:i w:val="0"/>
          <w:color w:val="3D3E3E"/>
          <w:sz w:val="19"/>
        </w:rPr>
        <w:t>stance</w:t>
      </w:r>
      <w:r>
        <w:rPr>
          <w:rFonts w:ascii="Public Sans" w:hAnsi="Public Sans"/>
          <w:b w:val="0"/>
          <w:i/>
          <w:color w:val="3D3E3E"/>
          <w:sz w:val="19"/>
        </w:rPr>
        <w:t xml:space="preserve"> is passively getting tighter — policy transmits through yields, borrowing costs and housing-credit growth even without a hike. BofA pushes its first-cut expectation out to </w:t>
      </w:r>
      <w:r>
        <w:rPr>
          <w:rFonts w:ascii="Public Sans" w:hAnsi="Public Sans"/>
          <w:b w:val="0"/>
          <w:i/>
          <w:color w:val="3D3E3E"/>
          <w:sz w:val="19"/>
        </w:rPr>
        <w:t>August 2027</w:t>
      </w:r>
      <w:r>
        <w:rPr>
          <w:rFonts w:ascii="Public Sans" w:hAnsi="Public Sans"/>
          <w:b w:val="0"/>
          <w:i/>
          <w:color w:val="3D3E3E"/>
          <w:sz w:val="19"/>
        </w:rPr>
        <w:t xml:space="preserve"> and says risks are "skewed towards another hike," explicitly citing "RBA's reaction function: why this time looks different." So Nomura says </w:t>
      </w:r>
      <w:r>
        <w:rPr>
          <w:rFonts w:ascii="Public Sans" w:hAnsi="Public Sans"/>
          <w:b w:val="0"/>
          <w:i w:val="0"/>
          <w:color w:val="3D3E3E"/>
          <w:sz w:val="19"/>
        </w:rPr>
        <w:t>long-run</w:t>
      </w:r>
      <w:r>
        <w:rPr>
          <w:rFonts w:ascii="Public Sans" w:hAnsi="Public Sans"/>
          <w:b w:val="0"/>
          <w:i/>
          <w:color w:val="3D3E3E"/>
          <w:sz w:val="19"/>
        </w:rPr>
        <w:t xml:space="preserve"> neutral rose; BofA says </w:t>
      </w:r>
      <w:r>
        <w:rPr>
          <w:rFonts w:ascii="Public Sans" w:hAnsi="Public Sans"/>
          <w:b w:val="0"/>
          <w:i w:val="0"/>
          <w:color w:val="3D3E3E"/>
          <w:sz w:val="19"/>
        </w:rPr>
        <w:t>short-run* neutral fell — opposite claims about the neutral rate, both concluding the effective stance is tight. Westpac (14363) sits in between, reading the minutes and surrounding commentary as a Board "still on edge about inflation."</w:t>
      </w:r>
    </w:p>
    <w:p>
      <w:pPr>
        <w:spacing w:after="80" w:line="283" w:lineRule="auto"/>
      </w:pPr>
      <w:r>
        <w:rPr>
          <w:rFonts w:ascii="Public Sans" w:hAnsi="Public Sans"/>
          <w:b w:val="0"/>
          <w:i w:val="0"/>
          <w:color w:val="3D3E3E"/>
          <w:sz w:val="19"/>
        </w:rPr>
        <w:t>The pricing corroborates the "up, not down" tilt without endorsing an imminent hike: Westpac's What's-Priced-In (14364, PRICING) has RBA OIS at 4.350 with only ~</w:t>
      </w:r>
      <w:r>
        <w:rPr>
          <w:rFonts w:ascii="Public Sans" w:hAnsi="Public Sans"/>
          <w:b/>
          <w:i w:val="0"/>
          <w:color w:val="3D3E3E"/>
          <w:sz w:val="19"/>
        </w:rPr>
        <w:t>17% of a 25bp hike</w:t>
      </w:r>
      <w:r>
        <w:rPr>
          <w:rFonts w:ascii="Public Sans" w:hAnsi="Public Sans"/>
          <w:b w:val="0"/>
          <w:i w:val="0"/>
          <w:color w:val="3D3E3E"/>
          <w:sz w:val="19"/>
        </w:rPr>
        <w:t xml:space="preserve"> priced by 11-Aug and ~32% by end-Sep — a curve nudging up, consistent with Nomura's "near-term OIS strip is fairly priced."</w:t>
      </w:r>
    </w:p>
    <w:p>
      <w:pPr>
        <w:spacing w:after="80" w:line="283" w:lineRule="auto"/>
      </w:pPr>
      <w:r>
        <w:rPr>
          <w:rFonts w:ascii="Public Sans" w:hAnsi="Public Sans"/>
          <w:b w:val="0"/>
          <w:i w:val="0"/>
          <w:color w:val="3D3E3E"/>
          <w:sz w:val="19"/>
        </w:rPr>
        <w:t xml:space="preserve">The </w:t>
      </w:r>
      <w:r>
        <w:rPr>
          <w:rFonts w:ascii="Public Sans" w:hAnsi="Public Sans"/>
          <w:b/>
          <w:i w:val="0"/>
          <w:color w:val="3D3E3E"/>
          <w:sz w:val="19"/>
        </w:rPr>
        <w:t>inflation depth</w:t>
      </w:r>
      <w:r>
        <w:rPr>
          <w:rFonts w:ascii="Public Sans" w:hAnsi="Public Sans"/>
          <w:b w:val="0"/>
          <w:i w:val="0"/>
          <w:color w:val="3D3E3E"/>
          <w:sz w:val="19"/>
        </w:rPr>
        <w:t xml:space="preserve"> is where the ABS data does real work (AU fact_indicator is deep, 218 indicators). Latest monthly CPI (May): </w:t>
      </w:r>
      <w:r>
        <w:rPr>
          <w:rFonts w:ascii="Public Sans" w:hAnsi="Public Sans"/>
          <w:b/>
          <w:i w:val="0"/>
          <w:color w:val="3D3E3E"/>
          <w:sz w:val="19"/>
        </w:rPr>
        <w:t>headline 4.0% YoY, trimmed mean 3.6%, weighted median 3.6%</w:t>
      </w:r>
      <w:r>
        <w:rPr>
          <w:rFonts w:ascii="Public Sans" w:hAnsi="Public Sans"/>
          <w:b w:val="0"/>
          <w:i w:val="0"/>
          <w:color w:val="3D3E3E"/>
          <w:sz w:val="19"/>
        </w:rPr>
        <w:t xml:space="preserve">, with the persistence concentrated in </w:t>
      </w:r>
      <w:r>
        <w:rPr>
          <w:rFonts w:ascii="Public Sans" w:hAnsi="Public Sans"/>
          <w:b/>
          <w:i w:val="0"/>
          <w:color w:val="3D3E3E"/>
          <w:sz w:val="19"/>
        </w:rPr>
        <w:t>housing +6.5%, electricity +21.1%, rents +3.6%, services 3.7%</w:t>
      </w:r>
      <w:r>
        <w:rPr>
          <w:rFonts w:ascii="Public Sans" w:hAnsi="Public Sans"/>
          <w:b w:val="0"/>
          <w:i w:val="0"/>
          <w:color w:val="3D3E3E"/>
          <w:sz w:val="19"/>
        </w:rPr>
        <w:t xml:space="preserve"> against tradables only +2.5%. That domestic/services stickiness is precisely what "still on edge about inflation" is about — the data corroborates the minutes rather than the sell-side spin. Meanwhile the </w:t>
      </w:r>
      <w:r>
        <w:rPr>
          <w:rFonts w:ascii="Public Sans" w:hAnsi="Public Sans"/>
          <w:b/>
          <w:i w:val="0"/>
          <w:color w:val="3D3E3E"/>
          <w:sz w:val="19"/>
        </w:rPr>
        <w:t>housing</w:t>
      </w:r>
      <w:r>
        <w:rPr>
          <w:rFonts w:ascii="Public Sans" w:hAnsi="Public Sans"/>
          <w:b w:val="0"/>
          <w:i w:val="0"/>
          <w:color w:val="3D3E3E"/>
          <w:sz w:val="19"/>
        </w:rPr>
        <w:t xml:space="preserve"> picture is two-speed: the Cotality 5-capital index drifted </w:t>
      </w:r>
      <w:r>
        <w:rPr>
          <w:rFonts w:ascii="Public Sans" w:hAnsi="Public Sans"/>
          <w:b/>
          <w:i w:val="0"/>
          <w:color w:val="3D3E3E"/>
          <w:sz w:val="19"/>
        </w:rPr>
        <w:t>down</w:t>
      </w:r>
      <w:r>
        <w:rPr>
          <w:rFonts w:ascii="Public Sans" w:hAnsi="Public Sans"/>
          <w:b w:val="0"/>
          <w:i w:val="0"/>
          <w:color w:val="3D3E3E"/>
          <w:sz w:val="19"/>
        </w:rPr>
        <w:t xml:space="preserve"> through June (225.0 → 223.9, Sydney/Melbourne leading lower; ANZ 14603, UBS 14650 both flag the downturn and slowing turnover), yet private-sector credit still ran </w:t>
      </w:r>
      <w:r>
        <w:rPr>
          <w:rFonts w:ascii="Public Sans" w:hAnsi="Public Sans"/>
          <w:b/>
          <w:i w:val="0"/>
          <w:color w:val="3D3E3E"/>
          <w:sz w:val="19"/>
        </w:rPr>
        <w:t>+0.7% MoM / ~8% YoY</w:t>
      </w:r>
      <w:r>
        <w:rPr>
          <w:rFonts w:ascii="Public Sans" w:hAnsi="Public Sans"/>
          <w:b w:val="0"/>
          <w:i w:val="0"/>
          <w:color w:val="3D3E3E"/>
          <w:sz w:val="19"/>
        </w:rPr>
        <w:t xml:space="preserve"> (consensus 0.6%; Goldman 14245 "resilient at 0.7% mom"). Building approvals fell again in May (Goldman 14590, MS 14648). Firm credit, soft prices — which is exactly the transmission channel BofA's "quiet tightening" leans on.</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8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4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6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6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RBA effectively tight; no near-term cut</w:t>
            </w:r>
          </w:p>
        </w:tc>
        <w:tc>
          <w:tcPr>
            <w:tcW w:type="dxa" w:w="10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BofA, Westpac</w:t>
            </w:r>
          </w:p>
        </w:tc>
        <w:tc>
          <w:tcPr>
            <w:tcW w:type="dxa" w:w="24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Stance is restrictive; cuts are distant</w:t>
            </w:r>
          </w:p>
        </w:tc>
        <w:tc>
          <w:tcPr>
            <w:tcW w:type="dxa" w:w="26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June minutes neutral-rate language; OIS ~17% a </w:t>
            </w:r>
            <w:r>
              <w:rPr>
                <w:rFonts w:ascii="Public Sans" w:hAnsi="Public Sans"/>
                <w:b w:val="0"/>
                <w:i/>
                <w:color w:val="3D3E3E"/>
                <w:sz w:val="16"/>
              </w:rPr>
              <w:t>hike</w:t>
            </w:r>
            <w:r>
              <w:rPr>
                <w:rFonts w:ascii="Public Sans" w:hAnsi="Public Sans"/>
                <w:b w:val="0"/>
                <w:i w:val="0"/>
                <w:color w:val="3D3E3E"/>
                <w:sz w:val="16"/>
              </w:rPr>
              <w:t xml:space="preserve"> by Aug (14364)</w:t>
            </w:r>
          </w:p>
        </w:tc>
        <w:tc>
          <w:tcPr>
            <w:tcW w:type="dxa" w:w="26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They disagree on </w:t>
            </w:r>
            <w:r>
              <w:rPr>
                <w:rFonts w:ascii="Public Sans" w:hAnsi="Public Sans"/>
                <w:b w:val="0"/>
                <w:i/>
                <w:color w:val="3D3E3E"/>
                <w:sz w:val="16"/>
              </w:rPr>
              <w:t>why</w:t>
            </w:r>
            <w:r>
              <w:rPr>
                <w:rFonts w:ascii="Public Sans" w:hAnsi="Public Sans"/>
                <w:b w:val="0"/>
                <w:i w:val="0"/>
                <w:color w:val="3D3E3E"/>
                <w:sz w:val="16"/>
              </w:rPr>
              <w:t xml:space="preserve"> neutral shifted (see D) — "tight" hides opposite mechanisms</w:t>
            </w:r>
          </w:p>
        </w:tc>
      </w:tr>
      <w:tr>
        <w:tc>
          <w:tcPr>
            <w:tcW w:type="dxa" w:w="18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Inflation still the binding constraint</w:t>
            </w:r>
          </w:p>
        </w:tc>
        <w:tc>
          <w:tcPr>
            <w:tcW w:type="dxa" w:w="10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Westpac, BofA</w:t>
            </w:r>
          </w:p>
        </w:tc>
        <w:tc>
          <w:tcPr>
            <w:tcW w:type="dxa" w:w="249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Domestic/services inflation keeps the Board cautious</w:t>
            </w:r>
          </w:p>
        </w:tc>
        <w:tc>
          <w:tcPr>
            <w:tcW w:type="dxa" w:w="26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CPI trimmed mean 3.6%, services 3.7%, electricity +21.1% (ABS DEPTH)</w:t>
            </w:r>
          </w:p>
        </w:tc>
        <w:tc>
          <w:tcPr>
            <w:tcW w:type="dxa" w:w="26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Tradables at 2.5% — the disinflation is real on the goods side; consensus under-weights it</w:t>
            </w:r>
          </w:p>
        </w:tc>
      </w:tr>
      <w:tr>
        <w:tc>
          <w:tcPr>
            <w:tcW w:type="dxa" w:w="18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Housing softening but credit resilient</w:t>
            </w:r>
          </w:p>
        </w:tc>
        <w:tc>
          <w:tcPr>
            <w:tcW w:type="dxa" w:w="10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UBS, Goldman, MS</w:t>
            </w:r>
          </w:p>
        </w:tc>
        <w:tc>
          <w:tcPr>
            <w:tcW w:type="dxa" w:w="24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Prices down, approvals weak, credit still ~8%</w:t>
            </w:r>
          </w:p>
        </w:tc>
        <w:tc>
          <w:tcPr>
            <w:tcW w:type="dxa" w:w="26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Cotality 225.0→223.9; credit +0.7% mom (14245); approvals fall (14590/14648)</w:t>
            </w:r>
          </w:p>
        </w:tc>
        <w:tc>
          <w:tcPr>
            <w:tcW w:type="dxa" w:w="26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one reconciles falling prices with +8% credit — the two-speed tension is left open</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61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3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6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BofA (14544)</w:t>
            </w:r>
          </w:p>
        </w:tc>
        <w:tc>
          <w:tcPr>
            <w:tcW w:type="dxa" w:w="3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AUD rates</w:t>
            </w:r>
          </w:p>
        </w:tc>
        <w:tc>
          <w:tcPr>
            <w:tcW w:type="dxa" w:w="2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r>
              <w:rPr>
                <w:rFonts w:ascii="Public Sans" w:hAnsi="Public Sans"/>
                <w:b/>
                <w:i w:val="0"/>
                <w:color w:val="3D3E3E"/>
                <w:sz w:val="16"/>
              </w:rPr>
              <w:t>Quiet tightening</w:t>
            </w:r>
            <w:r>
              <w:rPr>
                <w:rFonts w:ascii="Public Sans" w:hAnsi="Public Sans"/>
                <w:b w:val="0"/>
                <w:i w:val="0"/>
                <w:color w:val="3D3E3E"/>
                <w:sz w:val="16"/>
              </w:rPr>
              <w:t xml:space="preserve">": short-run neutral </w:t>
            </w:r>
            <w:r>
              <w:rPr>
                <w:rFonts w:ascii="Public Sans" w:hAnsi="Public Sans"/>
                <w:b w:val="0"/>
                <w:i/>
                <w:color w:val="3D3E3E"/>
                <w:sz w:val="16"/>
              </w:rPr>
              <w:t>falls</w:t>
            </w:r>
            <w:r>
              <w:rPr>
                <w:rFonts w:ascii="Public Sans" w:hAnsi="Public Sans"/>
                <w:b w:val="0"/>
                <w:i w:val="0"/>
                <w:color w:val="3D3E3E"/>
                <w:sz w:val="16"/>
              </w:rPr>
              <w:t>, so static 4.35% is passively tightening; first cut Aug-2027, risks skewed to a hike</w:t>
            </w:r>
          </w:p>
        </w:tc>
        <w:tc>
          <w:tcPr>
            <w:tcW w:type="dxa" w:w="2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Opposite mechanism to Nomura — argues </w:t>
            </w:r>
            <w:r>
              <w:rPr>
                <w:rFonts w:ascii="Public Sans" w:hAnsi="Public Sans"/>
                <w:b w:val="0"/>
                <w:i/>
                <w:color w:val="3D3E3E"/>
                <w:sz w:val="16"/>
              </w:rPr>
              <w:t>cyclical</w:t>
            </w:r>
            <w:r>
              <w:rPr>
                <w:rFonts w:ascii="Public Sans" w:hAnsi="Public Sans"/>
                <w:b w:val="0"/>
                <w:i w:val="0"/>
                <w:color w:val="3D3E3E"/>
                <w:sz w:val="16"/>
              </w:rPr>
              <w:t xml:space="preserve"> neutral is dropping, not that long-run neutral rose</w:t>
            </w:r>
          </w:p>
        </w:tc>
        <w:tc>
          <w:tcPr>
            <w:tcW w:type="dxa" w:w="2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Transmission via yields/housing credit does the tightening the RBA won't</w:t>
            </w:r>
          </w:p>
        </w:tc>
        <w:tc>
          <w:tcPr>
            <w:tcW w:type="dxa" w:w="24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Neutral re-rises / demand re-accelerates → stance becomes easy again</w:t>
            </w:r>
          </w:p>
        </w:tc>
      </w:tr>
      <w:tr>
        <w:tc>
          <w:tcPr>
            <w:tcW w:type="dxa" w:w="6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Nomura (14304)</w:t>
            </w:r>
          </w:p>
        </w:tc>
        <w:tc>
          <w:tcPr>
            <w:tcW w:type="dxa" w:w="3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rates</w:t>
            </w:r>
          </w:p>
        </w:tc>
        <w:tc>
          <w:tcPr>
            <w:tcW w:type="dxa" w:w="24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Minutes flag a </w:t>
            </w:r>
            <w:r>
              <w:rPr>
                <w:rFonts w:ascii="Public Sans" w:hAnsi="Public Sans"/>
                <w:b/>
                <w:i w:val="0"/>
                <w:color w:val="3D3E3E"/>
                <w:sz w:val="16"/>
              </w:rPr>
              <w:t>higher long-run neutral</w:t>
            </w:r>
            <w:r>
              <w:rPr>
                <w:rFonts w:ascii="Public Sans" w:hAnsi="Public Sans"/>
                <w:b w:val="0"/>
                <w:i w:val="0"/>
                <w:color w:val="3D3E3E"/>
                <w:sz w:val="16"/>
              </w:rPr>
              <w:t xml:space="preserve">, but </w:t>
            </w:r>
            <w:r>
              <w:rPr>
                <w:rFonts w:ascii="Public Sans" w:hAnsi="Public Sans"/>
                <w:b/>
                <w:i w:val="0"/>
                <w:color w:val="3D3E3E"/>
                <w:sz w:val="16"/>
              </w:rPr>
              <w:t>no hike</w:t>
            </w:r>
            <w:r>
              <w:rPr>
                <w:rFonts w:ascii="Public Sans" w:hAnsi="Public Sans"/>
                <w:b w:val="0"/>
                <w:i w:val="0"/>
                <w:color w:val="3D3E3E"/>
                <w:sz w:val="16"/>
              </w:rPr>
              <w:t xml:space="preserve"> — profile unaltered at 4.35% into end-2026</w:t>
            </w:r>
          </w:p>
        </w:tc>
        <w:tc>
          <w:tcPr>
            <w:tcW w:type="dxa" w:w="24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Reads the hawkish nuance yet explicitly holds its call; board "did not consider" a hike</w:t>
            </w:r>
          </w:p>
        </w:tc>
        <w:tc>
          <w:tcPr>
            <w:tcW w:type="dxa" w:w="24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neutral-rate note is about policy tightness, not a signal to move</w:t>
            </w:r>
          </w:p>
        </w:tc>
        <w:tc>
          <w:tcPr>
            <w:tcW w:type="dxa" w:w="24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Board actually contemplates a hike at a coming meeting</w:t>
            </w:r>
          </w:p>
        </w:tc>
      </w:tr>
    </w:tbl>
    <w:p>
      <w:pPr>
        <w:spacing w:after="80" w:line="283" w:lineRule="auto"/>
      </w:pPr>
      <w:r>
        <w:rPr>
          <w:rFonts w:ascii="Public Sans" w:hAnsi="Public Sans"/>
          <w:b w:val="0"/>
          <w:i/>
          <w:color w:val="3D3E3E"/>
          <w:sz w:val="19"/>
        </w:rPr>
        <w:t>Trade row expanded:</w:t>
      </w:r>
      <w:r>
        <w:rPr>
          <w:rFonts w:ascii="Public Sans" w:hAnsi="Public Sans"/>
          <w:b w:val="0"/>
          <w:i w:val="0"/>
          <w:color w:val="3D3E3E"/>
          <w:sz w:val="19"/>
        </w:rPr>
        <w:t xml:space="preserve"> #5 (antipodean higher-for-longer / hike-risk bias; assumption = sticky services inflation keeps the stance restrictive; falsifier = labour-market cracks that re-price a cut). Provenance Nomura/BofA/Westpac. Surfaced, not judged — note the two provenance houses actually reason from opposite neutral-rate mechanisms.</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New Zealand — RBNZ Jul-8: a live hike-vs-hold split</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0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5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3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7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6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5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RBNZ Jul-8 MPR</w:t>
            </w:r>
            <w:r>
              <w:rPr>
                <w:rFonts w:ascii="Public Sans" w:hAnsi="Public Sans"/>
                <w:b w:val="0"/>
                <w:i w:val="0"/>
                <w:color w:val="3D3E3E"/>
                <w:sz w:val="16"/>
              </w:rPr>
              <w:t xml:space="preserve"> — hike now or hold to September</w:t>
            </w:r>
          </w:p>
        </w:tc>
        <w:tc>
          <w:tcPr>
            <w:tcW w:type="dxa" w:w="13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NZD rates, NZD, NZGB</w:t>
            </w:r>
          </w:p>
        </w:tc>
        <w:tc>
          <w:tcPr>
            <w:tcW w:type="dxa" w:w="17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(hike), Westpac (hold)</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Binary, imminent, and the two lead local houses </w:t>
            </w:r>
            <w:r>
              <w:rPr>
                <w:rFonts w:ascii="Public Sans" w:hAnsi="Public Sans"/>
                <w:b w:val="0"/>
                <w:i/>
                <w:color w:val="3D3E3E"/>
                <w:sz w:val="16"/>
              </w:rPr>
              <w:t>disagree on the meeting</w:t>
            </w:r>
          </w:p>
        </w:tc>
      </w:tr>
      <w:tr>
        <w:tc>
          <w:tcPr>
            <w:tcW w:type="dxa" w:w="4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5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RBNZ has a </w:t>
            </w:r>
            <w:r>
              <w:rPr>
                <w:rFonts w:ascii="Public Sans" w:hAnsi="Public Sans"/>
                <w:b/>
                <w:i w:val="0"/>
                <w:color w:val="3D3E3E"/>
                <w:sz w:val="16"/>
              </w:rPr>
              <w:t>pre-committed hike path</w:t>
            </w:r>
            <w:r>
              <w:rPr>
                <w:rFonts w:ascii="Public Sans" w:hAnsi="Public Sans"/>
                <w:b w:val="0"/>
                <w:i w:val="0"/>
                <w:color w:val="3D3E3E"/>
                <w:sz w:val="16"/>
              </w:rPr>
              <w:t xml:space="preserve"> (its own forecast)</w:t>
            </w:r>
          </w:p>
        </w:tc>
        <w:tc>
          <w:tcPr>
            <w:tcW w:type="dxa" w:w="13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NZD rates</w:t>
            </w:r>
          </w:p>
        </w:tc>
        <w:tc>
          <w:tcPr>
            <w:tcW w:type="dxa" w:w="17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Westpac</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question is timing, not direction — a hike is coming, when is the trade</w:t>
            </w:r>
          </w:p>
        </w:tc>
      </w:tr>
      <w:tr>
        <w:tc>
          <w:tcPr>
            <w:tcW w:type="dxa" w:w="4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5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Oil-shock persistence</w:t>
            </w:r>
            <w:r>
              <w:rPr>
                <w:rFonts w:ascii="Public Sans" w:hAnsi="Public Sans"/>
                <w:b w:val="0"/>
                <w:i w:val="0"/>
                <w:color w:val="3D3E3E"/>
                <w:sz w:val="16"/>
              </w:rPr>
              <w:t xml:space="preserve"> as the swing factor</w:t>
            </w:r>
          </w:p>
        </w:tc>
        <w:tc>
          <w:tcPr>
            <w:tcW w:type="dxa" w:w="13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NZD rates, BE</w:t>
            </w:r>
          </w:p>
        </w:tc>
        <w:tc>
          <w:tcPr>
            <w:tcW w:type="dxa" w:w="17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Westpac</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Governor's May off-ramp was explicitly oil/growth-conditional</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OCR </w:t>
      </w:r>
      <w:r>
        <w:rPr>
          <w:rFonts w:ascii="Public Sans" w:hAnsi="Public Sans"/>
          <w:b/>
          <w:i w:val="0"/>
          <w:color w:val="3D3E3E"/>
          <w:sz w:val="19"/>
        </w:rPr>
        <w:t>2.25%</w:t>
      </w:r>
      <w:r>
        <w:rPr>
          <w:rFonts w:ascii="Public Sans" w:hAnsi="Public Sans"/>
          <w:b w:val="0"/>
          <w:i w:val="0"/>
          <w:color w:val="3D3E3E"/>
          <w:sz w:val="19"/>
        </w:rPr>
        <w:t xml:space="preserve">; the </w:t>
      </w:r>
      <w:r>
        <w:rPr>
          <w:rFonts w:ascii="Public Sans" w:hAnsi="Public Sans"/>
          <w:b/>
          <w:i w:val="0"/>
          <w:color w:val="3D3E3E"/>
          <w:sz w:val="19"/>
        </w:rPr>
        <w:t>RBNZ Monetary Policy Review is 2026-07-08</w:t>
      </w:r>
      <w:r>
        <w:rPr>
          <w:rFonts w:ascii="Public Sans" w:hAnsi="Public Sans"/>
          <w:b w:val="0"/>
          <w:i w:val="0"/>
          <w:color w:val="3D3E3E"/>
          <w:sz w:val="19"/>
        </w:rPr>
        <w:t xml:space="preserve"> (FACT, forward) — the region's key near-term event. Read in full, the two lead NZ houses land on </w:t>
      </w:r>
      <w:r>
        <w:rPr>
          <w:rFonts w:ascii="Public Sans" w:hAnsi="Public Sans"/>
          <w:b w:val="0"/>
          <w:i/>
          <w:color w:val="3D3E3E"/>
          <w:sz w:val="19"/>
        </w:rPr>
        <w:t>opposite calls for the meeting itself</w:t>
      </w:r>
      <w:r>
        <w:rPr>
          <w:rFonts w:ascii="Public Sans" w:hAnsi="Public Sans"/>
          <w:b w:val="0"/>
          <w:i w:val="0"/>
          <w:color w:val="3D3E3E"/>
          <w:sz w:val="19"/>
        </w:rPr>
        <w:t xml:space="preserve">, which is the highest-value content here and corrects a softer "restart of tightening" framing. </w:t>
      </w:r>
      <w:r>
        <w:rPr>
          <w:rFonts w:ascii="Public Sans" w:hAnsi="Public Sans"/>
          <w:b/>
          <w:i w:val="0"/>
          <w:color w:val="3D3E3E"/>
          <w:sz w:val="19"/>
        </w:rPr>
        <w:t>ANZ (14581)</w:t>
      </w:r>
      <w:r>
        <w:rPr>
          <w:rFonts w:ascii="Public Sans" w:hAnsi="Public Sans"/>
          <w:b w:val="0"/>
          <w:i w:val="0"/>
          <w:color w:val="3D3E3E"/>
          <w:sz w:val="19"/>
        </w:rPr>
        <w:t xml:space="preserve"> expects the RBNZ to </w:t>
      </w:r>
      <w:r>
        <w:rPr>
          <w:rFonts w:ascii="Public Sans" w:hAnsi="Public Sans"/>
          <w:b/>
          <w:i w:val="0"/>
          <w:color w:val="3D3E3E"/>
          <w:sz w:val="19"/>
        </w:rPr>
        <w:t>raise the OCR 25bp to 2.50% at Jul-8</w:t>
      </w:r>
      <w:r>
        <w:rPr>
          <w:rFonts w:ascii="Public Sans" w:hAnsi="Public Sans"/>
          <w:b w:val="0"/>
          <w:i w:val="0"/>
          <w:color w:val="3D3E3E"/>
          <w:sz w:val="19"/>
        </w:rPr>
        <w:t xml:space="preserve"> — its preview is literally "let's get started." ANZ's reasoning: the Committee "was already planning on lifting the OCR" per the May MPS, it sees the risks tilted toward neutral being higher, and it flags core/wage-growth pressure that pre-dated the Middle East conflict and an oil-shock component "assumed to be fairly persistent and worth maybe +30bp on the TWI." ANZ even sketches a "hawkish hike" scenario. So ANZ reads a Committee that has telegraphed the move and has the inflation cover to deliver it now.</w:t>
      </w:r>
    </w:p>
    <w:p>
      <w:pPr>
        <w:spacing w:after="80" w:line="283" w:lineRule="auto"/>
      </w:pPr>
      <w:r>
        <w:rPr>
          <w:rFonts w:ascii="Public Sans" w:hAnsi="Public Sans"/>
          <w:b/>
          <w:i w:val="0"/>
          <w:color w:val="3D3E3E"/>
          <w:sz w:val="19"/>
        </w:rPr>
        <w:t>Westpac (14368)</w:t>
      </w:r>
      <w:r>
        <w:rPr>
          <w:rFonts w:ascii="Public Sans" w:hAnsi="Public Sans"/>
          <w:b w:val="0"/>
          <w:i w:val="0"/>
          <w:color w:val="3D3E3E"/>
          <w:sz w:val="19"/>
        </w:rPr>
        <w:t xml:space="preserve"> reads the </w:t>
      </w:r>
      <w:r>
        <w:rPr>
          <w:rFonts w:ascii="Public Sans" w:hAnsi="Public Sans"/>
          <w:b w:val="0"/>
          <w:i/>
          <w:color w:val="3D3E3E"/>
          <w:sz w:val="19"/>
        </w:rPr>
        <w:t>same</w:t>
      </w:r>
      <w:r>
        <w:rPr>
          <w:rFonts w:ascii="Public Sans" w:hAnsi="Public Sans"/>
          <w:b w:val="0"/>
          <w:i w:val="0"/>
          <w:color w:val="3D3E3E"/>
          <w:sz w:val="19"/>
        </w:rPr>
        <w:t xml:space="preserve"> Governor and expects the OCR to </w:t>
      </w:r>
      <w:r>
        <w:rPr>
          <w:rFonts w:ascii="Public Sans" w:hAnsi="Public Sans"/>
          <w:b/>
          <w:i w:val="0"/>
          <w:color w:val="3D3E3E"/>
          <w:sz w:val="19"/>
        </w:rPr>
        <w:t>remain at 2.25% at Jul-8</w:t>
      </w:r>
      <w:r>
        <w:rPr>
          <w:rFonts w:ascii="Public Sans" w:hAnsi="Public Sans"/>
          <w:b w:val="0"/>
          <w:i w:val="0"/>
          <w:color w:val="3D3E3E"/>
          <w:sz w:val="19"/>
        </w:rPr>
        <w:t xml:space="preserve">, with lift-off brought forward to </w:t>
      </w:r>
      <w:r>
        <w:rPr>
          <w:rFonts w:ascii="Public Sans" w:hAnsi="Public Sans"/>
          <w:b/>
          <w:i w:val="0"/>
          <w:color w:val="3D3E3E"/>
          <w:sz w:val="19"/>
        </w:rPr>
        <w:t>September</w:t>
      </w:r>
      <w:r>
        <w:rPr>
          <w:rFonts w:ascii="Public Sans" w:hAnsi="Public Sans"/>
          <w:b w:val="0"/>
          <w:i w:val="0"/>
          <w:color w:val="3D3E3E"/>
          <w:sz w:val="19"/>
        </w:rPr>
        <w:t xml:space="preserve"> rather than July. Its reasoning: the May press release was "more conditional," the Governor explicitly said "if we see oil prices falling really much more than expected… then we may not hike," the relatively quick resolution of Iran tensions removes some urgency, and the MPC will "want to review the key data" before committing — Jul-8 is only an MPR, not a full Statement, which Westpac reads as a natural spot to wait. So the split is genuinely on </w:t>
      </w:r>
      <w:r>
        <w:rPr>
          <w:rFonts w:ascii="Public Sans" w:hAnsi="Public Sans"/>
          <w:b w:val="0"/>
          <w:i/>
          <w:color w:val="3D3E3E"/>
          <w:sz w:val="19"/>
        </w:rPr>
        <w:t>timing and the Governor's conditionality</w:t>
      </w:r>
      <w:r>
        <w:rPr>
          <w:rFonts w:ascii="Public Sans" w:hAnsi="Public Sans"/>
          <w:b w:val="0"/>
          <w:i w:val="0"/>
          <w:color w:val="3D3E3E"/>
          <w:sz w:val="19"/>
        </w:rPr>
        <w:t>, not on direction — both expect hikes, ANZ says now, Westpac says September.</w:t>
      </w:r>
    </w:p>
    <w:p>
      <w:pPr>
        <w:spacing w:after="80" w:line="283" w:lineRule="auto"/>
      </w:pPr>
      <w:r>
        <w:rPr>
          <w:rFonts w:ascii="Public Sans" w:hAnsi="Public Sans"/>
          <w:b w:val="0"/>
          <w:i w:val="0"/>
          <w:color w:val="3D3E3E"/>
          <w:sz w:val="19"/>
        </w:rPr>
        <w:t xml:space="preserve">The pricing sits between them but nearer ANZ: ANZ's own What's-Priced-In (14510/14171, PRICING) shows the market carrying </w:t>
      </w:r>
      <w:r>
        <w:rPr>
          <w:rFonts w:ascii="Public Sans" w:hAnsi="Public Sans"/>
          <w:b/>
          <w:i w:val="0"/>
          <w:color w:val="3D3E3E"/>
          <w:sz w:val="19"/>
        </w:rPr>
        <w:t>~+17-19bp into Jul-8</w:t>
      </w:r>
      <w:r>
        <w:rPr>
          <w:rFonts w:ascii="Public Sans" w:hAnsi="Public Sans"/>
          <w:b w:val="0"/>
          <w:i w:val="0"/>
          <w:color w:val="3D3E3E"/>
          <w:sz w:val="19"/>
        </w:rPr>
        <w:t xml:space="preserve"> and a curve rising to </w:t>
      </w:r>
      <w:r>
        <w:rPr>
          <w:rFonts w:ascii="Public Sans" w:hAnsi="Public Sans"/>
          <w:b/>
          <w:i w:val="0"/>
          <w:color w:val="3D3E3E"/>
          <w:sz w:val="19"/>
        </w:rPr>
        <w:t>~2.83 by December</w:t>
      </w:r>
      <w:r>
        <w:rPr>
          <w:rFonts w:ascii="Public Sans" w:hAnsi="Public Sans"/>
          <w:b w:val="0"/>
          <w:i w:val="0"/>
          <w:color w:val="3D3E3E"/>
          <w:sz w:val="19"/>
        </w:rPr>
        <w:t xml:space="preserve"> — a genuine hiking path. Note the cb_events forecast field still tags Jul-8 as a </w:t>
      </w:r>
      <w:r>
        <w:rPr>
          <w:rFonts w:ascii="Public Sans" w:hAnsi="Public Sans"/>
          <w:b w:val="0"/>
          <w:i/>
          <w:color w:val="3D3E3E"/>
          <w:sz w:val="19"/>
        </w:rPr>
        <w:t>hold at 2.25%</w:t>
      </w:r>
      <w:r>
        <w:rPr>
          <w:rFonts w:ascii="Public Sans" w:hAnsi="Public Sans"/>
          <w:b w:val="0"/>
          <w:i w:val="0"/>
          <w:color w:val="3D3E3E"/>
          <w:sz w:val="19"/>
        </w:rPr>
        <w:t>, so there are effectively three readings on the table.</w:t>
      </w:r>
    </w:p>
    <w:p>
      <w:pPr>
        <w:spacing w:after="80" w:line="283" w:lineRule="auto"/>
      </w:pPr>
      <w:r>
        <w:rPr>
          <w:rFonts w:ascii="Public Sans" w:hAnsi="Public Sans"/>
          <w:b w:val="0"/>
          <w:i w:val="0"/>
          <w:color w:val="3D3E3E"/>
          <w:sz w:val="19"/>
        </w:rPr>
        <w:t>Supporting data: business confidence firmed (ANZ NZ Business Outlook "brightening," 14237; Westpac first-impressions 14262). NZGB tender previews (ANZ 14580/14602) are supply housekeeping.</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1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60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2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77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77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21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RBNZ is on a hiking path (direction agreed)</w:t>
            </w:r>
          </w:p>
        </w:tc>
        <w:tc>
          <w:tcPr>
            <w:tcW w:type="dxa" w:w="60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Westpac</w:t>
            </w:r>
          </w:p>
        </w:tc>
        <w:tc>
          <w:tcPr>
            <w:tcW w:type="dxa" w:w="232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OCR is going up; the only question is when</w:t>
            </w:r>
          </w:p>
        </w:tc>
        <w:tc>
          <w:tcPr>
            <w:tcW w:type="dxa" w:w="27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May MPS forward guidance; oil-shock persistence; firming confidence (14237/14262)</w:t>
            </w:r>
          </w:p>
        </w:tc>
        <w:tc>
          <w:tcPr>
            <w:tcW w:type="dxa" w:w="27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They do </w:t>
            </w:r>
            <w:r>
              <w:rPr>
                <w:rFonts w:ascii="Public Sans" w:hAnsi="Public Sans"/>
                <w:b/>
                <w:i w:val="0"/>
                <w:color w:val="3D3E3E"/>
                <w:sz w:val="16"/>
              </w:rPr>
              <w:t>not</w:t>
            </w:r>
            <w:r>
              <w:rPr>
                <w:rFonts w:ascii="Public Sans" w:hAnsi="Public Sans"/>
                <w:b w:val="0"/>
                <w:i w:val="0"/>
                <w:color w:val="3D3E3E"/>
                <w:sz w:val="16"/>
              </w:rPr>
              <w:t xml:space="preserve"> agree on the Jul-8 meeting itself — direction-consensus masks a timing split (see D)</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65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61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18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0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0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0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65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 (14581)</w:t>
            </w:r>
          </w:p>
        </w:tc>
        <w:tc>
          <w:tcPr>
            <w:tcW w:type="dxa" w:w="6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NZD rates, NZD</w:t>
            </w:r>
          </w:p>
        </w:tc>
        <w:tc>
          <w:tcPr>
            <w:tcW w:type="dxa" w:w="21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Hike +25bp to 2.50% at Jul-8</w:t>
            </w:r>
            <w:r>
              <w:rPr>
                <w:rFonts w:ascii="Public Sans" w:hAnsi="Public Sans"/>
                <w:b w:val="0"/>
                <w:i w:val="0"/>
                <w:color w:val="3D3E3E"/>
                <w:sz w:val="16"/>
              </w:rPr>
              <w:t xml:space="preserve"> ("let's get started")</w:t>
            </w:r>
          </w:p>
        </w:tc>
        <w:tc>
          <w:tcPr>
            <w:tcW w:type="dxa" w:w="24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Calls the hike </w:t>
            </w:r>
            <w:r>
              <w:rPr>
                <w:rFonts w:ascii="Public Sans" w:hAnsi="Public Sans"/>
                <w:b w:val="0"/>
                <w:i/>
                <w:color w:val="3D3E3E"/>
                <w:sz w:val="16"/>
              </w:rPr>
              <w:t>now</w:t>
            </w:r>
            <w:r>
              <w:rPr>
                <w:rFonts w:ascii="Public Sans" w:hAnsi="Public Sans"/>
                <w:b w:val="0"/>
                <w:i w:val="0"/>
                <w:color w:val="3D3E3E"/>
                <w:sz w:val="16"/>
              </w:rPr>
              <w:t>, at an MPR, ahead of the market</w:t>
            </w:r>
          </w:p>
        </w:tc>
        <w:tc>
          <w:tcPr>
            <w:tcW w:type="dxa" w:w="24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Committee delivers the path it forecast; oil-shock adds ~+30bp on the TWI and persists</w:t>
            </w:r>
          </w:p>
        </w:tc>
        <w:tc>
          <w:tcPr>
            <w:tcW w:type="dxa" w:w="24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Growth/oil undershoot → Governor invokes his May off-ramp and holds</w:t>
            </w:r>
          </w:p>
        </w:tc>
      </w:tr>
      <w:tr>
        <w:tc>
          <w:tcPr>
            <w:tcW w:type="dxa" w:w="65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Westpac (14368)</w:t>
            </w:r>
          </w:p>
        </w:tc>
        <w:tc>
          <w:tcPr>
            <w:tcW w:type="dxa" w:w="6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NZD rates</w:t>
            </w:r>
          </w:p>
        </w:tc>
        <w:tc>
          <w:tcPr>
            <w:tcW w:type="dxa" w:w="21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Hold at 2.25% Jul-8; lift-off September</w:t>
            </w:r>
          </w:p>
        </w:tc>
        <w:tc>
          <w:tcPr>
            <w:tcW w:type="dxa" w:w="24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Reads the same Governor as more conditional; waits for data at a non-Statement meeting</w:t>
            </w:r>
          </w:p>
        </w:tc>
        <w:tc>
          <w:tcPr>
            <w:tcW w:type="dxa" w:w="24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Iran de-escalation + data-review argue for patience over an MPR</w:t>
            </w:r>
          </w:p>
        </w:tc>
        <w:tc>
          <w:tcPr>
            <w:tcW w:type="dxa" w:w="240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RBNZ hikes Jul-8 anyway → Westpac's "September" is a meeting late</w:t>
            </w:r>
          </w:p>
        </w:tc>
      </w:tr>
    </w:tbl>
    <w:p>
      <w:pPr>
        <w:spacing w:after="80" w:line="283" w:lineRule="auto"/>
      </w:pPr>
      <w:r>
        <w:rPr>
          <w:rFonts w:ascii="Public Sans" w:hAnsi="Public Sans"/>
          <w:b/>
          <w:i w:val="0"/>
          <w:color w:val="3D3E3E"/>
          <w:sz w:val="19"/>
        </w:rPr>
        <w:t>UNRECONCILED (flag):</w:t>
      </w:r>
      <w:r>
        <w:rPr>
          <w:rFonts w:ascii="Public Sans" w:hAnsi="Public Sans"/>
          <w:b w:val="0"/>
          <w:i w:val="0"/>
          <w:color w:val="3D3E3E"/>
          <w:sz w:val="19"/>
        </w:rPr>
        <w:t xml:space="preserve"> three readings of Jul-8 coexist — ANZ hike / Westpac hold / cb_events forecast hold. Shown all three; not silently resolved.</w:t>
      </w:r>
    </w:p>
    <w:p>
      <w:pPr>
        <w:spacing w:after="80" w:line="283" w:lineRule="auto"/>
      </w:pPr>
      <w:r>
        <w:rPr>
          <w:rFonts w:ascii="Public Sans" w:hAnsi="Public Sans"/>
          <w:b/>
          <w:i w:val="0"/>
          <w:color w:val="3D3E3E"/>
          <w:sz w:val="19"/>
        </w:rPr>
        <w:t>DEPTH flag:</w:t>
      </w:r>
      <w:r>
        <w:rPr>
          <w:rFonts w:ascii="Public Sans" w:hAnsi="Public Sans"/>
          <w:b w:val="0"/>
          <w:i w:val="0"/>
          <w:color w:val="3D3E3E"/>
          <w:sz w:val="19"/>
        </w:rPr>
        <w:t xml:space="preserve"> NZ fact_indicator is </w:t>
      </w:r>
      <w:r>
        <w:rPr>
          <w:rFonts w:ascii="Public Sans" w:hAnsi="Public Sans"/>
          <w:b/>
          <w:i w:val="0"/>
          <w:color w:val="3D3E3E"/>
          <w:sz w:val="19"/>
        </w:rPr>
        <w:t>thin</w:t>
      </w:r>
      <w:r>
        <w:rPr>
          <w:rFonts w:ascii="Public Sans" w:hAnsi="Public Sans"/>
          <w:b w:val="0"/>
          <w:i w:val="0"/>
          <w:color w:val="3D3E3E"/>
          <w:sz w:val="19"/>
        </w:rPr>
        <w:t xml:space="preserve"> (48 indicators, 94 obs, latest 05-31) — a sanity check, not a component deep-dive.</w:t>
      </w:r>
    </w:p>
    <w:p>
      <w:pPr>
        <w:spacing w:after="80" w:line="283" w:lineRule="auto"/>
      </w:pPr>
      <w:r>
        <w:rPr>
          <w:rFonts w:ascii="Public Sans" w:hAnsi="Public Sans"/>
          <w:b w:val="0"/>
          <w:i/>
          <w:color w:val="3D3E3E"/>
          <w:sz w:val="19"/>
        </w:rPr>
        <w:t>Trade row expanded:</w:t>
      </w:r>
      <w:r>
        <w:rPr>
          <w:rFonts w:ascii="Public Sans" w:hAnsi="Public Sans"/>
          <w:b w:val="0"/>
          <w:i w:val="0"/>
          <w:color w:val="3D3E3E"/>
          <w:sz w:val="19"/>
        </w:rPr>
        <w:t xml:space="preserve"> #6 (position for the start of an RBNZ hike cycle, timing split; assumption = RBNZ delivers its forecast path and oil-shock persistence sticks; falsifier = growth/oil undershoot lets the Governor hold). Provenance ANZ (hike Jul-8) vs Westpac (hold → Sept). Surfaced, not judged.</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Indonesia — two June hikes, rupiah defence, fuel-led CPI  *(INSTRUMENT PENDING DEEPAK)*</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83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49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9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8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BI currency-defence reaction function</w:t>
            </w:r>
            <w:r>
              <w:rPr>
                <w:rFonts w:ascii="Public Sans" w:hAnsi="Public Sans"/>
                <w:b w:val="0"/>
                <w:i w:val="0"/>
                <w:color w:val="3D3E3E"/>
                <w:sz w:val="16"/>
              </w:rPr>
              <w:t xml:space="preserve"> (two June hikes)</w:t>
            </w:r>
          </w:p>
        </w:tc>
        <w:tc>
          <w:tcPr>
            <w:tcW w:type="dxa" w:w="9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IDR rates</w:t>
            </w:r>
          </w:p>
        </w:tc>
        <w:tc>
          <w:tcPr>
            <w:tcW w:type="dxa" w:w="14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SocGen, JPM (context)</w:t>
            </w:r>
          </w:p>
        </w:tc>
        <w:tc>
          <w:tcPr>
            <w:tcW w:type="dxa" w:w="39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Policy is now hostage to the rupiah, not the growth cycle</w:t>
            </w:r>
          </w:p>
        </w:tc>
      </w:tr>
      <w:tr>
        <w:tc>
          <w:tcPr>
            <w:tcW w:type="dxa" w:w="42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83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Rupiah under pressure</w:t>
            </w:r>
            <w:r>
              <w:rPr>
                <w:rFonts w:ascii="Public Sans" w:hAnsi="Public Sans"/>
                <w:b w:val="0"/>
                <w:i w:val="0"/>
                <w:color w:val="3D3E3E"/>
                <w:sz w:val="16"/>
              </w:rPr>
              <w:t>, spot defended at 18000</w:t>
            </w:r>
          </w:p>
        </w:tc>
        <w:tc>
          <w:tcPr>
            <w:tcW w:type="dxa" w:w="9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IDR spot/NDF</w:t>
            </w:r>
          </w:p>
        </w:tc>
        <w:tc>
          <w:tcPr>
            <w:tcW w:type="dxa" w:w="149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SocGen</w:t>
            </w:r>
          </w:p>
        </w:tc>
        <w:tc>
          <w:tcPr>
            <w:tcW w:type="dxa" w:w="39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defence level is explicit; break risk is the trade</w:t>
            </w:r>
          </w:p>
        </w:tc>
      </w:tr>
      <w:tr>
        <w:tc>
          <w:tcPr>
            <w:tcW w:type="dxa" w:w="4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83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Fuel-led CPI uptick</w:t>
            </w:r>
            <w:r>
              <w:rPr>
                <w:rFonts w:ascii="Public Sans" w:hAnsi="Public Sans"/>
                <w:b w:val="0"/>
                <w:i w:val="0"/>
                <w:color w:val="3D3E3E"/>
                <w:sz w:val="16"/>
              </w:rPr>
              <w:t xml:space="preserve"> (supply-side)</w:t>
            </w:r>
          </w:p>
        </w:tc>
        <w:tc>
          <w:tcPr>
            <w:tcW w:type="dxa" w:w="9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rates, BE</w:t>
            </w:r>
          </w:p>
        </w:tc>
        <w:tc>
          <w:tcPr>
            <w:tcW w:type="dxa" w:w="149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Goldman</w:t>
            </w:r>
          </w:p>
        </w:tc>
        <w:tc>
          <w:tcPr>
            <w:tcW w:type="dxa" w:w="39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Complicates the trade-off: cost-push inflation into a currency defence</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BI </w:t>
      </w:r>
      <w:r>
        <w:rPr>
          <w:rFonts w:ascii="Public Sans" w:hAnsi="Public Sans"/>
          <w:b/>
          <w:i w:val="0"/>
          <w:color w:val="3D3E3E"/>
          <w:sz w:val="19"/>
        </w:rPr>
        <w:t>hiked twice in June</w:t>
      </w:r>
      <w:r>
        <w:rPr>
          <w:rFonts w:ascii="Public Sans" w:hAnsi="Public Sans"/>
          <w:b w:val="0"/>
          <w:i w:val="0"/>
          <w:color w:val="3D3E3E"/>
          <w:sz w:val="19"/>
        </w:rPr>
        <w:t xml:space="preserve"> — to 5.50% (06-09) then </w:t>
      </w:r>
      <w:r>
        <w:rPr>
          <w:rFonts w:ascii="Public Sans" w:hAnsi="Public Sans"/>
          <w:b/>
          <w:i w:val="0"/>
          <w:color w:val="3D3E3E"/>
          <w:sz w:val="19"/>
        </w:rPr>
        <w:t>5.75% (06-18)</w:t>
      </w:r>
      <w:r>
        <w:rPr>
          <w:rFonts w:ascii="Public Sans" w:hAnsi="Public Sans"/>
          <w:b w:val="0"/>
          <w:i w:val="0"/>
          <w:color w:val="3D3E3E"/>
          <w:sz w:val="19"/>
        </w:rPr>
        <w:t xml:space="preserve"> (FACT). The reasoning across the flow is that this is a </w:t>
      </w:r>
      <w:r>
        <w:rPr>
          <w:rFonts w:ascii="Public Sans" w:hAnsi="Public Sans"/>
          <w:b/>
          <w:i w:val="0"/>
          <w:color w:val="3D3E3E"/>
          <w:sz w:val="19"/>
        </w:rPr>
        <w:t>currency-defence reaction function</w:t>
      </w:r>
      <w:r>
        <w:rPr>
          <w:rFonts w:ascii="Public Sans" w:hAnsi="Public Sans"/>
          <w:b w:val="0"/>
          <w:i w:val="0"/>
          <w:color w:val="3D3E3E"/>
          <w:sz w:val="19"/>
        </w:rPr>
        <w:t xml:space="preserve">, not a growth-driven one. SocGen's Asia Pulse (14361), read in full, describes the </w:t>
      </w:r>
      <w:r>
        <w:rPr>
          <w:rFonts w:ascii="Public Sans" w:hAnsi="Public Sans"/>
          <w:b/>
          <w:i w:val="0"/>
          <w:color w:val="3D3E3E"/>
          <w:sz w:val="19"/>
        </w:rPr>
        <w:t>rupiah selloff with onshore USD/IDR spot "capped at 18000"</w:t>
      </w:r>
      <w:r>
        <w:rPr>
          <w:rFonts w:ascii="Public Sans" w:hAnsi="Public Sans"/>
          <w:b w:val="0"/>
          <w:i w:val="0"/>
          <w:color w:val="3D3E3E"/>
          <w:sz w:val="19"/>
        </w:rPr>
        <w:t xml:space="preserve"> for now, suspected smoothing in the NDF space (averaging ~100mio daily last week vs ~300mio the prior week), and the JCI down ~2.5% intraday — i.e. BI is leaning against depreciation with both rates and intervention, and the market is watching the 18000 line as the defence level. That makes IDR the variable driving policy.</w:t>
      </w:r>
    </w:p>
    <w:p>
      <w:pPr>
        <w:spacing w:after="80" w:line="283" w:lineRule="auto"/>
      </w:pPr>
      <w:r>
        <w:rPr>
          <w:rFonts w:ascii="Public Sans" w:hAnsi="Public Sans"/>
          <w:b w:val="0"/>
          <w:i w:val="0"/>
          <w:color w:val="3D3E3E"/>
          <w:sz w:val="19"/>
        </w:rPr>
        <w:t xml:space="preserve">The complication is inflation </w:t>
      </w:r>
      <w:r>
        <w:rPr>
          <w:rFonts w:ascii="Public Sans" w:hAnsi="Public Sans"/>
          <w:b w:val="0"/>
          <w:i/>
          <w:color w:val="3D3E3E"/>
          <w:sz w:val="19"/>
        </w:rPr>
        <w:t>mix</w:t>
      </w:r>
      <w:r>
        <w:rPr>
          <w:rFonts w:ascii="Public Sans" w:hAnsi="Public Sans"/>
          <w:b w:val="0"/>
          <w:i w:val="0"/>
          <w:color w:val="3D3E3E"/>
          <w:sz w:val="19"/>
        </w:rPr>
        <w:t xml:space="preserve">. The </w:t>
      </w:r>
      <w:r>
        <w:rPr>
          <w:rFonts w:ascii="Public Sans" w:hAnsi="Public Sans"/>
          <w:b/>
          <w:i w:val="0"/>
          <w:color w:val="3D3E3E"/>
          <w:sz w:val="19"/>
        </w:rPr>
        <w:t>Jul-1 CPI</w:t>
      </w:r>
      <w:r>
        <w:rPr>
          <w:rFonts w:ascii="Public Sans" w:hAnsi="Public Sans"/>
          <w:b w:val="0"/>
          <w:i w:val="0"/>
          <w:color w:val="3D3E3E"/>
          <w:sz w:val="19"/>
        </w:rPr>
        <w:t xml:space="preserve"> (consensus 3.1% YoY, BQL 3.2; prior 3.08%; core prior 2.59% — FACT/PRICING) matters because Goldman (14633), read in full, attributes the June uptick to </w:t>
      </w:r>
      <w:r>
        <w:rPr>
          <w:rFonts w:ascii="Public Sans" w:hAnsi="Public Sans"/>
          <w:b/>
          <w:i w:val="0"/>
          <w:color w:val="3D3E3E"/>
          <w:sz w:val="19"/>
        </w:rPr>
        <w:t>higher unsubsidised fuel prices</w:t>
      </w:r>
      <w:r>
        <w:rPr>
          <w:rFonts w:ascii="Public Sans" w:hAnsi="Public Sans"/>
          <w:b w:val="0"/>
          <w:i w:val="0"/>
          <w:color w:val="3D3E3E"/>
          <w:sz w:val="19"/>
        </w:rPr>
        <w:t xml:space="preserve">, with the monthly index +0.4% mom NSA (from +0.3% in May) driven by transport and food &amp; beverage. That is a </w:t>
      </w:r>
      <w:r>
        <w:rPr>
          <w:rFonts w:ascii="Public Sans" w:hAnsi="Public Sans"/>
          <w:b w:val="0"/>
          <w:i/>
          <w:color w:val="3D3E3E"/>
          <w:sz w:val="19"/>
        </w:rPr>
        <w:t>supply-side, cost-push</w:t>
      </w:r>
      <w:r>
        <w:rPr>
          <w:rFonts w:ascii="Public Sans" w:hAnsi="Public Sans"/>
          <w:b w:val="0"/>
          <w:i w:val="0"/>
          <w:color w:val="3D3E3E"/>
          <w:sz w:val="19"/>
        </w:rPr>
        <w:t xml:space="preserve"> impulse — the awkward kind for a central bank already tightening to defend the currency, because hiking into cost-push inflation risks squeezing growth without addressing the source. JPM's Indonesia piece (14459) is equity-angled but usefully notes conditions with "policy rates / </w:t>
      </w:r>
      <w:r>
        <w:rPr>
          <w:rFonts w:ascii="Public Sans" w:hAnsi="Public Sans"/>
          <w:b/>
          <w:i w:val="0"/>
          <w:color w:val="3D3E3E"/>
          <w:sz w:val="19"/>
        </w:rPr>
        <w:t>SRBI yields at high levels</w:t>
      </w:r>
      <w:r>
        <w:rPr>
          <w:rFonts w:ascii="Public Sans" w:hAnsi="Public Sans"/>
          <w:b w:val="0"/>
          <w:i w:val="0"/>
          <w:color w:val="3D3E3E"/>
          <w:sz w:val="19"/>
        </w:rPr>
        <w:t>" and points to the 2027 draft budget (August) as the next catalyst — I cite that only as an observed condition, not as a Spider instrument call.</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3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12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9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9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3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BI policy is currency-led</w:t>
            </w:r>
          </w:p>
        </w:tc>
        <w:tc>
          <w:tcPr>
            <w:tcW w:type="dxa" w:w="11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SocGen, JPM (context)</w:t>
            </w:r>
          </w:p>
        </w:tc>
        <w:tc>
          <w:tcPr>
            <w:tcW w:type="dxa" w:w="23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 intervention deployed to defend IDR</w:t>
            </w:r>
          </w:p>
        </w:tc>
        <w:tc>
          <w:tcPr>
            <w:tcW w:type="dxa" w:w="29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Spot defended ~18000, NDF smoothing (14361); SRBI yields "high" (14459)</w:t>
            </w:r>
          </w:p>
        </w:tc>
        <w:tc>
          <w:tcPr>
            <w:tcW w:type="dxa" w:w="29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Only two independent houses in-window on ID — thin corroboration; treat as low-n</w:t>
            </w:r>
          </w:p>
        </w:tc>
      </w:tr>
    </w:tbl>
    <w:p>
      <w:pPr>
        <w:spacing w:after="80" w:line="283" w:lineRule="auto"/>
      </w:pPr>
      <w:r>
        <w:rPr>
          <w:rFonts w:ascii="Public Sans" w:hAnsi="Public Sans"/>
          <w:b w:val="0"/>
          <w:i/>
          <w:color w:val="3D3E3E"/>
          <w:sz w:val="19"/>
        </w:rPr>
        <w:t>(Only one genuine cross-house consensus theme cleared the ≥2-bank bar in-window; the fuel-CPI read is currently single-house Goldman — filed under D-adjacent, not C.)</w:t>
      </w:r>
    </w:p>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6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6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11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6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Goldman (14633)</w:t>
            </w:r>
          </w:p>
        </w:tc>
        <w:tc>
          <w:tcPr>
            <w:tcW w:type="dxa" w:w="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IDR rates / BE</w:t>
            </w:r>
          </w:p>
        </w:tc>
        <w:tc>
          <w:tcPr>
            <w:tcW w:type="dxa" w:w="21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June CPI uptick is </w:t>
            </w:r>
            <w:r>
              <w:rPr>
                <w:rFonts w:ascii="Public Sans" w:hAnsi="Public Sans"/>
                <w:b/>
                <w:i w:val="0"/>
                <w:color w:val="3D3E3E"/>
                <w:sz w:val="16"/>
              </w:rPr>
              <w:t>fuel/cost-push</w:t>
            </w:r>
            <w:r>
              <w:rPr>
                <w:rFonts w:ascii="Public Sans" w:hAnsi="Public Sans"/>
                <w:b w:val="0"/>
                <w:i w:val="0"/>
                <w:color w:val="3D3E3E"/>
                <w:sz w:val="16"/>
              </w:rPr>
              <w:t>, not demand</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Isolates the </w:t>
            </w:r>
            <w:r>
              <w:rPr>
                <w:rFonts w:ascii="Public Sans" w:hAnsi="Public Sans"/>
                <w:b w:val="0"/>
                <w:i/>
                <w:color w:val="3D3E3E"/>
                <w:sz w:val="16"/>
              </w:rPr>
              <w:t>source</w:t>
            </w:r>
            <w:r>
              <w:rPr>
                <w:rFonts w:ascii="Public Sans" w:hAnsi="Public Sans"/>
                <w:b w:val="0"/>
                <w:i w:val="0"/>
                <w:color w:val="3D3E3E"/>
                <w:sz w:val="16"/>
              </w:rPr>
              <w:t xml:space="preserve"> of inflation where others see only the currency</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fuel impulse is supply-side and BI's hikes don't address it</w:t>
            </w:r>
          </w:p>
        </w:tc>
        <w:tc>
          <w:tcPr>
            <w:tcW w:type="dxa" w:w="24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CPI accelerates broadly → demand-pull, validating the hikes</w:t>
            </w:r>
          </w:p>
        </w:tc>
      </w:tr>
      <w:tr>
        <w:tc>
          <w:tcPr>
            <w:tcW w:type="dxa" w:w="6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SocGen (14361)</w:t>
            </w:r>
          </w:p>
        </w:tc>
        <w:tc>
          <w:tcPr>
            <w:tcW w:type="dxa" w:w="6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IDR spot/NDF</w:t>
            </w:r>
          </w:p>
        </w:tc>
        <w:tc>
          <w:tcPr>
            <w:tcW w:type="dxa" w:w="21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18000 is the defended line</w:t>
            </w:r>
            <w:r>
              <w:rPr>
                <w:rFonts w:ascii="Public Sans" w:hAnsi="Public Sans"/>
                <w:b w:val="0"/>
                <w:i w:val="0"/>
                <w:color w:val="3D3E3E"/>
                <w:sz w:val="16"/>
              </w:rPr>
              <w:t>; smoothing is slowing</w:t>
            </w:r>
          </w:p>
        </w:tc>
        <w:tc>
          <w:tcPr>
            <w:tcW w:type="dxa" w:w="24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Puts a specific level and flow-size on the defence</w:t>
            </w:r>
          </w:p>
        </w:tc>
        <w:tc>
          <w:tcPr>
            <w:tcW w:type="dxa" w:w="24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 keeps leaning until 18000; NDF flow-decay signals fatigue, not resolve</w:t>
            </w:r>
          </w:p>
        </w:tc>
        <w:tc>
          <w:tcPr>
            <w:tcW w:type="dxa" w:w="24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Clean break of 18000 with no larger intervention response</w:t>
            </w:r>
          </w:p>
        </w:tc>
      </w:tr>
    </w:tbl>
    <w:p>
      <w:pPr>
        <w:spacing w:after="80" w:line="283" w:lineRule="auto"/>
      </w:pPr>
      <w:r>
        <w:rPr>
          <w:rFonts w:ascii="Public Sans" w:hAnsi="Public Sans"/>
          <w:b/>
          <w:i w:val="0"/>
          <w:color w:val="3D3E3E"/>
          <w:sz w:val="19"/>
        </w:rPr>
        <w:t>Puzzle fit:</w:t>
      </w:r>
      <w:r>
        <w:rPr>
          <w:rFonts w:ascii="Public Sans" w:hAnsi="Public Sans"/>
          <w:b w:val="0"/>
          <w:i w:val="0"/>
          <w:color w:val="3D3E3E"/>
          <w:sz w:val="19"/>
        </w:rPr>
        <w:t xml:space="preserve"> currency + CB-reaction-function is the live axis; the fuel-led CPI is a cost-push overlay. </w:t>
      </w:r>
      <w:r>
        <w:rPr>
          <w:rFonts w:ascii="Public Sans" w:hAnsi="Public Sans"/>
          <w:b/>
          <w:i w:val="0"/>
          <w:color w:val="3D3E3E"/>
          <w:sz w:val="19"/>
        </w:rPr>
        <w:t>I deliberately name no Spider instrument</w:t>
      </w:r>
      <w:r>
        <w:rPr>
          <w:rFonts w:ascii="Public Sans" w:hAnsi="Public Sans"/>
          <w:b w:val="0"/>
          <w:i w:val="0"/>
          <w:color w:val="3D3E3E"/>
          <w:sz w:val="19"/>
        </w:rPr>
        <w:t xml:space="preserve"> (SRBI vs IDR rates vs govvies). JPM's reference to "SRBI yields at high levels" is cited as an </w:t>
      </w:r>
      <w:r>
        <w:rPr>
          <w:rFonts w:ascii="Public Sans" w:hAnsi="Public Sans"/>
          <w:b w:val="0"/>
          <w:i/>
          <w:color w:val="3D3E3E"/>
          <w:sz w:val="19"/>
        </w:rPr>
        <w:t>observed market condition only</w:t>
      </w:r>
      <w:r>
        <w:rPr>
          <w:rFonts w:ascii="Public Sans" w:hAnsi="Public Sans"/>
          <w:b w:val="0"/>
          <w:i w:val="0"/>
          <w:color w:val="3D3E3E"/>
          <w:sz w:val="19"/>
        </w:rPr>
        <w:t xml:space="preserve"> — the "use the bonds" instruction stays the open flag </w:t>
      </w:r>
      <w:r>
        <w:rPr>
          <w:rFonts w:ascii="Public Sans" w:hAnsi="Public Sans"/>
          <w:b/>
          <w:i w:val="0"/>
          <w:color w:val="3D3E3E"/>
          <w:sz w:val="19"/>
        </w:rPr>
        <w:t>PENDING DEEPAK</w:t>
      </w:r>
      <w:r>
        <w:rPr>
          <w:rFonts w:ascii="Public Sans" w:hAnsi="Public Sans"/>
          <w:b w:val="0"/>
          <w:i w:val="0"/>
          <w:color w:val="3D3E3E"/>
          <w:sz w:val="19"/>
        </w:rPr>
        <w:t>; I will not guess which instrument it means.</w:t>
      </w:r>
    </w:p>
    <w:p>
      <w:pPr>
        <w:spacing w:after="80" w:line="283" w:lineRule="auto"/>
      </w:pPr>
      <w:r>
        <w:rPr>
          <w:rFonts w:ascii="Public Sans" w:hAnsi="Public Sans"/>
          <w:b/>
          <w:i w:val="0"/>
          <w:color w:val="3D3E3E"/>
          <w:sz w:val="19"/>
        </w:rPr>
        <w:t>DEPTH:</w:t>
      </w:r>
      <w:r>
        <w:rPr>
          <w:rFonts w:ascii="Public Sans" w:hAnsi="Public Sans"/>
          <w:b w:val="0"/>
          <w:i w:val="0"/>
          <w:color w:val="3D3E3E"/>
          <w:sz w:val="19"/>
        </w:rPr>
        <w:t xml:space="preserve"> ID fact_indicator is reasonably deep (113 indicators, latest 06-26) — usable for CPI component follow-up once the print lands.</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United Kingdom — sticky inflation, hawkish dissent, a steepening gilt curve</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5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0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5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Inflation shocks steepen the gilt curve</w:t>
            </w:r>
            <w:r>
              <w:rPr>
                <w:rFonts w:ascii="Public Sans" w:hAnsi="Public Sans"/>
                <w:b w:val="0"/>
                <w:i w:val="0"/>
                <w:color w:val="3D3E3E"/>
                <w:sz w:val="16"/>
              </w:rPr>
              <w:t xml:space="preserve"> (UK most exposed)</w:t>
            </w:r>
          </w:p>
        </w:tc>
        <w:tc>
          <w:tcPr>
            <w:tcW w:type="dxa" w:w="12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Gilts, linkers, GBP</w:t>
            </w:r>
          </w:p>
        </w:tc>
        <w:tc>
          <w:tcPr>
            <w:tcW w:type="dxa" w:w="20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 (rates + equity)</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differentiated rates thread; quantified curve response</w:t>
            </w:r>
          </w:p>
        </w:tc>
      </w:tr>
      <w:tr>
        <w:tc>
          <w:tcPr>
            <w:tcW w:type="dxa" w:w="3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BoE </w:t>
            </w:r>
            <w:r>
              <w:rPr>
                <w:rFonts w:ascii="Public Sans" w:hAnsi="Public Sans"/>
                <w:b/>
                <w:i w:val="0"/>
                <w:color w:val="3D3E3E"/>
                <w:sz w:val="16"/>
              </w:rPr>
              <w:t>hawkish vote drift</w:t>
            </w:r>
            <w:r>
              <w:rPr>
                <w:rFonts w:ascii="Public Sans" w:hAnsi="Public Sans"/>
                <w:b w:val="0"/>
                <w:i w:val="0"/>
                <w:color w:val="3D3E3E"/>
                <w:sz w:val="16"/>
              </w:rPr>
              <w:t xml:space="preserve"> (2 hike dissents) + firm GDP</w:t>
            </w:r>
          </w:p>
        </w:tc>
        <w:tc>
          <w:tcPr>
            <w:tcW w:type="dxa" w:w="121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Gilts, GBP</w:t>
            </w:r>
          </w:p>
        </w:tc>
        <w:tc>
          <w:tcPr>
            <w:tcW w:type="dxa" w:w="20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BoE (FACT); speaker-heavy window</w:t>
            </w:r>
          </w:p>
        </w:tc>
        <w:tc>
          <w:tcPr>
            <w:tcW w:type="dxa" w:w="35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Vote split + growth support a higher-for-longer front end</w:t>
            </w:r>
          </w:p>
        </w:tc>
      </w:tr>
      <w:tr>
        <w:tc>
          <w:tcPr>
            <w:tcW w:type="dxa" w:w="3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UK's </w:t>
            </w:r>
            <w:r>
              <w:rPr>
                <w:rFonts w:ascii="Public Sans" w:hAnsi="Public Sans"/>
                <w:b/>
                <w:i w:val="0"/>
                <w:color w:val="3D3E3E"/>
                <w:sz w:val="16"/>
              </w:rPr>
              <w:t>high inflation-linked debt share</w:t>
            </w:r>
            <w:r>
              <w:rPr>
                <w:rFonts w:ascii="Public Sans" w:hAnsi="Public Sans"/>
                <w:b w:val="0"/>
                <w:i w:val="0"/>
                <w:color w:val="3D3E3E"/>
                <w:sz w:val="16"/>
              </w:rPr>
              <w:t xml:space="preserve"> amplifies the shock</w:t>
            </w:r>
          </w:p>
        </w:tc>
        <w:tc>
          <w:tcPr>
            <w:tcW w:type="dxa" w:w="12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Linkers, &gt;15y gilts</w:t>
            </w:r>
          </w:p>
        </w:tc>
        <w:tc>
          <w:tcPr>
            <w:tcW w:type="dxa" w:w="20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w:t>
            </w:r>
          </w:p>
        </w:tc>
        <w:tc>
          <w:tcPr>
            <w:tcW w:type="dxa" w:w="35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Structural: an inflation shock hits UK fiscal/curve harder than peers</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BoE </w:t>
      </w:r>
      <w:r>
        <w:rPr>
          <w:rFonts w:ascii="Public Sans" w:hAnsi="Public Sans"/>
          <w:b/>
          <w:i w:val="0"/>
          <w:color w:val="3D3E3E"/>
          <w:sz w:val="19"/>
        </w:rPr>
        <w:t>held 3.75%</w:t>
      </w:r>
      <w:r>
        <w:rPr>
          <w:rFonts w:ascii="Public Sans" w:hAnsi="Public Sans"/>
          <w:b w:val="0"/>
          <w:i w:val="0"/>
          <w:color w:val="3D3E3E"/>
          <w:sz w:val="19"/>
        </w:rPr>
        <w:t xml:space="preserve"> on 06-18 with a </w:t>
      </w:r>
      <w:r>
        <w:rPr>
          <w:rFonts w:ascii="Public Sans" w:hAnsi="Public Sans"/>
          <w:b/>
          <w:i w:val="0"/>
          <w:color w:val="3D3E3E"/>
          <w:sz w:val="19"/>
        </w:rPr>
        <w:t>7/2/0 vote — two members dissenting to *hike</w:t>
      </w:r>
      <w:r>
        <w:rPr>
          <w:rFonts w:ascii="Public Sans" w:hAnsi="Public Sans"/>
          <w:b w:val="0"/>
          <w:i/>
          <w:color w:val="3D3E3E"/>
          <w:sz w:val="19"/>
        </w:rPr>
        <w:t xml:space="preserve"> (FACT; prior split 8 unchanged / 1 hike). The hawkish </w:t>
      </w:r>
      <w:r>
        <w:rPr>
          <w:rFonts w:ascii="Public Sans" w:hAnsi="Public Sans"/>
          <w:b w:val="0"/>
          <w:i w:val="0"/>
          <w:color w:val="3D3E3E"/>
          <w:sz w:val="19"/>
        </w:rPr>
        <w:t>drift</w:t>
      </w:r>
      <w:r>
        <w:rPr>
          <w:rFonts w:ascii="Public Sans" w:hAnsi="Public Sans"/>
          <w:b w:val="0"/>
          <w:i/>
          <w:color w:val="3D3E3E"/>
          <w:sz w:val="19"/>
        </w:rPr>
        <w:t xml:space="preserve"> in the vote is the signal: the balance is tilting toward the hike camp, not the cut camp. The window is speaker-heavy — </w:t>
      </w:r>
      <w:r>
        <w:rPr>
          <w:rFonts w:ascii="Public Sans" w:hAnsi="Public Sans"/>
          <w:b w:val="0"/>
          <w:i/>
          <w:color w:val="3D3E3E"/>
          <w:sz w:val="19"/>
        </w:rPr>
        <w:t>Bailey (07-01, 07-03), Mann (07-02), the credit-conditions survey (07-02), FSR (07-07)</w:t>
      </w:r>
      <w:r>
        <w:rPr>
          <w:rFonts w:ascii="Public Sans" w:hAnsi="Public Sans"/>
          <w:b w:val="0"/>
          <w:i/>
          <w:color w:val="3D3E3E"/>
          <w:sz w:val="19"/>
        </w:rPr>
        <w:t xml:space="preserve"> (FACT) — and final Q1 GDP confirmed a firmer </w:t>
      </w:r>
      <w:r>
        <w:rPr>
          <w:rFonts w:ascii="Public Sans" w:hAnsi="Public Sans"/>
          <w:b w:val="0"/>
          <w:i/>
          <w:color w:val="3D3E3E"/>
          <w:sz w:val="19"/>
        </w:rPr>
        <w:t>+0.6% QoQ / +1.1% YoY</w:t>
      </w:r>
      <w:r>
        <w:rPr>
          <w:rFonts w:ascii="Public Sans" w:hAnsi="Public Sans"/>
          <w:b w:val="0"/>
          <w:i w:val="0"/>
          <w:color w:val="3D3E3E"/>
          <w:sz w:val="19"/>
        </w:rPr>
        <w:t>* (FACT rows 21639/40), which removes the growth alibi for cuts and supports the dissenters.</w:t>
      </w:r>
    </w:p>
    <w:p>
      <w:pPr>
        <w:spacing w:after="80" w:line="283" w:lineRule="auto"/>
      </w:pPr>
      <w:r>
        <w:rPr>
          <w:rFonts w:ascii="Public Sans" w:hAnsi="Public Sans"/>
          <w:b w:val="0"/>
          <w:i w:val="0"/>
          <w:color w:val="3D3E3E"/>
          <w:sz w:val="19"/>
        </w:rPr>
        <w:t xml:space="preserve">The genuinely differentiated content is UBS's gilt work, read in full. "Inflationary shocks steepen the gilt curve" (14426) makes a </w:t>
      </w:r>
      <w:r>
        <w:rPr>
          <w:rFonts w:ascii="Public Sans" w:hAnsi="Public Sans"/>
          <w:b w:val="0"/>
          <w:i/>
          <w:color w:val="3D3E3E"/>
          <w:sz w:val="19"/>
        </w:rPr>
        <w:t>quantified</w:t>
      </w:r>
      <w:r>
        <w:rPr>
          <w:rFonts w:ascii="Public Sans" w:hAnsi="Public Sans"/>
          <w:b w:val="0"/>
          <w:i w:val="0"/>
          <w:color w:val="3D3E3E"/>
          <w:sz w:val="19"/>
        </w:rPr>
        <w:t xml:space="preserve"> structural argument: it models the response of the UK yield curve to a 1ppt positive inflation shock and finds the steepening is more front-end-driven in the UK than elsewhere ("whiplash in front-end UK rates dominated steepening"), and — the structural kicker — the </w:t>
      </w:r>
      <w:r>
        <w:rPr>
          <w:rFonts w:ascii="Public Sans" w:hAnsi="Public Sans"/>
          <w:b/>
          <w:i w:val="0"/>
          <w:color w:val="3D3E3E"/>
          <w:sz w:val="19"/>
        </w:rPr>
        <w:t>UK has the highest inflation-linked debt share across peers</w:t>
      </w:r>
      <w:r>
        <w:rPr>
          <w:rFonts w:ascii="Public Sans" w:hAnsi="Public Sans"/>
          <w:b w:val="0"/>
          <w:i w:val="0"/>
          <w:color w:val="3D3E3E"/>
          <w:sz w:val="19"/>
        </w:rPr>
        <w:t>, with &gt;15y linkers having de-rated. So an inflation shock transmits more violently into UK rates and UK fiscal than into US or German curves. The companion "Simply UK: The Gilt Trip" (14310, an equity-strategy framing) carries the same thesis into cross-asset. The reasoning chain: sticky inflation + hawkish vote + heavy index-linked issuance = a steeper curve and a fiscal amplifier, which is why UBS expresses it in the curve rather than outright direction.</w:t>
      </w:r>
    </w:p>
    <w:p>
      <w:pPr>
        <w:spacing w:before="120" w:after="40"/>
        <w:keepNext/>
      </w:pPr>
      <w:r>
        <w:rPr>
          <w:rFonts w:ascii="Public Sans" w:hAnsi="Public Sans"/>
          <w:b/>
          <w:i w:val="0"/>
          <w:color w:val="001830"/>
          <w:sz w:val="19"/>
        </w:rPr>
        <w:t>C. Consensus views (≥2 independent banks)</w:t>
      </w:r>
    </w:p>
    <w:p>
      <w:pPr>
        <w:spacing w:after="80" w:line="283" w:lineRule="auto"/>
      </w:pPr>
      <w:r>
        <w:rPr>
          <w:rFonts w:ascii="Public Sans" w:hAnsi="Public Sans"/>
          <w:b w:val="0"/>
          <w:i/>
          <w:color w:val="3D3E3E"/>
          <w:sz w:val="19"/>
        </w:rPr>
        <w:t>None cleared the ≥2-independent-bank bar in-window.</w:t>
      </w:r>
      <w:r>
        <w:rPr>
          <w:rFonts w:ascii="Public Sans" w:hAnsi="Public Sans"/>
          <w:b w:val="0"/>
          <w:i w:val="0"/>
          <w:color w:val="3D3E3E"/>
          <w:sz w:val="19"/>
        </w:rPr>
        <w:t xml:space="preserve"> UK flow this window was dominated by the BoE decision mechanics (FACT) and a single differentiated house (UBS) on the gilt curve. Honest low-n note rather than a manufactured consensus row.</w:t>
      </w:r>
    </w:p>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6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9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3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3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3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3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46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 (14426)</w:t>
            </w:r>
          </w:p>
        </w:tc>
        <w:tc>
          <w:tcPr>
            <w:tcW w:type="dxa" w:w="9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Gilts, linkers</w:t>
            </w:r>
          </w:p>
        </w:tc>
        <w:tc>
          <w:tcPr>
            <w:tcW w:type="dxa" w:w="23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Inflation shocks steepen the gilt curve</w:t>
            </w:r>
            <w:r>
              <w:rPr>
                <w:rFonts w:ascii="Public Sans" w:hAnsi="Public Sans"/>
                <w:b w:val="0"/>
                <w:i w:val="0"/>
                <w:color w:val="3D3E3E"/>
                <w:sz w:val="16"/>
              </w:rPr>
              <w:t>; UK most exposed via high linker share</w:t>
            </w:r>
          </w:p>
        </w:tc>
        <w:tc>
          <w:tcPr>
            <w:tcW w:type="dxa" w:w="23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Quantifies a UK-specific curve response and ties it to the index-linked debt structure</w:t>
            </w:r>
          </w:p>
        </w:tc>
        <w:tc>
          <w:tcPr>
            <w:tcW w:type="dxa" w:w="23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 inflation shock is the operative risk; front-end whiplash leads the move</w:t>
            </w:r>
          </w:p>
        </w:tc>
        <w:tc>
          <w:tcPr>
            <w:tcW w:type="dxa" w:w="23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disinflation surprise / a flight-to-quality bull-flattening</w:t>
            </w:r>
          </w:p>
        </w:tc>
      </w:tr>
      <w:tr>
        <w:tc>
          <w:tcPr>
            <w:tcW w:type="dxa" w:w="46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UBS (14310)</w:t>
            </w:r>
          </w:p>
        </w:tc>
        <w:tc>
          <w:tcPr>
            <w:tcW w:type="dxa" w:w="9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UK equity / cross-asset</w:t>
            </w:r>
          </w:p>
        </w:tc>
        <w:tc>
          <w:tcPr>
            <w:tcW w:type="dxa" w:w="23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r>
              <w:rPr>
                <w:rFonts w:ascii="Public Sans" w:hAnsi="Public Sans"/>
                <w:b/>
                <w:i w:val="0"/>
                <w:color w:val="3D3E3E"/>
                <w:sz w:val="16"/>
              </w:rPr>
              <w:t>The Gilt Trip</w:t>
            </w:r>
            <w:r>
              <w:rPr>
                <w:rFonts w:ascii="Public Sans" w:hAnsi="Public Sans"/>
                <w:b w:val="0"/>
                <w:i w:val="0"/>
                <w:color w:val="3D3E3E"/>
                <w:sz w:val="16"/>
              </w:rPr>
              <w:t>" — carries the steepening thesis into equity positioning</w:t>
            </w:r>
          </w:p>
        </w:tc>
        <w:tc>
          <w:tcPr>
            <w:tcW w:type="dxa" w:w="23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Bridges the rates call into equity strategy, uncommon in-window</w:t>
            </w:r>
          </w:p>
        </w:tc>
        <w:tc>
          <w:tcPr>
            <w:tcW w:type="dxa" w:w="23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Gilt-curve dynamics dominate the UK equity risk premium</w:t>
            </w:r>
          </w:p>
        </w:tc>
        <w:tc>
          <w:tcPr>
            <w:tcW w:type="dxa" w:w="23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stabilise and the equity read decouples from the curve</w:t>
            </w:r>
          </w:p>
        </w:tc>
      </w:tr>
    </w:tbl>
    <w:p>
      <w:pPr>
        <w:spacing w:after="80" w:line="283" w:lineRule="auto"/>
      </w:pPr>
      <w:r>
        <w:rPr>
          <w:rFonts w:ascii="Public Sans" w:hAnsi="Public Sans"/>
          <w:b/>
          <w:i w:val="0"/>
          <w:color w:val="3D3E3E"/>
          <w:sz w:val="19"/>
        </w:rPr>
        <w:t>DEPTH flag:</w:t>
      </w:r>
      <w:r>
        <w:rPr>
          <w:rFonts w:ascii="Public Sans" w:hAnsi="Public Sans"/>
          <w:b w:val="0"/>
          <w:i w:val="0"/>
          <w:color w:val="3D3E3E"/>
          <w:sz w:val="19"/>
        </w:rPr>
        <w:t xml:space="preserve"> UK fact_indicator is </w:t>
      </w:r>
      <w:r>
        <w:rPr>
          <w:rFonts w:ascii="Public Sans" w:hAnsi="Public Sans"/>
          <w:b/>
          <w:i w:val="0"/>
          <w:color w:val="3D3E3E"/>
          <w:sz w:val="19"/>
        </w:rPr>
        <w:t>thin</w:t>
      </w:r>
      <w:r>
        <w:rPr>
          <w:rFonts w:ascii="Public Sans" w:hAnsi="Public Sans"/>
          <w:b w:val="0"/>
          <w:i w:val="0"/>
          <w:color w:val="3D3E3E"/>
          <w:sz w:val="19"/>
        </w:rPr>
        <w:t xml:space="preserve"> (2 indicators, 46 obs) — no component depth; the vote split and GDP are cb_events prints.</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Canada — steady BoC, growth the question</w:t>
      </w:r>
    </w:p>
    <w:p>
      <w:pPr>
        <w:spacing w:after="80" w:line="283" w:lineRule="auto"/>
      </w:pPr>
      <w:r>
        <w:rPr>
          <w:rFonts w:ascii="Public Sans" w:hAnsi="Public Sans"/>
          <w:b/>
          <w:i w:val="0"/>
          <w:color w:val="3D3E3E"/>
          <w:sz w:val="19"/>
        </w:rPr>
        <w:t>CB (FACT).</w:t>
      </w:r>
      <w:r>
        <w:rPr>
          <w:rFonts w:ascii="Public Sans" w:hAnsi="Public Sans"/>
          <w:b w:val="0"/>
          <w:i w:val="0"/>
          <w:color w:val="3D3E3E"/>
          <w:sz w:val="19"/>
        </w:rPr>
        <w:t xml:space="preserve"> BoC </w:t>
      </w:r>
      <w:r>
        <w:rPr>
          <w:rFonts w:ascii="Public Sans" w:hAnsi="Public Sans"/>
          <w:b/>
          <w:i w:val="0"/>
          <w:color w:val="3D3E3E"/>
          <w:sz w:val="19"/>
        </w:rPr>
        <w:t>held 2.25%</w:t>
      </w:r>
      <w:r>
        <w:rPr>
          <w:rFonts w:ascii="Public Sans" w:hAnsi="Public Sans"/>
          <w:b w:val="0"/>
          <w:i w:val="0"/>
          <w:color w:val="3D3E3E"/>
          <w:sz w:val="19"/>
        </w:rPr>
        <w:t xml:space="preserve"> (06-10); </w:t>
      </w:r>
      <w:r>
        <w:rPr>
          <w:rFonts w:ascii="Public Sans" w:hAnsi="Public Sans"/>
          <w:b/>
          <w:i w:val="0"/>
          <w:color w:val="3D3E3E"/>
          <w:sz w:val="19"/>
        </w:rPr>
        <w:t>Macklem speaks 07-01</w:t>
      </w:r>
      <w:r>
        <w:rPr>
          <w:rFonts w:ascii="Public Sans" w:hAnsi="Public Sans"/>
          <w:b w:val="0"/>
          <w:i w:val="0"/>
          <w:color w:val="3D3E3E"/>
          <w:sz w:val="19"/>
        </w:rPr>
        <w:t xml:space="preserve"> (in-window, row 53356), Business Outlook Survey + Consumer Expectations land 07-06. Monthly GDP (06-30) consensus </w:t>
      </w:r>
      <w:r>
        <w:rPr>
          <w:rFonts w:ascii="Public Sans" w:hAnsi="Public Sans"/>
          <w:b/>
          <w:i w:val="0"/>
          <w:color w:val="3D3E3E"/>
          <w:sz w:val="19"/>
        </w:rPr>
        <w:t>+0.4% MoM</w:t>
      </w:r>
      <w:r>
        <w:rPr>
          <w:rFonts w:ascii="Public Sans" w:hAnsi="Public Sans"/>
          <w:b w:val="0"/>
          <w:i w:val="0"/>
          <w:color w:val="3D3E3E"/>
          <w:sz w:val="19"/>
        </w:rPr>
        <w:t xml:space="preserve"> rebounding from -0.1% prior (row 47579). BofA's mid-year (14376) is titled "</w:t>
      </w:r>
      <w:r>
        <w:rPr>
          <w:rFonts w:ascii="Public Sans" w:hAnsi="Public Sans"/>
          <w:b/>
          <w:i w:val="0"/>
          <w:color w:val="3D3E3E"/>
          <w:sz w:val="19"/>
        </w:rPr>
        <w:t>Weak growth, steady BoC</w:t>
      </w:r>
      <w:r>
        <w:rPr>
          <w:rFonts w:ascii="Public Sans" w:hAnsi="Public Sans"/>
          <w:b w:val="0"/>
          <w:i w:val="0"/>
          <w:color w:val="3D3E3E"/>
          <w:sz w:val="19"/>
        </w:rPr>
        <w:t>" — the consensus frame: no urgency either way. Nothing differentiated resonated in-window.</w:t>
      </w:r>
    </w:p>
    <w:p>
      <w:pPr>
        <w:spacing w:after="80" w:line="283" w:lineRule="auto"/>
      </w:pPr>
      <w:r>
        <w:rPr>
          <w:rFonts w:ascii="Public Sans" w:hAnsi="Public Sans"/>
          <w:b/>
          <w:i w:val="0"/>
          <w:color w:val="3D3E3E"/>
          <w:sz w:val="19"/>
        </w:rPr>
        <w:t>DEPTH flag:</w:t>
      </w:r>
      <w:r>
        <w:rPr>
          <w:rFonts w:ascii="Public Sans" w:hAnsi="Public Sans"/>
          <w:b w:val="0"/>
          <w:i w:val="0"/>
          <w:color w:val="3D3E3E"/>
          <w:sz w:val="19"/>
        </w:rPr>
        <w:t xml:space="preserve"> CA fact_indicator is </w:t>
      </w:r>
      <w:r>
        <w:rPr>
          <w:rFonts w:ascii="Public Sans" w:hAnsi="Public Sans"/>
          <w:b/>
          <w:i w:val="0"/>
          <w:color w:val="3D3E3E"/>
          <w:sz w:val="19"/>
        </w:rPr>
        <w:t>absent</w:t>
      </w:r>
      <w:r>
        <w:rPr>
          <w:rFonts w:ascii="Public Sans" w:hAnsi="Public Sans"/>
          <w:b w:val="0"/>
          <w:i w:val="0"/>
          <w:color w:val="3D3E3E"/>
          <w:sz w:val="19"/>
        </w:rPr>
        <w:t xml:space="preserve"> (1 obs). No depth claimed — as expected per the coverage note.</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Thailand — soft prints, but the sell-side leans constructive</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3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5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3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37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98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5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Data soft, houses lean constructive</w:t>
            </w:r>
            <w:r>
              <w:rPr>
                <w:rFonts w:ascii="Public Sans" w:hAnsi="Public Sans"/>
                <w:b w:val="0"/>
                <w:i w:val="0"/>
                <w:color w:val="3D3E3E"/>
                <w:sz w:val="16"/>
              </w:rPr>
              <w:t xml:space="preserve"> (the tension)</w:t>
            </w:r>
          </w:p>
        </w:tc>
        <w:tc>
          <w:tcPr>
            <w:tcW w:type="dxa" w:w="13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rates, THB</w:t>
            </w:r>
          </w:p>
        </w:tc>
        <w:tc>
          <w:tcPr>
            <w:tcW w:type="dxa" w:w="13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Barclays, BofA</w:t>
            </w:r>
          </w:p>
        </w:tc>
        <w:tc>
          <w:tcPr>
            <w:tcW w:type="dxa" w:w="39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print vs the narrative disagree — the classic spot to interrogate</w:t>
            </w:r>
          </w:p>
        </w:tc>
      </w:tr>
      <w:tr>
        <w:tc>
          <w:tcPr>
            <w:tcW w:type="dxa" w:w="43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5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Oil-price relief → GDP</w:t>
            </w:r>
            <w:r>
              <w:rPr>
                <w:rFonts w:ascii="Public Sans" w:hAnsi="Public Sans"/>
                <w:b w:val="0"/>
                <w:i w:val="0"/>
                <w:color w:val="3D3E3E"/>
                <w:sz w:val="16"/>
              </w:rPr>
              <w:t xml:space="preserve"> channel</w:t>
            </w:r>
          </w:p>
        </w:tc>
        <w:tc>
          <w:tcPr>
            <w:tcW w:type="dxa" w:w="13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THB rates, BE</w:t>
            </w:r>
          </w:p>
        </w:tc>
        <w:tc>
          <w:tcPr>
            <w:tcW w:type="dxa" w:w="137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BofA</w:t>
            </w:r>
          </w:p>
        </w:tc>
        <w:tc>
          <w:tcPr>
            <w:tcW w:type="dxa" w:w="398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Differentiated growth-positive mechanism from lower energy</w:t>
            </w:r>
          </w:p>
        </w:tc>
      </w:tr>
      <w:tr>
        <w:tc>
          <w:tcPr>
            <w:tcW w:type="dxa" w:w="43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5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Energy shock → corporate margins</w:t>
            </w:r>
          </w:p>
        </w:tc>
        <w:tc>
          <w:tcPr>
            <w:tcW w:type="dxa" w:w="13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equity, credit</w:t>
            </w:r>
          </w:p>
        </w:tc>
        <w:tc>
          <w:tcPr>
            <w:tcW w:type="dxa" w:w="13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w:t>
            </w:r>
          </w:p>
        </w:tc>
        <w:tc>
          <w:tcPr>
            <w:tcW w:type="dxa" w:w="398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Cross-checks the oil story from the margin side</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BoT </w:t>
      </w:r>
      <w:r>
        <w:rPr>
          <w:rFonts w:ascii="Public Sans" w:hAnsi="Public Sans"/>
          <w:b/>
          <w:i w:val="0"/>
          <w:color w:val="3D3E3E"/>
          <w:sz w:val="19"/>
        </w:rPr>
        <w:t>held 1.00%</w:t>
      </w:r>
      <w:r>
        <w:rPr>
          <w:rFonts w:ascii="Public Sans" w:hAnsi="Public Sans"/>
          <w:b w:val="0"/>
          <w:i w:val="0"/>
          <w:color w:val="3D3E3E"/>
          <w:sz w:val="19"/>
        </w:rPr>
        <w:t xml:space="preserve"> (06-24); minutes 07-08 (FACT). The in-window hard data was soft — private consumption -2.1% MoM, private investment -5% MoM, current account -\$7.6B (FACT rows 27266-68) — yet the sell-side read leans </w:t>
      </w:r>
      <w:r>
        <w:rPr>
          <w:rFonts w:ascii="Public Sans" w:hAnsi="Public Sans"/>
          <w:b w:val="0"/>
          <w:i/>
          <w:color w:val="3D3E3E"/>
          <w:sz w:val="19"/>
        </w:rPr>
        <w:t>constructive on the margin</w:t>
      </w:r>
      <w:r>
        <w:rPr>
          <w:rFonts w:ascii="Public Sans" w:hAnsi="Public Sans"/>
          <w:b w:val="0"/>
          <w:i w:val="0"/>
          <w:color w:val="3D3E3E"/>
          <w:sz w:val="19"/>
        </w:rPr>
        <w:t>, which is the tension a PM should sit on. JPM (14528) titles its note "investment-led growth gains momentum in May," Barclays (14370) sees a "modest rebound," and BofA runs two angles: "limited recovery" (14545) on the activity side but "GDP relief from lower oil prices and AI wave" (14548) on the outlook. HSBC (14562) works the same oil theme from the other direction — what the energy shock means for corporate margins. The reasoning that lets the desks be constructive over soft prints is forward-looking: lower oil improves the terms of trade and the current account, and an AI/investment cycle supports capex — so they look through the weak May consumption/investment reads to a better H2. Nomura's Asia-rates note (14421) references a Thailand rates position with a defined ~10bp stop — surfaced, not judged.</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42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0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42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9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9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42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Soft now, stabilising ahead</w:t>
            </w:r>
          </w:p>
        </w:tc>
        <w:tc>
          <w:tcPr>
            <w:tcW w:type="dxa" w:w="100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Barclays, BofA</w:t>
            </w:r>
          </w:p>
        </w:tc>
        <w:tc>
          <w:tcPr>
            <w:tcW w:type="dxa" w:w="242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Look through weak May data to a firmer outlook</w:t>
            </w:r>
          </w:p>
        </w:tc>
        <w:tc>
          <w:tcPr>
            <w:tcW w:type="dxa" w:w="29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"Investment-led momentum" (14528); "modest rebound" (14370); "limited recovery" (14545)</w:t>
            </w:r>
          </w:p>
        </w:tc>
        <w:tc>
          <w:tcPr>
            <w:tcW w:type="dxa" w:w="29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hard data (consumption -2.1%, investment -5%, CA -\$7.6B) is unambiguously weak </w:t>
            </w:r>
            <w:r>
              <w:rPr>
                <w:rFonts w:ascii="Public Sans" w:hAnsi="Public Sans"/>
                <w:b w:val="0"/>
                <w:i/>
                <w:color w:val="3D3E3E"/>
                <w:sz w:val="16"/>
              </w:rPr>
              <w:t>now</w:t>
            </w:r>
            <w:r>
              <w:rPr>
                <w:rFonts w:ascii="Public Sans" w:hAnsi="Public Sans"/>
                <w:b w:val="0"/>
                <w:i w:val="0"/>
                <w:color w:val="3D3E3E"/>
                <w:sz w:val="16"/>
              </w:rPr>
              <w:t xml:space="preserve"> — the constructive read is a forecast, not a print</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5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7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162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5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BofA (14548)</w:t>
            </w:r>
          </w:p>
        </w:tc>
        <w:tc>
          <w:tcPr>
            <w:tcW w:type="dxa" w:w="7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rates / macro</w:t>
            </w:r>
          </w:p>
        </w:tc>
        <w:tc>
          <w:tcPr>
            <w:tcW w:type="dxa" w:w="16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Oil-price relief + AI wave lift GDP</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Names a specific positive mechanism where others just see "stabilising"</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Lower oil sustains and the AI/investment cycle broadens</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 re-spikes / investment cycle stalls → the relief reverses</w:t>
            </w:r>
          </w:p>
        </w:tc>
      </w:tr>
    </w:tbl>
    <w:p>
      <w:pPr>
        <w:spacing w:after="80" w:line="283" w:lineRule="auto"/>
      </w:pPr>
      <w:r>
        <w:rPr>
          <w:rFonts w:ascii="Public Sans" w:hAnsi="Public Sans"/>
          <w:b/>
          <w:i w:val="0"/>
          <w:color w:val="3D3E3E"/>
          <w:sz w:val="19"/>
        </w:rPr>
        <w:t>DEPTH flag:</w:t>
      </w:r>
      <w:r>
        <w:rPr>
          <w:rFonts w:ascii="Public Sans" w:hAnsi="Public Sans"/>
          <w:b w:val="0"/>
          <w:i w:val="0"/>
          <w:color w:val="3D3E3E"/>
          <w:sz w:val="19"/>
        </w:rPr>
        <w:t xml:space="preserve"> TH has </w:t>
      </w:r>
      <w:r>
        <w:rPr>
          <w:rFonts w:ascii="Public Sans" w:hAnsi="Public Sans"/>
          <w:b/>
          <w:i w:val="0"/>
          <w:color w:val="3D3E3E"/>
          <w:sz w:val="19"/>
        </w:rPr>
        <w:t>no in-window fact_indicator rows</w:t>
      </w:r>
      <w:r>
        <w:rPr>
          <w:rFonts w:ascii="Public Sans" w:hAnsi="Public Sans"/>
          <w:b w:val="0"/>
          <w:i w:val="0"/>
          <w:color w:val="3D3E3E"/>
          <w:sz w:val="19"/>
        </w:rPr>
        <w:t xml:space="preserve"> — all numbers are cb_events prints or sell-side.</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India — fiscal surplus, monsoon/food inflation tail, terminal-repo debate</w:t>
      </w:r>
    </w:p>
    <w:p>
      <w:pPr>
        <w:spacing w:before="120" w:after="40"/>
        <w:keepNext/>
      </w:pPr>
      <w:r>
        <w:rPr>
          <w:rFonts w:ascii="Public Sans" w:hAnsi="Public Sans"/>
          <w:b/>
          <w:i w:val="0"/>
          <w:color w:val="001830"/>
          <w:sz w:val="19"/>
        </w:rPr>
        <w:t>A.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2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9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3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9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Fiscal improvement</w:t>
            </w:r>
            <w:r>
              <w:rPr>
                <w:rFonts w:ascii="Public Sans" w:hAnsi="Public Sans"/>
                <w:b w:val="0"/>
                <w:i w:val="0"/>
                <w:color w:val="3D3E3E"/>
                <w:sz w:val="16"/>
              </w:rPr>
              <w:t xml:space="preserve"> on a record RBI dividend</w:t>
            </w:r>
          </w:p>
        </w:tc>
        <w:tc>
          <w:tcPr>
            <w:tcW w:type="dxa" w:w="10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rates, IGB</w:t>
            </w:r>
          </w:p>
        </w:tc>
        <w:tc>
          <w:tcPr>
            <w:tcW w:type="dxa" w:w="1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Goldman, Nomura, MS</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flows/fiscal positive; eases supply pressure on govvies</w:t>
            </w:r>
          </w:p>
        </w:tc>
      </w:tr>
      <w:tr>
        <w:tc>
          <w:tcPr>
            <w:tcW w:type="dxa" w:w="4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Monsoon/food-inflation upside tail</w:t>
            </w:r>
            <w:r>
              <w:rPr>
                <w:rFonts w:ascii="Public Sans" w:hAnsi="Public Sans"/>
                <w:b w:val="0"/>
                <w:i w:val="0"/>
                <w:color w:val="3D3E3E"/>
                <w:sz w:val="16"/>
              </w:rPr>
              <w:t xml:space="preserve"> (weak start, El Niño)</w:t>
            </w:r>
          </w:p>
        </w:tc>
        <w:tc>
          <w:tcPr>
            <w:tcW w:type="dxa" w:w="10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INR rates, BE</w:t>
            </w:r>
          </w:p>
        </w:tc>
        <w:tc>
          <w:tcPr>
            <w:tcW w:type="dxa" w:w="13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MS, Citi</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main inflation risk to the RBI's on-hold stance</w:t>
            </w:r>
          </w:p>
        </w:tc>
      </w:tr>
      <w:tr>
        <w:tc>
          <w:tcPr>
            <w:tcW w:type="dxa" w:w="4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RBI reaction function / terminal repo</w:t>
            </w:r>
          </w:p>
        </w:tc>
        <w:tc>
          <w:tcPr>
            <w:tcW w:type="dxa" w:w="10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rates</w:t>
            </w:r>
          </w:p>
        </w:tc>
        <w:tc>
          <w:tcPr>
            <w:tcW w:type="dxa" w:w="13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DB, StanC (colour)</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Where the rates path is decided; houses probing the terminal level</w:t>
            </w:r>
          </w:p>
        </w:tc>
      </w:tr>
    </w:tbl>
    <w:p>
      <w:pPr>
        <w:spacing w:before="120" w:after="40"/>
        <w:keepNext/>
      </w:pPr>
      <w:r>
        <w:rPr>
          <w:rFonts w:ascii="Public Sans" w:hAnsi="Public Sans"/>
          <w:b/>
          <w:i w:val="0"/>
          <w:color w:val="001830"/>
          <w:sz w:val="19"/>
        </w:rPr>
        <w:t>B. The "why" — how the houses are reasoning</w:t>
      </w:r>
    </w:p>
    <w:p>
      <w:pPr>
        <w:spacing w:after="80" w:line="283" w:lineRule="auto"/>
      </w:pPr>
      <w:r>
        <w:rPr>
          <w:rFonts w:ascii="Public Sans" w:hAnsi="Public Sans"/>
          <w:b w:val="0"/>
          <w:i w:val="0"/>
          <w:color w:val="3D3E3E"/>
          <w:sz w:val="19"/>
        </w:rPr>
        <w:t xml:space="preserve">RBI </w:t>
      </w:r>
      <w:r>
        <w:rPr>
          <w:rFonts w:ascii="Public Sans" w:hAnsi="Public Sans"/>
          <w:b/>
          <w:i w:val="0"/>
          <w:color w:val="3D3E3E"/>
          <w:sz w:val="19"/>
        </w:rPr>
        <w:t>held 5.25%</w:t>
      </w:r>
      <w:r>
        <w:rPr>
          <w:rFonts w:ascii="Public Sans" w:hAnsi="Public Sans"/>
          <w:b w:val="0"/>
          <w:i w:val="0"/>
          <w:color w:val="3D3E3E"/>
          <w:sz w:val="19"/>
        </w:rPr>
        <w:t xml:space="preserve"> (06-05). The window's positive is fiscal: three houses independently flag a </w:t>
      </w:r>
      <w:r>
        <w:rPr>
          <w:rFonts w:ascii="Public Sans" w:hAnsi="Public Sans"/>
          <w:b/>
          <w:i w:val="0"/>
          <w:color w:val="3D3E3E"/>
          <w:sz w:val="19"/>
        </w:rPr>
        <w:t>May fiscal surplus/improvement on a record RBI dividend</w:t>
      </w:r>
      <w:r>
        <w:rPr>
          <w:rFonts w:ascii="Public Sans" w:hAnsi="Public Sans"/>
          <w:b w:val="0"/>
          <w:i w:val="0"/>
          <w:color w:val="3D3E3E"/>
          <w:sz w:val="19"/>
        </w:rPr>
        <w:t xml:space="preserve"> — Goldman (14492), Nomura (14467), MS (14466) — which reduces near-term govvie supply pressure and is a clean flows tailwind. Against that, the inflation risk is squarely monsoon/food: MS (14301) flags the </w:t>
      </w:r>
      <w:r>
        <w:rPr>
          <w:rFonts w:ascii="Public Sans" w:hAnsi="Public Sans"/>
          <w:b/>
          <w:i w:val="0"/>
          <w:color w:val="3D3E3E"/>
          <w:sz w:val="19"/>
        </w:rPr>
        <w:t>June rainfall deficit as the highest in 12 years</w:t>
      </w:r>
      <w:r>
        <w:rPr>
          <w:rFonts w:ascii="Public Sans" w:hAnsi="Public Sans"/>
          <w:b w:val="0"/>
          <w:i w:val="0"/>
          <w:color w:val="3D3E3E"/>
          <w:sz w:val="19"/>
        </w:rPr>
        <w:t xml:space="preserve"> and Citi (14482) warns an intensifying El Niño and a weak monsoon start "warrant a closer watch" — a food-inflation upside tail that could test the RBI's hold. The reaction-function work sits on top: DB (14439) uses an AI approach to "decode the terminal repo" rate, and StanC (14423) brings client-positioning colour from London trip-notes. HSBC mfg PMI final 54.5 (07-01, FACT) confirms activity stays firm, so this is not a growth-scare story — it is a fiscal-positive / food-inflation-risk balance around a data-dependent RBI.</w:t>
      </w:r>
    </w:p>
    <w:p>
      <w:pPr>
        <w:spacing w:before="120" w:after="40"/>
        <w:keepNext/>
      </w:pPr>
      <w:r>
        <w:rPr>
          <w:rFonts w:ascii="Public Sans" w:hAnsi="Public Sans"/>
          <w:b/>
          <w:i w:val="0"/>
          <w:color w:val="001830"/>
          <w:sz w:val="19"/>
        </w:rPr>
        <w:t>C.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7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5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4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 (grounded)</w:t>
            </w:r>
          </w:p>
        </w:tc>
      </w:tr>
      <w:tr>
        <w:tc>
          <w:tcPr>
            <w:tcW w:type="dxa" w:w="1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Fiscal improved in May</w:t>
            </w:r>
          </w:p>
        </w:tc>
        <w:tc>
          <w:tcPr>
            <w:tcW w:type="dxa" w:w="95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Goldman, Nomura, MS</w:t>
            </w:r>
          </w:p>
        </w:tc>
        <w:tc>
          <w:tcPr>
            <w:tcW w:type="dxa" w:w="24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Deficit narrowed / surplus on record RBI dividend</w:t>
            </w:r>
          </w:p>
        </w:tc>
        <w:tc>
          <w:tcPr>
            <w:tcW w:type="dxa" w:w="2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May fiscal data + RBI dividend (14492/14467/14466)</w:t>
            </w:r>
          </w:p>
        </w:tc>
        <w:tc>
          <w:tcPr>
            <w:tcW w:type="dxa" w:w="2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one-off dividend flatters the run-rate; underlying fiscal path unchanged</w:t>
            </w:r>
          </w:p>
        </w:tc>
      </w:tr>
      <w:tr>
        <w:tc>
          <w:tcPr>
            <w:tcW w:type="dxa" w:w="1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Monsoon/food is the inflation risk</w:t>
            </w:r>
          </w:p>
        </w:tc>
        <w:tc>
          <w:tcPr>
            <w:tcW w:type="dxa" w:w="95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MS, Citi</w:t>
            </w:r>
          </w:p>
        </w:tc>
        <w:tc>
          <w:tcPr>
            <w:tcW w:type="dxa" w:w="24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Weak monsoon + El Niño = food-price upside</w:t>
            </w:r>
          </w:p>
        </w:tc>
        <w:tc>
          <w:tcPr>
            <w:tcW w:type="dxa" w:w="2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rainfall deficit 12-yr high (14301); El Niño watch (14482)</w:t>
            </w:r>
          </w:p>
        </w:tc>
        <w:tc>
          <w:tcPr>
            <w:tcW w:type="dxa" w:w="2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tail is not yet in the CPI print — IN CPI DEPTH available to track it</w:t>
            </w:r>
          </w:p>
        </w:tc>
      </w:tr>
    </w:tbl>
    <w:p>
      <w:pPr>
        <w:spacing w:before="120" w:after="40"/>
        <w:keepNext/>
      </w:pPr>
      <w:r>
        <w:rPr>
          <w:rFonts w:ascii="Public Sans" w:hAnsi="Public Sans"/>
          <w:b/>
          <w:i w:val="0"/>
          <w:color w:val="001830"/>
          <w:sz w:val="19"/>
        </w:rPr>
        <w:t>D.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195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6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6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6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4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DB (14439)</w:t>
            </w:r>
          </w:p>
        </w:tc>
        <w:tc>
          <w:tcPr>
            <w:tcW w:type="dxa" w:w="4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rates</w:t>
            </w:r>
          </w:p>
        </w:tc>
        <w:tc>
          <w:tcPr>
            <w:tcW w:type="dxa" w:w="19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Uses AI to </w:t>
            </w:r>
            <w:r>
              <w:rPr>
                <w:rFonts w:ascii="Public Sans" w:hAnsi="Public Sans"/>
                <w:b/>
                <w:i w:val="0"/>
                <w:color w:val="3D3E3E"/>
                <w:sz w:val="16"/>
              </w:rPr>
              <w:t>decode the terminal repo</w:t>
            </w:r>
            <w:r>
              <w:rPr>
                <w:rFonts w:ascii="Public Sans" w:hAnsi="Public Sans"/>
                <w:b w:val="0"/>
                <w:i w:val="0"/>
                <w:color w:val="3D3E3E"/>
                <w:sz w:val="16"/>
              </w:rPr>
              <w:t xml:space="preserve"> level</w:t>
            </w:r>
          </w:p>
        </w:tc>
        <w:tc>
          <w:tcPr>
            <w:tcW w:type="dxa" w:w="2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Method-differentiated attempt to pin the endpoint rather than the next move</w:t>
            </w:r>
          </w:p>
        </w:tc>
        <w:tc>
          <w:tcPr>
            <w:tcW w:type="dxa" w:w="26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terminal rate is the tradeable variable, not the next meeting</w:t>
            </w:r>
          </w:p>
        </w:tc>
        <w:tc>
          <w:tcPr>
            <w:tcW w:type="dxa" w:w="256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RBI reaction function shifts on a food-inflation shock</w:t>
            </w:r>
          </w:p>
        </w:tc>
      </w:tr>
    </w:tbl>
    <w:p>
      <w:pPr>
        <w:spacing w:after="80" w:line="283" w:lineRule="auto"/>
      </w:pPr>
      <w:r>
        <w:rPr>
          <w:rFonts w:ascii="Public Sans" w:hAnsi="Public Sans"/>
          <w:b/>
          <w:i w:val="0"/>
          <w:color w:val="3D3E3E"/>
          <w:sz w:val="19"/>
        </w:rPr>
        <w:t>Puzzle fit:</w:t>
      </w:r>
      <w:r>
        <w:rPr>
          <w:rFonts w:ascii="Public Sans" w:hAnsi="Public Sans"/>
          <w:b w:val="0"/>
          <w:i w:val="0"/>
          <w:color w:val="3D3E3E"/>
          <w:sz w:val="19"/>
        </w:rPr>
        <w:t xml:space="preserve"> fiscal (RBI-dividend surplus) + inflation (monsoon/food tail) + reaction-function (terminal-repo). </w:t>
      </w:r>
      <w:r>
        <w:rPr>
          <w:rFonts w:ascii="Public Sans" w:hAnsi="Public Sans"/>
          <w:b/>
          <w:i w:val="0"/>
          <w:color w:val="3D3E3E"/>
          <w:sz w:val="19"/>
        </w:rPr>
        <w:t>DEPTH:</w:t>
      </w:r>
      <w:r>
        <w:rPr>
          <w:rFonts w:ascii="Public Sans" w:hAnsi="Public Sans"/>
          <w:b w:val="0"/>
          <w:i w:val="0"/>
          <w:color w:val="3D3E3E"/>
          <w:sz w:val="19"/>
        </w:rPr>
        <w:t xml:space="preserve"> IN is deep (571 indicators) — food/CPI component follow-up (incl. the fresh-food nowcaster) is available to track the monsoon tail.</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Philippines — a quiet hike, narrowing trade gap</w:t>
      </w:r>
    </w:p>
    <w:p>
      <w:pPr>
        <w:spacing w:after="80" w:line="283" w:lineRule="auto"/>
      </w:pPr>
      <w:r>
        <w:rPr>
          <w:rFonts w:ascii="Public Sans" w:hAnsi="Public Sans"/>
          <w:b/>
          <w:i w:val="0"/>
          <w:color w:val="3D3E3E"/>
          <w:sz w:val="19"/>
        </w:rPr>
        <w:t>CB (FACT).</w:t>
      </w:r>
      <w:r>
        <w:rPr>
          <w:rFonts w:ascii="Public Sans" w:hAnsi="Public Sans"/>
          <w:b w:val="0"/>
          <w:i w:val="0"/>
          <w:color w:val="3D3E3E"/>
          <w:sz w:val="19"/>
        </w:rPr>
        <w:t xml:space="preserve"> BSP </w:t>
      </w:r>
      <w:r>
        <w:rPr>
          <w:rFonts w:ascii="Public Sans" w:hAnsi="Public Sans"/>
          <w:b/>
          <w:i w:val="0"/>
          <w:color w:val="3D3E3E"/>
          <w:sz w:val="19"/>
        </w:rPr>
        <w:t>hiked +25bp to 4.75%</w:t>
      </w:r>
      <w:r>
        <w:rPr>
          <w:rFonts w:ascii="Public Sans" w:hAnsi="Public Sans"/>
          <w:b w:val="0"/>
          <w:i w:val="0"/>
          <w:color w:val="3D3E3E"/>
          <w:sz w:val="19"/>
        </w:rPr>
        <w:t xml:space="preserve"> on 06-18 (from 4.50%, survey 4.75%) — part of the June EM-tightening cluster (ID, PH). In-window: </w:t>
      </w:r>
      <w:r>
        <w:rPr>
          <w:rFonts w:ascii="Public Sans" w:hAnsi="Public Sans"/>
          <w:b/>
          <w:i w:val="0"/>
          <w:color w:val="3D3E3E"/>
          <w:sz w:val="19"/>
        </w:rPr>
        <w:t>trade deficit narrowed in May</w:t>
      </w:r>
      <w:r>
        <w:rPr>
          <w:rFonts w:ascii="Public Sans" w:hAnsi="Public Sans"/>
          <w:b w:val="0"/>
          <w:i w:val="0"/>
          <w:color w:val="3D3E3E"/>
          <w:sz w:val="19"/>
        </w:rPr>
        <w:t xml:space="preserve"> (JPM 14291), exports +6.3% YoY, PPI +2.4% (rows 27245-48). Thin flow otherwise; filed as EM-tightening + external-balance improvement. No fact_indicator depth.</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Malaysia — BNM Jul-9 preview, "La pausa"</w:t>
      </w:r>
    </w:p>
    <w:p>
      <w:pPr>
        <w:spacing w:after="80" w:line="283" w:lineRule="auto"/>
      </w:pPr>
      <w:r>
        <w:rPr>
          <w:rFonts w:ascii="Public Sans" w:hAnsi="Public Sans"/>
          <w:b/>
          <w:i w:val="0"/>
          <w:color w:val="3D3E3E"/>
          <w:sz w:val="19"/>
        </w:rPr>
        <w:t>CB (FACT + VIEW).</w:t>
      </w:r>
      <w:r>
        <w:rPr>
          <w:rFonts w:ascii="Public Sans" w:hAnsi="Public Sans"/>
          <w:b w:val="0"/>
          <w:i w:val="0"/>
          <w:color w:val="3D3E3E"/>
          <w:sz w:val="19"/>
        </w:rPr>
        <w:t xml:space="preserve"> OPR </w:t>
      </w:r>
      <w:r>
        <w:rPr>
          <w:rFonts w:ascii="Public Sans" w:hAnsi="Public Sans"/>
          <w:b/>
          <w:i w:val="0"/>
          <w:color w:val="3D3E3E"/>
          <w:sz w:val="19"/>
        </w:rPr>
        <w:t>2.75%</w:t>
      </w:r>
      <w:r>
        <w:rPr>
          <w:rFonts w:ascii="Public Sans" w:hAnsi="Public Sans"/>
          <w:b w:val="0"/>
          <w:i w:val="0"/>
          <w:color w:val="3D3E3E"/>
          <w:sz w:val="19"/>
        </w:rPr>
        <w:t xml:space="preserve">; </w:t>
      </w:r>
      <w:r>
        <w:rPr>
          <w:rFonts w:ascii="Public Sans" w:hAnsi="Public Sans"/>
          <w:b/>
          <w:i w:val="0"/>
          <w:color w:val="3D3E3E"/>
          <w:sz w:val="19"/>
        </w:rPr>
        <w:t>BNM decides 2026-07-09</w:t>
      </w:r>
      <w:r>
        <w:rPr>
          <w:rFonts w:ascii="Public Sans" w:hAnsi="Public Sans"/>
          <w:b w:val="0"/>
          <w:i w:val="0"/>
          <w:color w:val="3D3E3E"/>
          <w:sz w:val="19"/>
        </w:rPr>
        <w:t xml:space="preserve"> (forward). HSBC's preview is titled "</w:t>
      </w:r>
      <w:r>
        <w:rPr>
          <w:rFonts w:ascii="Public Sans" w:hAnsi="Public Sans"/>
          <w:b/>
          <w:i w:val="0"/>
          <w:color w:val="3D3E3E"/>
          <w:sz w:val="19"/>
        </w:rPr>
        <w:t>La pausa</w:t>
      </w:r>
      <w:r>
        <w:rPr>
          <w:rFonts w:ascii="Public Sans" w:hAnsi="Public Sans"/>
          <w:b w:val="0"/>
          <w:i w:val="0"/>
          <w:color w:val="3D3E3E"/>
          <w:sz w:val="19"/>
        </w:rPr>
        <w:t>" (14288) — consensus expects a hold. M3 ~5% YoY (06-30). Quiet otherwise; calendar-driven into next week. No in-window fact_indicator depth.</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Hong Kong — peg, soft retail</w:t>
      </w:r>
    </w:p>
    <w:p>
      <w:pPr>
        <w:spacing w:after="80" w:line="283" w:lineRule="auto"/>
      </w:pPr>
      <w:r>
        <w:rPr>
          <w:rFonts w:ascii="Public Sans" w:hAnsi="Public Sans"/>
          <w:b/>
          <w:i w:val="0"/>
          <w:color w:val="3D3E3E"/>
          <w:sz w:val="19"/>
        </w:rPr>
        <w:t>Macro (FACT).</w:t>
      </w:r>
      <w:r>
        <w:rPr>
          <w:rFonts w:ascii="Public Sans" w:hAnsi="Public Sans"/>
          <w:b w:val="0"/>
          <w:i w:val="0"/>
          <w:color w:val="3D3E3E"/>
          <w:sz w:val="19"/>
        </w:rPr>
        <w:t xml:space="preserve"> USD-linked (no independent policy rate; rides US pricing via the peg/LAF). In-window: </w:t>
      </w:r>
      <w:r>
        <w:rPr>
          <w:rFonts w:ascii="Public Sans" w:hAnsi="Public Sans"/>
          <w:b/>
          <w:i w:val="0"/>
          <w:color w:val="3D3E3E"/>
          <w:sz w:val="19"/>
        </w:rPr>
        <w:t>retail sales YoY</w:t>
      </w:r>
      <w:r>
        <w:rPr>
          <w:rFonts w:ascii="Public Sans" w:hAnsi="Public Sans"/>
          <w:b w:val="0"/>
          <w:i w:val="0"/>
          <w:color w:val="3D3E3E"/>
          <w:sz w:val="19"/>
        </w:rPr>
        <w:t xml:space="preserve"> prior 6.4%, forecast 5.8% (07-02, row 29142) — softening. HK fact_indicator exists (20 indicators, latest 06-03) but nothing rate-relevant moved. Honest short note: peg-follows-Fed; no differentiated flow.</w:t>
      </w:r>
    </w:p>
    <w:p>
      <w:pPr>
        <w:spacing w:before="80" w:after="80"/>
        <w:pBdr>
          <w:bottom w:val="single" w:sz="6" w:space="2" w:color="D9DCD8"/>
        </w:pBdr>
      </w:pPr>
    </w:p>
    <w:p>
      <w:pPr>
        <w:spacing w:before="200" w:after="60"/>
        <w:keepNext/>
        <w:pBdr>
          <w:bottom w:val="single" w:sz="4" w:space="2" w:color="E0E9E4"/>
        </w:pBdr>
      </w:pPr>
      <w:r>
        <w:rPr>
          <w:rFonts w:ascii="Georgia" w:hAnsi="Georgia"/>
          <w:b/>
          <w:color w:val="4D806A"/>
          <w:sz w:val="23"/>
        </w:rPr>
        <w:t>Singapore — band, not a rate</w:t>
      </w:r>
    </w:p>
    <w:p>
      <w:pPr>
        <w:spacing w:after="80" w:line="283" w:lineRule="auto"/>
      </w:pPr>
      <w:r>
        <w:rPr>
          <w:rFonts w:ascii="Public Sans" w:hAnsi="Public Sans"/>
          <w:b/>
          <w:i w:val="0"/>
          <w:color w:val="3D3E3E"/>
          <w:sz w:val="19"/>
        </w:rPr>
        <w:t>Macro (FACT).</w:t>
      </w:r>
      <w:r>
        <w:rPr>
          <w:rFonts w:ascii="Public Sans" w:hAnsi="Public Sans"/>
          <w:b w:val="0"/>
          <w:i w:val="0"/>
          <w:color w:val="3D3E3E"/>
          <w:sz w:val="19"/>
        </w:rPr>
        <w:t xml:space="preserve"> MAS runs the S\$NEER band, not a policy rate — dashboard row is intentionally "band, not a rate." In-window: URA property index +0.9% QoQ prelim (07-01), bank lending S\$908.4B, SIPMM PMI 51 (07-02), 3M/6M T-bills ~1.46-1.47%. Citi Asia-Flow overview (14323) is the relevant flows read. Quiet; calendar-only. No differentiated call resonated.</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5. Grounding ledger</w:t>
      </w:r>
      <w:r>
        <w:rPr>
          <w:rFonts w:ascii="Public Sans" w:hAnsi="Public Sans"/>
          <w:i/>
          <w:color w:val="7A7C7C"/>
          <w:sz w:val="16"/>
        </w:rPr>
        <w:t xml:space="preserve">   SYN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FACT layer:</w:t>
      </w:r>
      <w:r>
        <w:rPr>
          <w:rFonts w:ascii="Public Sans" w:hAnsi="Public Sans"/>
          <w:b w:val="0"/>
          <w:i w:val="0"/>
          <w:color w:val="3D3E3E"/>
          <w:sz w:val="19"/>
        </w:rPr>
        <w:t xml:space="preserve"> calendar.cb_events, window 2026-06-30→07-02, 212 rows across the 13 covered countries; all dates and held/hiked/held tags verified against real decision rows (RBA 06-16 hold, BoJ 06-16 hike, BI 06-09 &amp; 06-18 hikes, BSP 06-18 hike, BoE 06-18 hold w/ 2 hike dissents, Fed 06-17 hold w/ dots up).</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DEPTH layer:</w:t>
      </w:r>
      <w:r>
        <w:rPr>
          <w:rFonts w:ascii="Public Sans" w:hAnsi="Public Sans"/>
          <w:b w:val="0"/>
          <w:i w:val="0"/>
          <w:color w:val="3D3E3E"/>
          <w:sz w:val="19"/>
        </w:rPr>
        <w:t xml:space="preserve"> econ.fact_indicator — deep AU (218)/US (165)/IN (571)/ID (113)/HK (20); thin NZ (48)/UK (2); absent CA/JP (1 each); </w:t>
      </w:r>
      <w:r>
        <w:rPr>
          <w:rFonts w:ascii="Public Sans" w:hAnsi="Public Sans"/>
          <w:b/>
          <w:i w:val="0"/>
          <w:color w:val="3D3E3E"/>
          <w:sz w:val="19"/>
        </w:rPr>
        <w:t>no in-window rows TH/MY/SG/PH.</w:t>
      </w:r>
      <w:r>
        <w:rPr>
          <w:rFonts w:ascii="Public Sans" w:hAnsi="Public Sans"/>
          <w:b w:val="0"/>
          <w:i w:val="0"/>
          <w:color w:val="3D3E3E"/>
          <w:sz w:val="19"/>
        </w:rPr>
        <w:t xml:space="preserve"> No depth faked.</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VIEW layer:</w:t>
      </w:r>
      <w:r>
        <w:rPr>
          <w:rFonts w:ascii="Public Sans" w:hAnsi="Public Sans"/>
          <w:b w:val="0"/>
          <w:i w:val="0"/>
          <w:color w:val="3D3E3E"/>
          <w:sz w:val="19"/>
        </w:rPr>
        <w:t xml:space="preserve"> research.fact_chunk + Qdrant (research_gemini_embedding_2_3072d, live) — 408 in-window reports across 13 vendors. For the six movers (US/JP/AU/NZ/ID/UK) the flagship/desk notes were read </w:t>
      </w:r>
      <w:r>
        <w:rPr>
          <w:rFonts w:ascii="Public Sans" w:hAnsi="Public Sans"/>
          <w:b/>
          <w:i w:val="0"/>
          <w:color w:val="3D3E3E"/>
          <w:sz w:val="19"/>
        </w:rPr>
        <w:t>in full</w:t>
      </w:r>
      <w:r>
        <w:rPr>
          <w:rFonts w:ascii="Public Sans" w:hAnsi="Public Sans"/>
          <w:b w:val="0"/>
          <w:i w:val="0"/>
          <w:color w:val="3D3E3E"/>
          <w:sz w:val="19"/>
        </w:rPr>
        <w:t xml:space="preserve"> at the chunk level (BofA 14544 Quiet Tightening; Nomura 14304 RBA; ANZ 14581 + Westpac 14368 RBNZ; Goldman 14586/DB 14624/Barclays 14607/JPM 14643/MS 14646 Tankan; Goldman 14633/SocGen 14361 ID; Citi 14437/DB 14516/Goldman 14557 US; UBS 14426/14310 UK), not summarised off titles. Per-theme semantic sweeps re-run for JPY/intervention, RBA neutral-rate, RBNZ Jul-8, Indonesia/SRBI, US-payrolls/Fed, JP-Tankan-DI and US-PCE-methodology; reconciled against the SQL scan.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Unreconciled / flagged inline:</w:t>
      </w:r>
      <w:r>
        <w:rPr>
          <w:rFonts w:ascii="Public Sans" w:hAnsi="Public Sans"/>
          <w:b w:val="0"/>
          <w:i w:val="0"/>
          <w:color w:val="3D3E3E"/>
          <w:sz w:val="19"/>
        </w:rPr>
        <w:t xml:space="preserve"> (a) </w:t>
      </w:r>
      <w:r>
        <w:rPr>
          <w:rFonts w:ascii="Public Sans" w:hAnsi="Public Sans"/>
          <w:b/>
          <w:i w:val="0"/>
          <w:color w:val="3D3E3E"/>
          <w:sz w:val="19"/>
        </w:rPr>
        <w:t>NZ Jul-8</w:t>
      </w:r>
      <w:r>
        <w:rPr>
          <w:rFonts w:ascii="Public Sans" w:hAnsi="Public Sans"/>
          <w:b w:val="0"/>
          <w:i w:val="0"/>
          <w:color w:val="3D3E3E"/>
          <w:sz w:val="19"/>
        </w:rPr>
        <w:t xml:space="preserve"> — three readings coexist: ANZ hike +25bp vs Westpac hold→Sept vs cb_events forecast hold. All three shown; not resolved. (b) </w:t>
      </w:r>
      <w:r>
        <w:rPr>
          <w:rFonts w:ascii="Public Sans" w:hAnsi="Public Sans"/>
          <w:b/>
          <w:i w:val="0"/>
          <w:color w:val="3D3E3E"/>
          <w:sz w:val="19"/>
        </w:rPr>
        <w:t>JP Tankan</w:t>
      </w:r>
      <w:r>
        <w:rPr>
          <w:rFonts w:ascii="Public Sans" w:hAnsi="Public Sans"/>
          <w:b w:val="0"/>
          <w:i w:val="0"/>
          <w:color w:val="3D3E3E"/>
          <w:sz w:val="19"/>
        </w:rPr>
        <w:t xml:space="preserve"> — the cb_events TE headline "large-mfg index 16 vs 17" (a </w:t>
      </w:r>
      <w:r>
        <w:rPr>
          <w:rFonts w:ascii="Public Sans" w:hAnsi="Public Sans"/>
          <w:b w:val="0"/>
          <w:i/>
          <w:color w:val="3D3E3E"/>
          <w:sz w:val="19"/>
        </w:rPr>
        <w:t>dip</w:t>
      </w:r>
      <w:r>
        <w:rPr>
          <w:rFonts w:ascii="Public Sans" w:hAnsi="Public Sans"/>
          <w:b w:val="0"/>
          <w:i w:val="0"/>
          <w:color w:val="3D3E3E"/>
          <w:sz w:val="19"/>
        </w:rPr>
        <w:t xml:space="preserve">) is a different series/vintage from the BoJ business-conditions </w:t>
      </w:r>
      <w:r>
        <w:rPr>
          <w:rFonts w:ascii="Public Sans" w:hAnsi="Public Sans"/>
          <w:b/>
          <w:i w:val="0"/>
          <w:color w:val="3D3E3E"/>
          <w:sz w:val="19"/>
        </w:rPr>
        <w:t>DI ~+37 that improved</w:t>
      </w:r>
      <w:r>
        <w:rPr>
          <w:rFonts w:ascii="Public Sans" w:hAnsi="Public Sans"/>
          <w:b w:val="0"/>
          <w:i w:val="0"/>
          <w:color w:val="3D3E3E"/>
          <w:sz w:val="19"/>
        </w:rPr>
        <w:t xml:space="preserve">, which every house cites; both shown, neither silently picked. (c) </w:t>
      </w:r>
      <w:r>
        <w:rPr>
          <w:rFonts w:ascii="Public Sans" w:hAnsi="Public Sans"/>
          <w:b/>
          <w:i w:val="0"/>
          <w:color w:val="3D3E3E"/>
          <w:sz w:val="19"/>
        </w:rPr>
        <w:t>AU neutral rate</w:t>
      </w:r>
      <w:r>
        <w:rPr>
          <w:rFonts w:ascii="Public Sans" w:hAnsi="Public Sans"/>
          <w:b w:val="0"/>
          <w:i w:val="0"/>
          <w:color w:val="3D3E3E"/>
          <w:sz w:val="19"/>
        </w:rPr>
        <w:t xml:space="preserve"> — Nomura (long-run neutral </w:t>
      </w:r>
      <w:r>
        <w:rPr>
          <w:rFonts w:ascii="Public Sans" w:hAnsi="Public Sans"/>
          <w:b w:val="0"/>
          <w:i/>
          <w:color w:val="3D3E3E"/>
          <w:sz w:val="19"/>
        </w:rPr>
        <w:t>up</w:t>
      </w:r>
      <w:r>
        <w:rPr>
          <w:rFonts w:ascii="Public Sans" w:hAnsi="Public Sans"/>
          <w:b w:val="0"/>
          <w:i w:val="0"/>
          <w:color w:val="3D3E3E"/>
          <w:sz w:val="19"/>
        </w:rPr>
        <w:t xml:space="preserve">, no hike) and BofA (short-run neutral </w:t>
      </w:r>
      <w:r>
        <w:rPr>
          <w:rFonts w:ascii="Public Sans" w:hAnsi="Public Sans"/>
          <w:b w:val="0"/>
          <w:i/>
          <w:color w:val="3D3E3E"/>
          <w:sz w:val="19"/>
        </w:rPr>
        <w:t>falls</w:t>
      </w:r>
      <w:r>
        <w:rPr>
          <w:rFonts w:ascii="Public Sans" w:hAnsi="Public Sans"/>
          <w:b w:val="0"/>
          <w:i w:val="0"/>
          <w:color w:val="3D3E3E"/>
          <w:sz w:val="19"/>
        </w:rPr>
        <w:t xml:space="preserve">, "quiet tightening") reach "stance is tight" via </w:t>
      </w:r>
      <w:r>
        <w:rPr>
          <w:rFonts w:ascii="Public Sans" w:hAnsi="Public Sans"/>
          <w:b w:val="0"/>
          <w:i/>
          <w:color w:val="3D3E3E"/>
          <w:sz w:val="19"/>
        </w:rPr>
        <w:t>opposite</w:t>
      </w:r>
      <w:r>
        <w:rPr>
          <w:rFonts w:ascii="Public Sans" w:hAnsi="Public Sans"/>
          <w:b w:val="0"/>
          <w:i w:val="0"/>
          <w:color w:val="3D3E3E"/>
          <w:sz w:val="19"/>
        </w:rPr>
        <w:t xml:space="preserve"> mechanisms; surfaced as a differentiated split, not merged. (d) </w:t>
      </w:r>
      <w:r>
        <w:rPr>
          <w:rFonts w:ascii="Public Sans" w:hAnsi="Public Sans"/>
          <w:b/>
          <w:i w:val="0"/>
          <w:color w:val="3D3E3E"/>
          <w:sz w:val="19"/>
        </w:rPr>
        <w:t>US core-PCE revision</w:t>
      </w:r>
      <w:r>
        <w:rPr>
          <w:rFonts w:ascii="Public Sans" w:hAnsi="Public Sans"/>
          <w:b w:val="0"/>
          <w:i w:val="0"/>
          <w:color w:val="3D3E3E"/>
          <w:sz w:val="19"/>
        </w:rPr>
        <w:t xml:space="preserve"> — Citi "big deal" vs Barclays "just a refinement" on identical BEA data; both shown. (e) Jul-2 US NFP + factory orders = calendar-only, no note flow ingested yet. (f) </w:t>
      </w:r>
      <w:r>
        <w:rPr>
          <w:rFonts w:ascii="Public Sans" w:hAnsi="Public Sans"/>
          <w:b/>
          <w:i w:val="0"/>
          <w:color w:val="3D3E3E"/>
          <w:sz w:val="19"/>
        </w:rPr>
        <w:t>Indonesia instrument pending Deepak</w:t>
      </w:r>
      <w:r>
        <w:rPr>
          <w:rFonts w:ascii="Public Sans" w:hAnsi="Public Sans"/>
          <w:b w:val="0"/>
          <w:i w:val="0"/>
          <w:color w:val="3D3E3E"/>
          <w:sz w:val="19"/>
        </w:rPr>
        <w:t xml:space="preserve"> — JPM's "SRBI yields high" cited as observed condition only; no Spider instrument asserted.</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Differentiated-view count (section 4.D):</w:t>
      </w:r>
      <w:r>
        <w:rPr>
          <w:rFonts w:ascii="Public Sans" w:hAnsi="Public Sans"/>
          <w:b w:val="0"/>
          <w:i w:val="0"/>
          <w:color w:val="3D3E3E"/>
          <w:sz w:val="19"/>
        </w:rPr>
        <w:t xml:space="preserve"> US 4 · JP 4 · AU 2 · NZ 2 · UK 2 · India 1 · Thailand 1 · Indonesia 2 = </w:t>
      </w:r>
      <w:r>
        <w:rPr>
          <w:rFonts w:ascii="Public Sans" w:hAnsi="Public Sans"/>
          <w:b/>
          <w:i w:val="0"/>
          <w:color w:val="3D3E3E"/>
          <w:sz w:val="19"/>
        </w:rPr>
        <w:t>18 differentiated rows</w:t>
      </w:r>
      <w:r>
        <w:rPr>
          <w:rFonts w:ascii="Public Sans" w:hAnsi="Public Sans"/>
          <w:b w:val="0"/>
          <w:i w:val="0"/>
          <w:color w:val="3D3E3E"/>
          <w:sz w:val="19"/>
        </w:rPr>
        <w:t xml:space="preserve"> across 8 countries. Quiet countries (CA/PH/MY/HK/SG) carry honest short reads, not forced tables.</w:t>
      </w:r>
    </w:p>
    <w:p>
      <w:pPr>
        <w:spacing w:after="80" w:line="283" w:lineRule="auto"/>
      </w:pPr>
      <w:r>
        <w:rPr>
          <w:rFonts w:ascii="Public Sans" w:hAnsi="Public Sans"/>
          <w:b w:val="0"/>
          <w:i/>
          <w:color w:val="3D3E3E"/>
          <w:sz w:val="19"/>
        </w:rPr>
        <w:t>DRAFT — demo cut. Section 4 rebuilt in JJ A/B/C/D format for the movers; flagship notes read in full. Trades surfaced, never judged. Numbers first.</w:t>
      </w:r>
    </w:p>
    <w:p>
      <w:pP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48"/>
        <w:gridCol w:w="8208"/>
      </w:tblGrid>
      <w:tr>
        <w:tc>
          <w:tcPr>
            <w:tcW w:type="dxa" w:w="2448"/>
            <w:shd w:val="clear" w:color="auto" w:fill="001830"/>
            <w:tcMar>
              <w:top w:w="150" w:type="dxa"/>
              <w:bottom w:w="150" w:type="dxa"/>
              <w:start w:w="170" w:type="dxa"/>
              <w:end w:w="170" w:type="dxa"/>
              <w:left w:w="170" w:type="dxa"/>
              <w:right w:w="170" w:type="dxa"/>
            </w:tcMar>
            <w:vAlign w:val="center"/>
          </w:tcPr>
          <w:p>
            <w:r>
              <w:drawing>
                <wp:inline xmlns:a="http://schemas.openxmlformats.org/drawingml/2006/main" xmlns:pic="http://schemas.openxmlformats.org/drawingml/2006/picture">
                  <wp:extent cx="1280160" cy="428712"/>
                  <wp:docPr id="2" name="Picture 2"/>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280160" cy="428712"/>
                          </a:xfrm>
                          <a:prstGeom prst="rect"/>
                        </pic:spPr>
                      </pic:pic>
                    </a:graphicData>
                  </a:graphic>
                </wp:inline>
              </w:drawing>
            </w:r>
          </w:p>
        </w:tc>
        <w:tc>
          <w:tcPr>
            <w:tcW w:type="dxa" w:w="8208"/>
            <w:shd w:val="clear" w:color="auto" w:fill="001830"/>
            <w:tcMar>
              <w:top w:w="150" w:type="dxa"/>
              <w:bottom w:w="150" w:type="dxa"/>
              <w:start w:w="170" w:type="dxa"/>
              <w:end w:w="170" w:type="dxa"/>
              <w:left w:w="170" w:type="dxa"/>
              <w:right w:w="170" w:type="dxa"/>
            </w:tcMar>
            <w:vAlign w:val="center"/>
          </w:tcPr>
          <w:p>
            <w:pPr>
              <w:jc w:val="right"/>
            </w:pPr>
            <w:r>
              <w:rPr>
                <w:rFonts w:ascii="Public Sans" w:hAnsi="Public Sans"/>
                <w:b/>
                <w:color w:val="FFFFFF"/>
                <w:sz w:val="18"/>
              </w:rPr>
              <w:t>RV Capital  ·  Macro Macro Research Digest (Spider · demo)</w:t>
            </w:r>
          </w:p>
          <w:p>
            <w:pPr>
              <w:spacing w:before="40"/>
              <w:jc w:val="right"/>
            </w:pPr>
            <w:r>
              <w:rPr>
                <w:rFonts w:ascii="Public Sans" w:hAnsi="Public Sans"/>
                <w:color w:val="85A2BE"/>
                <w:sz w:val="15"/>
              </w:rPr>
              <w:t>Opinion &amp; trade-extraction tool, not a clipping service. Internal use only — not investment advice.</w:t>
            </w:r>
          </w:p>
        </w:tc>
      </w:tr>
    </w:tbl>
    <w:sectPr w:rsidR="00FC693F" w:rsidRPr="0006063C" w:rsidSect="00034616">
      <w:footerReference w:type="default" r:id="rId10"/>
      <w:pgSz w:w="12240" w:h="15840"/>
      <w:pgMar w:top="792"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color w:val="7A7C7C"/>
        <w:sz w:val="15"/>
      </w:rPr>
      <w:t xml:space="preserve">RV Capital  ·  Macro Macro Research Digest (Spider · demo)  ·  page </w:t>
    </w:r>
    <w:fldSimple w:instr="PAGE">
      <w:r>
        <w:rPr>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Public Sans" w:hAnsi="Public Sans"/>
      <w:color w:val="3D3E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