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36"/>
        <w:gridCol w:w="7920"/>
      </w:tblGrid>
      <w:tr>
        <w:tc>
          <w:tcPr>
            <w:tcW w:type="dxa" w:w="2736"/>
            <w:shd w:val="clear" w:color="auto" w:fill="004527"/>
            <w:tcMar>
              <w:top w:w="140" w:type="dxa"/>
              <w:bottom w:w="140" w:type="dxa"/>
              <w:start w:w="170" w:type="dxa"/>
              <w:end w:w="170" w:type="dxa"/>
              <w:left w:w="170" w:type="dxa"/>
              <w:right w:w="170" w:type="dxa"/>
            </w:tcMar>
            <w:vAlign w:val="center"/>
          </w:tcPr>
          <w:p>
            <w:r>
              <w:drawing>
                <wp:inline xmlns:a="http://schemas.openxmlformats.org/drawingml/2006/main" xmlns:pic="http://schemas.openxmlformats.org/drawingml/2006/picture">
                  <wp:extent cx="1417320" cy="474645"/>
                  <wp:docPr id="1" name="Picture 1"/>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417320" cy="474645"/>
                          </a:xfrm>
                          <a:prstGeom prst="rect"/>
                        </pic:spPr>
                      </pic:pic>
                    </a:graphicData>
                  </a:graphic>
                </wp:inline>
              </w:drawing>
            </w:r>
          </w:p>
        </w:tc>
        <w:tc>
          <w:tcPr>
            <w:tcW w:type="dxa" w:w="7920"/>
            <w:shd w:val="clear" w:color="auto" w:fill="004527"/>
            <w:tcMar>
              <w:top w:w="140" w:type="dxa"/>
              <w:bottom w:w="140" w:type="dxa"/>
              <w:start w:w="170" w:type="dxa"/>
              <w:end w:w="170" w:type="dxa"/>
              <w:left w:w="170" w:type="dxa"/>
              <w:right w:w="170" w:type="dxa"/>
            </w:tcMar>
            <w:vAlign w:val="center"/>
          </w:tcPr>
          <w:p>
            <w:pPr>
              <w:spacing w:after="0"/>
              <w:jc w:val="right"/>
            </w:pPr>
            <w:r>
              <w:rPr>
                <w:rFonts w:ascii="Georgia" w:hAnsi="Georgia"/>
                <w:b/>
                <w:color w:val="FFFFFF"/>
                <w:sz w:val="38"/>
              </w:rPr>
              <w:t>RV CAPITAL · RATES &amp; FX DESK — DAILY MACRO PULSE</w:t>
            </w:r>
          </w:p>
          <w:p>
            <w:pPr>
              <w:spacing w:before="40" w:after="0"/>
              <w:jc w:val="right"/>
            </w:pPr>
            <w:r>
              <w:rPr>
                <w:rFonts w:ascii="Public Sans" w:hAnsi="Public Sans"/>
                <w:color w:val="B2D0B9"/>
                <w:sz w:val="20"/>
              </w:rPr>
              <w:t>Rates / FX desk  ·  2026-07-13  ·  Daily</w:t>
            </w:r>
          </w:p>
        </w:tc>
      </w:tr>
    </w:tbl>
    <w:p>
      <w:pPr>
        <w:spacing w:before="120" w:after="160"/>
        <w:pBdr>
          <w:bottom w:val="single" w:sz="12" w:space="2" w:color="004527"/>
        </w:pBdr>
      </w:pPr>
    </w:p>
    <w:p>
      <w:pPr>
        <w:spacing w:before="240" w:after="100"/>
        <w:keepNext/>
        <w:pBdr>
          <w:bottom w:val="single" w:sz="6" w:space="2" w:color="D9DCD8"/>
        </w:pBdr>
      </w:pPr>
      <w:r>
        <w:rPr>
          <w:rFonts w:ascii="Georgia" w:hAnsi="Georgia"/>
          <w:b/>
          <w:color w:val="004527"/>
          <w:sz w:val="30"/>
        </w:rPr>
        <w:t>The dovish week reversed: the USD bid back across the whole universe and DM curves BACKED UP into 14-Jul CPI — as the inflation-stickiness camp (Barclays 3.3% core PCE, BNP 0.37%, GS "USD bull") gains voice against GS's own 0.17% cooling call</w:t>
      </w:r>
    </w:p>
    <w:p>
      <w:pPr>
        <w:spacing w:before="200" w:after="60"/>
        <w:keepNext/>
        <w:pBdr>
          <w:bottom w:val="single" w:sz="4" w:space="2" w:color="E0E9E4"/>
        </w:pBdr>
      </w:pPr>
      <w:r>
        <w:rPr>
          <w:rFonts w:ascii="Georgia" w:hAnsi="Georgia"/>
          <w:b/>
          <w:color w:val="4D806A"/>
          <w:sz w:val="23"/>
        </w:rPr>
        <w:t>No CB decision moved in-window and the marquee prints (US CPI 14-Jul, China Q2 GDP 15-Jul, BoC 15-Jul) are still forward — so Friday→Monday was pure repositioning: every universe currency fell vs USD (AUD −0.31% / IDR −0.28% / THB −0.25% / JPY −0.25%), the front end and belly backed up (NZD 2y +7.1bp, HKD 2y +6.1bp, SORA 2y +3.0bp, SOFR 2y +2.1bp / 10y +2.2bp), and the market now prices a *hiking* Fed into the print (OIS +22bp by 16-Sep, +38bp by Dec). This is a clean unwind of last week's richer-curve, softer-USD move — driven by a re-escalating Strait of Hormuz (Nomura's FX model flipped to OIL as the dominant driver) and a stickiness camp that RAISED core-inflation forecasts even as oil fell.</w:t>
      </w:r>
    </w:p>
    <w:p>
      <w:pPr>
        <w:spacing w:after="80" w:line="283" w:lineRule="auto"/>
      </w:pPr>
      <w:r>
        <w:rPr>
          <w:rFonts w:ascii="Public Sans" w:hAnsi="Public Sans"/>
          <w:b/>
          <w:i w:val="0"/>
          <w:color w:val="3D3E3E"/>
          <w:sz w:val="19"/>
        </w:rPr>
        <w:t>Window:</w:t>
      </w:r>
      <w:r>
        <w:rPr>
          <w:rFonts w:ascii="Public Sans" w:hAnsi="Public Sans"/>
          <w:b w:val="0"/>
          <w:i w:val="0"/>
          <w:color w:val="3D3E3E"/>
          <w:sz w:val="19"/>
        </w:rPr>
        <w:t xml:space="preserve"> flow 2026-07-10 → 2026-07-13 · </w:t>
      </w:r>
      <w:r>
        <w:rPr>
          <w:rFonts w:ascii="Public Sans" w:hAnsi="Public Sans"/>
          <w:b/>
          <w:i w:val="0"/>
          <w:color w:val="3D3E3E"/>
          <w:sz w:val="19"/>
        </w:rPr>
        <w:t>Compiled</w:t>
      </w:r>
      <w:r>
        <w:rPr>
          <w:rFonts w:ascii="Public Sans" w:hAnsi="Public Sans"/>
          <w:b w:val="0"/>
          <w:i w:val="0"/>
          <w:color w:val="3D3E3E"/>
          <w:sz w:val="19"/>
        </w:rPr>
        <w:t xml:space="preserve"> 13 Jul 2026 (Monday) · </w:t>
      </w:r>
      <w:r>
        <w:rPr>
          <w:rFonts w:ascii="Public Sans" w:hAnsi="Public Sans"/>
          <w:b/>
          <w:i w:val="0"/>
          <w:color w:val="3D3E3E"/>
          <w:sz w:val="19"/>
        </w:rPr>
        <w:t>Edition:</w:t>
      </w:r>
      <w:r>
        <w:rPr>
          <w:rFonts w:ascii="Public Sans" w:hAnsi="Public Sans"/>
          <w:b w:val="0"/>
          <w:i w:val="0"/>
          <w:color w:val="3D3E3E"/>
          <w:sz w:val="19"/>
        </w:rPr>
        <w:t xml:space="preserve"> Daily</w:t>
      </w:r>
    </w:p>
    <w:p>
      <w:pPr>
        <w:spacing w:after="80" w:line="283" w:lineRule="auto"/>
      </w:pPr>
      <w:r>
        <w:rPr>
          <w:rFonts w:ascii="Public Sans" w:hAnsi="Public Sans"/>
          <w:b/>
          <w:i w:val="0"/>
          <w:color w:val="3D3E3E"/>
          <w:sz w:val="19"/>
        </w:rPr>
        <w:t>Universe:</w:t>
      </w:r>
      <w:r>
        <w:rPr>
          <w:rFonts w:ascii="Public Sans" w:hAnsi="Public Sans"/>
          <w:b w:val="0"/>
          <w:i w:val="0"/>
          <w:color w:val="3D3E3E"/>
          <w:sz w:val="19"/>
        </w:rPr>
        <w:t xml:space="preserve"> AU · NZ · JP · IN · TH · ID · MY · SG · HK · PH · US · CA · UK</w:t>
      </w:r>
    </w:p>
    <w:p>
      <w:pPr>
        <w:spacing w:after="80" w:line="283" w:lineRule="auto"/>
      </w:pPr>
      <w:r>
        <w:rPr>
          <w:rFonts w:ascii="Public Sans" w:hAnsi="Public Sans"/>
          <w:b w:val="0"/>
          <w:i w:val="0"/>
          <w:color w:val="3D3E3E"/>
          <w:sz w:val="19"/>
        </w:rPr>
        <w:t>&gt; FX/rates PM lens. Number-first, low-opinion, neutral — the daily does not judge. Sell-side is treated as motivated until the numbers say otherwise. Trades are surfaced with assumption + falsifier — never rated. Every table row is explained in the prose beneath it.</w:t>
      </w:r>
    </w:p>
    <w:p>
      <w:pPr>
        <w:spacing w:after="80" w:line="283" w:lineRule="auto"/>
      </w:pPr>
      <w:r>
        <w:rPr>
          <w:rFonts w:ascii="Public Sans" w:hAnsi="Public Sans"/>
          <w:b w:val="0"/>
          <w:i w:val="0"/>
          <w:color w:val="3D3E3E"/>
          <w:sz w:val="19"/>
        </w:rPr>
        <w:t>&gt;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Grounding legend:</w:t>
      </w:r>
      <w:r>
        <w:rPr>
          <w:rFonts w:ascii="Public Sans" w:hAnsi="Public Sans"/>
          <w:b w:val="0"/>
          <w:i w:val="0"/>
          <w:color w:val="3D3E3E"/>
          <w:sz w:val="19"/>
        </w:rPr>
        <w:t xml:space="preserve"> FACT = printed/decision (calendar.cb_events) · DEPTH = component series (econ.fact_indicator) · VIEW = sell-side interpretation (research.fact_chunk + Qdrant) · PRICING = market-implied · SYN = synthesis.</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Hero stat band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7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Number</w:t>
            </w:r>
          </w:p>
        </w:tc>
        <w:tc>
          <w:tcPr>
            <w:tcW w:type="dxa" w:w="4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it is</w:t>
            </w:r>
          </w:p>
        </w:tc>
        <w:tc>
          <w:tcPr>
            <w:tcW w:type="dxa" w:w="4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Memory / context</w:t>
            </w:r>
          </w:p>
        </w:tc>
      </w:tr>
      <w:tr>
        <w:tc>
          <w:tcPr>
            <w:tcW w:type="dxa" w:w="17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−0.31% / broad</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AUD/USD DoD (0.6952 → 0.6931); every universe currency FELL vs USD</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 clean </w:t>
            </w:r>
            <w:r>
              <w:rPr>
                <w:rFonts w:ascii="Public Sans" w:hAnsi="Public Sans"/>
                <w:b/>
                <w:i w:val="0"/>
                <w:color w:val="3D3E3E"/>
                <w:sz w:val="16"/>
              </w:rPr>
              <w:t>reversal</w:t>
            </w:r>
            <w:r>
              <w:rPr>
                <w:rFonts w:ascii="Public Sans" w:hAnsi="Public Sans"/>
                <w:b w:val="0"/>
                <w:i w:val="0"/>
                <w:color w:val="3D3E3E"/>
                <w:sz w:val="16"/>
              </w:rPr>
              <w:t xml:space="preserve"> — on the 07-10 run every currency firmed vs USD (NZD +0.98, JPY +0.64, AUD +0.50). Fri→Mon: IDR −0.28, THB −0.25, JPY −0.25, INR −0.20, SGD/EUR −0.19, MYR −0.18, GBP −0.17, CAD −0.15; NZD ~flat, HKD +0.03 (peg).</w:t>
            </w:r>
          </w:p>
        </w:tc>
      </w:tr>
      <w:tr>
        <w:tc>
          <w:tcPr>
            <w:tcW w:type="dxa" w:w="17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+2.1bp / +7.1bp</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SOFR 2y DoD (4.0651 → 4.0865); NZD NZIONA 2y the biggest mover</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Front end and belly </w:t>
            </w:r>
            <w:r>
              <w:rPr>
                <w:rFonts w:ascii="Public Sans" w:hAnsi="Public Sans"/>
                <w:b/>
                <w:i w:val="0"/>
                <w:color w:val="3D3E3E"/>
                <w:sz w:val="16"/>
              </w:rPr>
              <w:t>backed up</w:t>
            </w:r>
            <w:r>
              <w:rPr>
                <w:rFonts w:ascii="Public Sans" w:hAnsi="Public Sans"/>
                <w:b w:val="0"/>
                <w:i w:val="0"/>
                <w:color w:val="3D3E3E"/>
                <w:sz w:val="16"/>
              </w:rPr>
              <w:t xml:space="preserve"> into CPI (SOFR 10y +2.2bp). Last week they RALLIED (SOFR 2y −1.2bp). NZD 2y +7.1 / HKD 2y +6.1 / PHP 2y +4.85 / SORA 2y +3.0 / THOR 2y +2.9 led.</w:t>
            </w:r>
          </w:p>
        </w:tc>
      </w:tr>
      <w:tr>
        <w:tc>
          <w:tcPr>
            <w:tcW w:type="dxa" w:w="17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+22bp / +38bp</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 OIS priced HIKE by 16-Sep / by Dec (ANZ 17658)</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market prices a </w:t>
            </w:r>
            <w:r>
              <w:rPr>
                <w:rFonts w:ascii="Public Sans" w:hAnsi="Public Sans"/>
                <w:b w:val="0"/>
                <w:i/>
                <w:color w:val="3D3E3E"/>
                <w:sz w:val="16"/>
              </w:rPr>
              <w:t>hiking</w:t>
            </w:r>
            <w:r>
              <w:rPr>
                <w:rFonts w:ascii="Public Sans" w:hAnsi="Public Sans"/>
                <w:b w:val="0"/>
                <w:i w:val="0"/>
                <w:color w:val="3D3E3E"/>
                <w:sz w:val="16"/>
              </w:rPr>
              <w:t xml:space="preserve"> Fed into the print — not a fade. Also BoE +29bp by Dec, ECB +34bp by Dec, BoC into 2027, RBNZ +49bp by Dec. A DM-wide hawkish repricing.</w:t>
            </w:r>
          </w:p>
        </w:tc>
      </w:tr>
      <w:tr>
        <w:tc>
          <w:tcPr>
            <w:tcW w:type="dxa" w:w="17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3.3% Q4/Q4</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core PCE forecast — RAISED (17692)</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+50bp above where Barclays started the year, and higher than its May estimate </w:t>
            </w:r>
            <w:r>
              <w:rPr>
                <w:rFonts w:ascii="Public Sans" w:hAnsi="Public Sans"/>
                <w:b/>
                <w:i w:val="0"/>
                <w:color w:val="3D3E3E"/>
                <w:sz w:val="16"/>
              </w:rPr>
              <w:t>even though oil fell more than expected</w:t>
            </w:r>
            <w:r>
              <w:rPr>
                <w:rFonts w:ascii="Public Sans" w:hAnsi="Public Sans"/>
                <w:b w:val="0"/>
                <w:i w:val="0"/>
                <w:color w:val="3D3E3E"/>
                <w:sz w:val="16"/>
              </w:rPr>
              <w:t>. AI (memory-chip + data-centre power) + no demand destruction + oil-shock scars. "If it is not happening, the Fed will need to hike."</w:t>
            </w:r>
          </w:p>
        </w:tc>
      </w:tr>
      <w:tr>
        <w:tc>
          <w:tcPr>
            <w:tcW w:type="dxa" w:w="17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+0.17% / +0.24%</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June core CPI m/m / core PCE (17669/17700)</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cooling call: core YoY to 2.8%, headline −0.11%. GS: Fed on hold rest of 2026 but "leaves little margin for error." vs BNP +0.37% ("crunchy"), cons −0.1% headline / +0.2–0.3% core.</w:t>
            </w:r>
          </w:p>
        </w:tc>
      </w:tr>
      <w:tr>
        <w:tc>
          <w:tcPr>
            <w:tcW w:type="dxa" w:w="17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72.27</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WTI crude (commodities.fact_spot, refreshed to 07-10)</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−0.74% DoD, and down from 74.68 (the 07-08 level carried last run). Brent ~$76 (DB, +5.4% on the week). Yet </w:t>
            </w:r>
            <w:r>
              <w:rPr>
                <w:rFonts w:ascii="Public Sans" w:hAnsi="Public Sans"/>
                <w:b/>
                <w:i w:val="0"/>
                <w:color w:val="3D3E3E"/>
                <w:sz w:val="16"/>
              </w:rPr>
              <w:t>Nomura's FX model's dominant signal flipped to OIL (13-Jul)</w:t>
            </w:r>
            <w:r>
              <w:rPr>
                <w:rFonts w:ascii="Public Sans" w:hAnsi="Public Sans"/>
                <w:b w:val="0"/>
                <w:i w:val="0"/>
                <w:color w:val="3D3E3E"/>
                <w:sz w:val="16"/>
              </w:rPr>
              <w:t xml:space="preserve"> and HSBC warns a reconnected USD-oil-geopolitics link would give the USD "a fresh source of support." Strait of Hormuz unresolved.</w:t>
            </w:r>
          </w:p>
        </w:tc>
      </w:tr>
      <w:tr>
        <w:tc>
          <w:tcPr>
            <w:tcW w:type="dxa" w:w="17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48 / 56 seats</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Barisan Nasional's Johor state-election win, 11-Jul (from 40 in 2022)</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NEW political event. GS (17670): "continuity" in Johor's investment-led strategy, MYR choppy. Barclays (17691): "PM Anwar losing ground" — more pre-election fiscal spend (deficit 2026 3.6% vs 3.5% budgeted), but keeps the Sep BNM +25bp hike to 3.00%.</w:t>
            </w:r>
          </w:p>
        </w:tc>
      </w:tr>
      <w:tr>
        <w:tc>
          <w:tcPr>
            <w:tcW w:type="dxa" w:w="17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2.50%, ~2 more priced</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RBNZ OCR after the 08-Jul hike; market prices 2.99% by Dec (ANZ)</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RBNZ </w:t>
            </w:r>
            <w:r>
              <w:rPr>
                <w:rFonts w:ascii="Public Sans" w:hAnsi="Public Sans"/>
                <w:b/>
                <w:i w:val="0"/>
                <w:color w:val="3D3E3E"/>
                <w:sz w:val="16"/>
              </w:rPr>
              <w:t>cut its own inflation-peak forecast to 3.9% (from 4.2%)</w:t>
            </w:r>
            <w:r>
              <w:rPr>
                <w:rFonts w:ascii="Public Sans" w:hAnsi="Public Sans"/>
                <w:b w:val="0"/>
                <w:i w:val="0"/>
                <w:color w:val="3D3E3E"/>
                <w:sz w:val="16"/>
              </w:rPr>
              <w:t xml:space="preserve"> for Jun-26 (JPM 17681); JPM still sees Sep + Dec + Feb (75bp more); Westpac ("head-scratcher") aligns on direction, surprised by timing. Q2 CPI 21-Jul the fork.</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day in brief</w:t>
      </w:r>
    </w:p>
    <w:p>
      <w:pPr>
        <w:spacing w:after="80" w:line="283" w:lineRule="auto"/>
      </w:pPr>
      <w:r>
        <w:rPr>
          <w:rFonts w:ascii="Public Sans" w:hAnsi="Public Sans"/>
          <w:b w:val="0"/>
          <w:i w:val="0"/>
          <w:color w:val="3D3E3E"/>
          <w:sz w:val="19"/>
        </w:rPr>
        <w:t xml:space="preserve">No policy decision moved in the universe over the weekend, and the three prints that dominate the week — </w:t>
      </w:r>
      <w:r>
        <w:rPr>
          <w:rFonts w:ascii="Public Sans" w:hAnsi="Public Sans"/>
          <w:b/>
          <w:i w:val="0"/>
          <w:color w:val="3D3E3E"/>
          <w:sz w:val="19"/>
        </w:rPr>
        <w:t>US June CPI (14-Jul), China Q2 GDP + activity (15-Jul), Bank of Canada (15-Jul)</w:t>
      </w:r>
      <w:r>
        <w:rPr>
          <w:rFonts w:ascii="Public Sans" w:hAnsi="Public Sans"/>
          <w:b w:val="0"/>
          <w:i w:val="0"/>
          <w:color w:val="3D3E3E"/>
          <w:sz w:val="19"/>
        </w:rPr>
        <w:t xml:space="preserve"> — are all still forward. So Friday's close into Monday's open was a </w:t>
      </w:r>
      <w:r>
        <w:rPr>
          <w:rFonts w:ascii="Public Sans" w:hAnsi="Public Sans"/>
          <w:b/>
          <w:i w:val="0"/>
          <w:color w:val="3D3E3E"/>
          <w:sz w:val="19"/>
        </w:rPr>
        <w:t>pure repositioning move, and it ran the opposite way to last week's</w:t>
      </w:r>
      <w:r>
        <w:rPr>
          <w:rFonts w:ascii="Public Sans" w:hAnsi="Public Sans"/>
          <w:b w:val="0"/>
          <w:i w:val="0"/>
          <w:color w:val="3D3E3E"/>
          <w:sz w:val="19"/>
        </w:rPr>
        <w:t xml:space="preserve">. The USD firmed against the entire coverage set (AUD −0.31%, IDR −0.28%, THB/JPY −0.25%, INR −0.20%, SGD/EUR −0.19%, MYR −0.18%, GBP −0.17%, CAD −0.15%; NZD ~flat, HKD +0.03% on the peg), and the front end and belly </w:t>
      </w:r>
      <w:r>
        <w:rPr>
          <w:rFonts w:ascii="Public Sans" w:hAnsi="Public Sans"/>
          <w:b/>
          <w:i w:val="0"/>
          <w:color w:val="3D3E3E"/>
          <w:sz w:val="19"/>
        </w:rPr>
        <w:t>backed up</w:t>
      </w:r>
      <w:r>
        <w:rPr>
          <w:rFonts w:ascii="Public Sans" w:hAnsi="Public Sans"/>
          <w:b w:val="0"/>
          <w:i w:val="0"/>
          <w:color w:val="3D3E3E"/>
          <w:sz w:val="19"/>
        </w:rPr>
        <w:t xml:space="preserve"> rather than rallied — NZD 2y +7.1bp, HKD 2y +6.1bp, PHIREF 2y +4.85bp, SORA 2y +3.0bp, THOR 2y +2.9bp, AONIA/TONAR/SOFR ~+2bp. The 07-10 run's spine (a dovish, richer-curve, softer-USD move into a soft-CPI expectation) has partially unwound. The market is now pricing a </w:t>
      </w:r>
      <w:r>
        <w:rPr>
          <w:rFonts w:ascii="Public Sans" w:hAnsi="Public Sans"/>
          <w:b w:val="0"/>
          <w:i/>
          <w:color w:val="3D3E3E"/>
          <w:sz w:val="19"/>
        </w:rPr>
        <w:t>hiking</w:t>
      </w:r>
      <w:r>
        <w:rPr>
          <w:rFonts w:ascii="Public Sans" w:hAnsi="Public Sans"/>
          <w:b w:val="0"/>
          <w:i w:val="0"/>
          <w:color w:val="3D3E3E"/>
          <w:sz w:val="19"/>
        </w:rPr>
        <w:t xml:space="preserve"> Fed into the print — ANZ's OIS read shows +22bp by the 16-Sep meeting and +38bp cumulative by December, with parallel hawkish repricing across the BoE (+29bp by Dec), ECB (+34bp), BoC (into 2027) and RBNZ (+49bp).</w:t>
      </w:r>
    </w:p>
    <w:p>
      <w:pPr>
        <w:spacing w:after="80" w:line="283" w:lineRule="auto"/>
      </w:pPr>
      <w:r>
        <w:rPr>
          <w:rFonts w:ascii="Public Sans" w:hAnsi="Public Sans"/>
          <w:b w:val="0"/>
          <w:i w:val="0"/>
          <w:color w:val="3D3E3E"/>
          <w:sz w:val="19"/>
        </w:rPr>
        <w:t xml:space="preserve">Two forces drove it, and both are about inflation being stickier than the oil chart suggests. First, </w:t>
      </w:r>
      <w:r>
        <w:rPr>
          <w:rFonts w:ascii="Public Sans" w:hAnsi="Public Sans"/>
          <w:b/>
          <w:i w:val="0"/>
          <w:color w:val="3D3E3E"/>
          <w:sz w:val="19"/>
        </w:rPr>
        <w:t>geopolitics re-escalated</w:t>
      </w:r>
      <w:r>
        <w:rPr>
          <w:rFonts w:ascii="Public Sans" w:hAnsi="Public Sans"/>
          <w:b w:val="0"/>
          <w:i w:val="0"/>
          <w:color w:val="3D3E3E"/>
          <w:sz w:val="19"/>
        </w:rPr>
        <w:t xml:space="preserve">: the US and Iran each ran new attacks last week, the Strait of Hormuz is "unresolved" (HSBC 17678), and Trump said talks continue but the ceasefire is "over" (DB 17668) — Nomura's short-term FX-theme model (17715) flipped its dominant signal to </w:t>
      </w:r>
      <w:r>
        <w:rPr>
          <w:rFonts w:ascii="Public Sans" w:hAnsi="Public Sans"/>
          <w:b/>
          <w:i w:val="0"/>
          <w:color w:val="3D3E3E"/>
          <w:sz w:val="19"/>
        </w:rPr>
        <w:t>OIL</w:t>
      </w:r>
      <w:r>
        <w:rPr>
          <w:rFonts w:ascii="Public Sans" w:hAnsi="Public Sans"/>
          <w:b w:val="0"/>
          <w:i w:val="0"/>
          <w:color w:val="3D3E3E"/>
          <w:sz w:val="19"/>
        </w:rPr>
        <w:t xml:space="preserve"> on 13-Jul, and HSBC warns that a reconnected USD-oil-geopolitics link "would give the broad USD a fresh source of support." Second, the </w:t>
      </w:r>
      <w:r>
        <w:rPr>
          <w:rFonts w:ascii="Public Sans" w:hAnsi="Public Sans"/>
          <w:b/>
          <w:i w:val="0"/>
          <w:color w:val="3D3E3E"/>
          <w:sz w:val="19"/>
        </w:rPr>
        <w:t>inflation-stickiness camp gained voice</w:t>
      </w:r>
      <w:r>
        <w:rPr>
          <w:rFonts w:ascii="Public Sans" w:hAnsi="Public Sans"/>
          <w:b w:val="0"/>
          <w:i w:val="0"/>
          <w:color w:val="3D3E3E"/>
          <w:sz w:val="19"/>
        </w:rPr>
        <w:t xml:space="preserve">: Barclays (17692, "The oil shock has faded. Inflation has not.") RAISED its core PCE forecast to 3.3% Q4/Q4 — 50bp above where it started the year — </w:t>
      </w:r>
      <w:r>
        <w:rPr>
          <w:rFonts w:ascii="Public Sans" w:hAnsi="Public Sans"/>
          <w:b w:val="0"/>
          <w:i/>
          <w:color w:val="3D3E3E"/>
          <w:sz w:val="19"/>
        </w:rPr>
        <w:t>even as oil fell</w:t>
      </w:r>
      <w:r>
        <w:rPr>
          <w:rFonts w:ascii="Public Sans" w:hAnsi="Public Sans"/>
          <w:b w:val="0"/>
          <w:i w:val="0"/>
          <w:color w:val="3D3E3E"/>
          <w:sz w:val="19"/>
        </w:rPr>
        <w:t xml:space="preserve">, on AI-driven memory-chip and data-centre-power inflation, a lack of demand destruction (record travel/retail), and the six-to-eight-quarter lag with which oil shocks bleed into core; BNP (17655) holds core at 0.37% and favours Dec-26/Mar-27 FOMC steepeners; GS's FX desk (17620) carries an "above-consensus bullish USD" call; and DB's podcast argues "recent events help the case for Fed hikes." Against them, GS economics (17669/17700) still forecasts </w:t>
      </w:r>
      <w:r>
        <w:rPr>
          <w:rFonts w:ascii="Public Sans" w:hAnsi="Public Sans"/>
          <w:b/>
          <w:i w:val="0"/>
          <w:color w:val="3D3E3E"/>
          <w:sz w:val="19"/>
        </w:rPr>
        <w:t>core CPI +0.17% / core PCE +0.24%</w:t>
      </w:r>
      <w:r>
        <w:rPr>
          <w:rFonts w:ascii="Public Sans" w:hAnsi="Public Sans"/>
          <w:b w:val="0"/>
          <w:i w:val="0"/>
          <w:color w:val="3D3E3E"/>
          <w:sz w:val="19"/>
        </w:rPr>
        <w:t xml:space="preserve"> with the Fed on hold through 2026 — but even GS concedes the path "leaves little margin for error."</w:t>
      </w:r>
    </w:p>
    <w:p>
      <w:pPr>
        <w:spacing w:after="80" w:line="283" w:lineRule="auto"/>
      </w:pPr>
      <w:r>
        <w:rPr>
          <w:rFonts w:ascii="Public Sans" w:hAnsi="Public Sans"/>
          <w:b w:val="0"/>
          <w:i w:val="0"/>
          <w:color w:val="3D3E3E"/>
          <w:sz w:val="19"/>
        </w:rPr>
        <w:t xml:space="preserve">Note the tape's internal split: </w:t>
      </w:r>
      <w:r>
        <w:rPr>
          <w:rFonts w:ascii="Public Sans" w:hAnsi="Public Sans"/>
          <w:b/>
          <w:i w:val="0"/>
          <w:color w:val="3D3E3E"/>
          <w:sz w:val="19"/>
        </w:rPr>
        <w:t>equities (the freshest close is 07-10, one session behind Monday) rose broadly</w:t>
      </w:r>
      <w:r>
        <w:rPr>
          <w:rFonts w:ascii="Public Sans" w:hAnsi="Public Sans"/>
          <w:b w:val="0"/>
          <w:i w:val="0"/>
          <w:color w:val="3D3E3E"/>
          <w:sz w:val="19"/>
        </w:rPr>
        <w:t xml:space="preserve"> — Nikkei +1.20%, Nifty +1.02%, SIMSCI +0.73%, SET +0.70%, HSI +0.60%, ASX +0.50%, S&amp;P 500 +0.42% (DB: +1.2% on the week, still ½% below the 2-Jun record) — so the equity leg was still risk-on into Friday, even as the Monday FX/rates open leaned defensive/higher-yield/stronger-dollar. The one place the </w:t>
      </w:r>
      <w:r>
        <w:rPr>
          <w:rFonts w:ascii="Public Sans" w:hAnsi="Public Sans"/>
          <w:b w:val="0"/>
          <w:i/>
          <w:color w:val="3D3E3E"/>
          <w:sz w:val="19"/>
        </w:rPr>
        <w:t>rates</w:t>
      </w:r>
      <w:r>
        <w:rPr>
          <w:rFonts w:ascii="Public Sans" w:hAnsi="Public Sans"/>
          <w:b w:val="0"/>
          <w:i w:val="0"/>
          <w:color w:val="3D3E3E"/>
          <w:sz w:val="19"/>
        </w:rPr>
        <w:t xml:space="preserve"> story is domestic, not a CPI derivative, is Japan: TONAR 10y +4.0bp with the GPIF-reallocation chatter (BNP 17655) and Saravelos's "yield is the only thing driving FX" frame (DB 17668) both feeding a long-USD/JPY carry view.</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Deltas since 07-10</w:t>
      </w:r>
      <w:r>
        <w:rPr>
          <w:rFonts w:ascii="Public Sans" w:hAnsi="Public Sans"/>
          <w:i/>
          <w:color w:val="7A7C7C"/>
          <w:sz w:val="16"/>
        </w:rPr>
        <w:t xml:space="preserve">   SYN — lead with what changed</w:t>
      </w:r>
    </w:p>
    <w:p>
      <w:pPr>
        <w:spacing w:after="80" w:line="283" w:lineRule="auto"/>
      </w:pPr>
      <w:r>
        <w:rPr>
          <w:rFonts w:ascii="Public Sans" w:hAnsi="Public Sans"/>
          <w:b w:val="0"/>
          <w:i w:val="0"/>
          <w:color w:val="3D3E3E"/>
          <w:sz w:val="19"/>
        </w:rPr>
        <w:t xml:space="preserve">Monday edition, covering Friday's close + the weekend + the week-open set-up. The 07-10 run's window (flow 07-09→07-10) is superseded on the market side by a full Fri→Mon repositioning; the fresh sell-side flow is 07-11 to 07-13 (~89 reports), deep-read and unioned with a semantic sweep. </w:t>
      </w:r>
      <w:r>
        <w:rPr>
          <w:rFonts w:ascii="Public Sans" w:hAnsi="Public Sans"/>
          <w:b/>
          <w:i w:val="0"/>
          <w:color w:val="3D3E3E"/>
          <w:sz w:val="19"/>
        </w:rPr>
        <w:t>No CB in the universe decided in-window, and no 07-10→07-13 macro actual has booked in cb_events</w:t>
      </w:r>
      <w:r>
        <w:rPr>
          <w:rFonts w:ascii="Public Sans" w:hAnsi="Public Sans"/>
          <w:b w:val="0"/>
          <w:i w:val="0"/>
          <w:color w:val="3D3E3E"/>
          <w:sz w:val="19"/>
        </w:rPr>
        <w:t xml:space="preserve"> (Canada jobs, SG advance GDP, Japan PPI, India CPI all still null) — flagged. There is </w:t>
      </w:r>
      <w:r>
        <w:rPr>
          <w:rFonts w:ascii="Public Sans" w:hAnsi="Public Sans"/>
          <w:b/>
          <w:i w:val="0"/>
          <w:color w:val="3D3E3E"/>
          <w:sz w:val="19"/>
        </w:rPr>
        <w:t>no BBG chat transcript for 2026-07-13</w:t>
      </w:r>
      <w:r>
        <w:rPr>
          <w:rFonts w:ascii="Public Sans" w:hAnsi="Public Sans"/>
          <w:b w:val="0"/>
          <w:i w:val="0"/>
          <w:color w:val="3D3E3E"/>
          <w:sz w:val="19"/>
        </w:rPr>
        <w:t xml:space="preserve"> (none exists for the date) — noted, not blocking.</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RATES + FX DoD SIGN FLIPPED vs last week — the universe BACKED UP and the USD firmed.</w:t>
      </w:r>
      <w:r>
        <w:rPr>
          <w:rFonts w:ascii="Public Sans" w:hAnsi="Public Sans"/>
          <w:b w:val="0"/>
          <w:i w:val="0"/>
          <w:color w:val="3D3E3E"/>
          <w:sz w:val="19"/>
        </w:rPr>
        <w:t xml:space="preserve"> Computed strictly as (07-13 last-tick) − (07-10 last-tick): </w:t>
      </w:r>
      <w:r>
        <w:rPr>
          <w:rFonts w:ascii="Public Sans" w:hAnsi="Public Sans"/>
          <w:b/>
          <w:i w:val="0"/>
          <w:color w:val="3D3E3E"/>
          <w:sz w:val="19"/>
        </w:rPr>
        <w:t>SOFR 2y +2.1bp / 10y +2.2bp, NZIONA 2y +7.1 / 10y +6.6, HIBOR 2y +6.1 / 10y +4.1, PHIREF 2y +4.85, SORA 2y +3.0 / 10y +3.75, THOR 2y +2.9 / 10y +3.6, AONIA 2y +2.3 / 10y +2.3, TONAR 2y +2.2 / 10y +4.0, KLIBOR 2y +1.25 / 10y +1.75; GBP SONIA 2y −0.3, MIBOR 2y −0.35 / 10y −0.6, JIBOR 2y −2.0 (front richer), CNH ~flat, CORRA 2y flat.</w:t>
      </w:r>
      <w:r>
        <w:rPr>
          <w:rFonts w:ascii="Public Sans" w:hAnsi="Public Sans"/>
          <w:b w:val="0"/>
          <w:i w:val="0"/>
          <w:color w:val="3D3E3E"/>
          <w:sz w:val="19"/>
        </w:rPr>
        <w:t xml:space="preserve"> FX: every currency weaker vs USD bar the HKD peg. This </w:t>
      </w:r>
      <w:r>
        <w:rPr>
          <w:rFonts w:ascii="Public Sans" w:hAnsi="Public Sans"/>
          <w:b w:val="0"/>
          <w:i/>
          <w:color w:val="3D3E3E"/>
          <w:sz w:val="19"/>
        </w:rPr>
        <w:t>reverses</w:t>
      </w:r>
      <w:r>
        <w:rPr>
          <w:rFonts w:ascii="Public Sans" w:hAnsi="Public Sans"/>
          <w:b w:val="0"/>
          <w:i w:val="0"/>
          <w:color w:val="3D3E3E"/>
          <w:sz w:val="19"/>
        </w:rPr>
        <w:t xml:space="preserve"> the 07-10 dovish rally spine. (PRICING — FX.fact_fx_rate, rates.fact_observation last-tick-per-day; supersedes the 07-10 richer-curve/softer-USD read)</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The market now prices a HIKING Fed into 14-Jul CPI (ANZ 17658).</w:t>
      </w:r>
      <w:r>
        <w:rPr>
          <w:rFonts w:ascii="Public Sans" w:hAnsi="Public Sans"/>
          <w:b w:val="0"/>
          <w:i w:val="0"/>
          <w:color w:val="3D3E3E"/>
          <w:sz w:val="19"/>
        </w:rPr>
        <w:t xml:space="preserve"> OIS: +22bp by the 16-Sep meeting, +38bp cumulative by December, peak ~4.14% in 2027. Parallel hawkish repricing: BoE +12bp by Sep / +29bp by Dec; ECB +34bp by Dec; BoC flat 15-Jul then +54bp into Jul-27; RBNZ +49bp by Dec. (PRICING — ANZ 17658)</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Barclays RAISED core PCE to 3.3% Q4/Q4 even as oil fell (17692) — the clearest stickiness statement of the window.</w:t>
      </w:r>
      <w:r>
        <w:rPr>
          <w:rFonts w:ascii="Public Sans" w:hAnsi="Public Sans"/>
          <w:b w:val="0"/>
          <w:i w:val="0"/>
          <w:color w:val="3D3E3E"/>
          <w:sz w:val="19"/>
        </w:rPr>
        <w:t xml:space="preserve"> AI (computer software/accessories +17% since Dec-25 at 1.1% PCE weight vs 0.03% CPI weight; residential electricity) added ~25bp to headline / 20bp to core PCE; no demand destruction (record VMT, TSA, air travel, retail +8% y/y); crack spreads price crude "over $100." June CPI (14-Jul): Cleveland Fed nowcast ~4.0%, Barclays + cons 3.8% y/y. "The path for holding rates is getting narrower… if it is not happening, the Fed will need to hike." (VIEW — 17692)</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GS holds the cooling call but its FX desk is a USD bull (17669/17700/17620).</w:t>
      </w:r>
      <w:r>
        <w:rPr>
          <w:rFonts w:ascii="Public Sans" w:hAnsi="Public Sans"/>
          <w:b w:val="0"/>
          <w:i w:val="0"/>
          <w:color w:val="3D3E3E"/>
          <w:sz w:val="19"/>
        </w:rPr>
        <w:t xml:space="preserve"> GS econ: </w:t>
      </w:r>
      <w:r>
        <w:rPr>
          <w:rFonts w:ascii="Public Sans" w:hAnsi="Public Sans"/>
          <w:b/>
          <w:i w:val="0"/>
          <w:color w:val="3D3E3E"/>
          <w:sz w:val="19"/>
        </w:rPr>
        <w:t>core CPI +0.17% m/m, core YoY 2.8%, headline −0.11%, core PCE +0.24%</w:t>
      </w:r>
      <w:r>
        <w:rPr>
          <w:rFonts w:ascii="Public Sans" w:hAnsi="Public Sans"/>
          <w:b w:val="0"/>
          <w:i w:val="0"/>
          <w:color w:val="3D3E3E"/>
          <w:sz w:val="19"/>
        </w:rPr>
        <w:t xml:space="preserve"> June; Fed on hold rest of 2026 with "little margin for error"; a re-escalation to $100 oil adds only 3-4bp to monthly core. GS FX (Weekend Macro Call): a "newly upgraded, above-consensus bullish USD forecast." Consistent — soft print, strong dollar on yield/carry + ME risk. (VIEW — 17669/17700/17620; refines the 07-10 GS-lowest-at-0.17 read)</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NEW political event — Johor state election (11-Jul), and the two houses read it differently.</w:t>
      </w:r>
      <w:r>
        <w:rPr>
          <w:rFonts w:ascii="Public Sans" w:hAnsi="Public Sans"/>
          <w:b w:val="0"/>
          <w:i w:val="0"/>
          <w:color w:val="3D3E3E"/>
          <w:sz w:val="19"/>
        </w:rPr>
        <w:t xml:space="preserve"> BN won 48/56 seats (from 40 in 2022; turnout 69% from 55%; BN vote 60% from 43%). GS (17670): signals </w:t>
      </w:r>
      <w:r>
        <w:rPr>
          <w:rFonts w:ascii="Public Sans" w:hAnsi="Public Sans"/>
          <w:b w:val="0"/>
          <w:i/>
          <w:color w:val="3D3E3E"/>
          <w:sz w:val="19"/>
        </w:rPr>
        <w:t>continuity</w:t>
      </w:r>
      <w:r>
        <w:rPr>
          <w:rFonts w:ascii="Public Sans" w:hAnsi="Public Sans"/>
          <w:b w:val="0"/>
          <w:i w:val="0"/>
          <w:color w:val="3D3E3E"/>
          <w:sz w:val="19"/>
        </w:rPr>
        <w:t xml:space="preserve"> in the investment-led strategy; MYR stays choppy but BNM's June FX-inflow measures cap it. Barclays (17691): "PM Anwar losing ground" — early-election risk up (base case still Feb-2028), more pre-election fiscal spend (2026 deficit 3.6% vs 3.5% budgeted), but </w:t>
      </w:r>
      <w:r>
        <w:rPr>
          <w:rFonts w:ascii="Public Sans" w:hAnsi="Public Sans"/>
          <w:b/>
          <w:i w:val="0"/>
          <w:color w:val="3D3E3E"/>
          <w:sz w:val="19"/>
        </w:rPr>
        <w:t>keeps its Sep BNM +25bp hike to 3.00%</w:t>
      </w:r>
      <w:r>
        <w:rPr>
          <w:rFonts w:ascii="Public Sans" w:hAnsi="Public Sans"/>
          <w:b w:val="0"/>
          <w:i w:val="0"/>
          <w:color w:val="3D3E3E"/>
          <w:sz w:val="19"/>
        </w:rPr>
        <w:t>. Next: Negeri Sembilan 1-Aug, DAP conference 16-Aug. (VIEW — 17670/17691)</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India gains three fresh, partly-conflicting reads into today's CPI (Citi 17693, UBS 17686, GS 17621).</w:t>
      </w:r>
      <w:r>
        <w:rPr>
          <w:rFonts w:ascii="Public Sans" w:hAnsi="Public Sans"/>
          <w:b w:val="0"/>
          <w:i w:val="0"/>
          <w:color w:val="3D3E3E"/>
          <w:sz w:val="19"/>
        </w:rPr>
        <w:t xml:space="preserve"> Citi opens </w:t>
      </w:r>
      <w:r>
        <w:rPr>
          <w:rFonts w:ascii="Public Sans" w:hAnsi="Public Sans"/>
          <w:b/>
          <w:i w:val="0"/>
          <w:color w:val="3D3E3E"/>
          <w:sz w:val="19"/>
        </w:rPr>
        <w:t>long INR vs a USD/EUR/SGD basket (40/30/30)</w:t>
      </w:r>
      <w:r>
        <w:rPr>
          <w:rFonts w:ascii="Public Sans" w:hAnsi="Public Sans"/>
          <w:b w:val="0"/>
          <w:i w:val="0"/>
          <w:color w:val="3D3E3E"/>
          <w:sz w:val="19"/>
        </w:rPr>
        <w:t xml:space="preserve"> + re-initiates NDOIS 1s5s steepeners (RBI's FCNR measures "starting to have an impact"), CPI 4.2%. UBS: CPI 4.2% (in line), FY27 CPI cut to 4.8% from 5.2%, but </w:t>
      </w:r>
      <w:r>
        <w:rPr>
          <w:rFonts w:ascii="Public Sans" w:hAnsi="Public Sans"/>
          <w:b/>
          <w:i w:val="0"/>
          <w:color w:val="3D3E3E"/>
          <w:sz w:val="19"/>
        </w:rPr>
        <w:t>holds INR-swap PAYERS</w:t>
      </w:r>
      <w:r>
        <w:rPr>
          <w:rFonts w:ascii="Public Sans" w:hAnsi="Public Sans"/>
          <w:b w:val="0"/>
          <w:i w:val="0"/>
          <w:color w:val="3D3E3E"/>
          <w:sz w:val="19"/>
        </w:rPr>
        <w:t xml:space="preserve"> as a hedge against El-Niño food risk + a CPI re-acceleration into early-2027 (food to 6.5-7.0% in H2). GS equities ("Room To Rebound," 17621): NIFTY target 26,500 (~10% upside), rotate to value/large-caps/banks — its macro table pins the repo at </w:t>
      </w:r>
      <w:r>
        <w:rPr>
          <w:rFonts w:ascii="Public Sans" w:hAnsi="Public Sans"/>
          <w:b/>
          <w:i w:val="0"/>
          <w:color w:val="3D3E3E"/>
          <w:sz w:val="19"/>
        </w:rPr>
        <w:t>5.75% eop CY26</w:t>
      </w:r>
      <w:r>
        <w:rPr>
          <w:rFonts w:ascii="Public Sans" w:hAnsi="Public Sans"/>
          <w:b w:val="0"/>
          <w:i w:val="0"/>
          <w:color w:val="3D3E3E"/>
          <w:sz w:val="19"/>
        </w:rPr>
        <w:t xml:space="preserve"> (i.e. embeds +50bp of hikes) and 12m USDINR 96. So: Citi receives + long-INR, UBS pays, GS sees hikes. (VIEW — 17693/17686/17621)</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GS is a genuinely dovish third Canada view into the 15-Jul BoC (17674).</w:t>
      </w:r>
      <w:r>
        <w:rPr>
          <w:rFonts w:ascii="Public Sans" w:hAnsi="Public Sans"/>
          <w:b w:val="0"/>
          <w:i w:val="0"/>
          <w:color w:val="3D3E3E"/>
          <w:sz w:val="19"/>
        </w:rPr>
        <w:t xml:space="preserve"> GS: hold this week (23/24 forecasters, market −2bp), return to pre-war "about the right place" guidance, modest MPR downgrades; hold through 2026 then normalise to mid-neutral next year — </w:t>
      </w:r>
      <w:r>
        <w:rPr>
          <w:rFonts w:ascii="Public Sans" w:hAnsi="Public Sans"/>
          <w:b/>
          <w:i w:val="0"/>
          <w:color w:val="3D3E3E"/>
          <w:sz w:val="19"/>
        </w:rPr>
        <w:t>dovish vs market pricing on both baseline (flat) and risk-adjusted (+8bp) bases.</w:t>
      </w:r>
      <w:r>
        <w:rPr>
          <w:rFonts w:ascii="Public Sans" w:hAnsi="Public Sans"/>
          <w:b w:val="0"/>
          <w:i w:val="0"/>
          <w:color w:val="3D3E3E"/>
          <w:sz w:val="19"/>
        </w:rPr>
        <w:t xml:space="preserve"> June jobs came in firm (flow-confirmed): unemployment 6.5% (from 6.6% May), 3m-avg employment +29.4k. This sits between UBS (hold, dilemma) and StanC (cut by year-end); the market prices +54bp into Jul-27. (VIEW — 17674; cb_events Canada jobs still null)</w:t>
      </w:r>
    </w:p>
    <w:p>
      <w:pPr>
        <w:spacing w:after="80" w:line="283" w:lineRule="auto"/>
      </w:pPr>
      <w:r>
        <w:rPr>
          <w:rFonts w:ascii="Public Sans" w:hAnsi="Public Sans"/>
          <w:b w:val="0"/>
          <w:i w:val="0"/>
          <w:color w:val="3D3E3E"/>
          <w:sz w:val="19"/>
        </w:rPr>
        <w:t xml:space="preserve">8. </w:t>
      </w:r>
      <w:r>
        <w:rPr>
          <w:rFonts w:ascii="Public Sans" w:hAnsi="Public Sans"/>
          <w:b/>
          <w:i w:val="0"/>
          <w:color w:val="3D3E3E"/>
          <w:sz w:val="19"/>
        </w:rPr>
        <w:t>GS Australia quantifies the wealth-effect drag (17645).</w:t>
      </w:r>
      <w:r>
        <w:rPr>
          <w:rFonts w:ascii="Public Sans" w:hAnsi="Public Sans"/>
          <w:b w:val="0"/>
          <w:i w:val="0"/>
          <w:color w:val="3D3E3E"/>
          <w:sz w:val="19"/>
        </w:rPr>
        <w:t xml:space="preserve"> GS forecasts consumer spending to slow 120bp to 1.3% y/y by end-2026, house prices −5% y/y to 1Q27 (a 90bp consumption drag via the wealth channel; 1% housing-wealth fall → 0.18% long-run consumption), unemployment peaking 4.7% 1Q27, and an easing cycle from early 2027 — the "necessary consequence" of RBA tightening. Sides with the JPM (peaked, 2027 cuts) camp; the market prices only ~13bp of RBA hike to end-26 then a fade. (VIEW — 17645)</w:t>
      </w:r>
    </w:p>
    <w:p>
      <w:pPr>
        <w:spacing w:after="80" w:line="283" w:lineRule="auto"/>
      </w:pPr>
      <w:r>
        <w:rPr>
          <w:rFonts w:ascii="Public Sans" w:hAnsi="Public Sans"/>
          <w:b w:val="0"/>
          <w:i w:val="0"/>
          <w:color w:val="3D3E3E"/>
          <w:sz w:val="19"/>
        </w:rPr>
        <w:t xml:space="preserve">9. </w:t>
      </w:r>
      <w:r>
        <w:rPr>
          <w:rFonts w:ascii="Public Sans" w:hAnsi="Public Sans"/>
          <w:b/>
          <w:i w:val="0"/>
          <w:color w:val="3D3E3E"/>
          <w:sz w:val="19"/>
        </w:rPr>
        <w:t>China: PPI peaked confirmed, but the GS-vs-StanC policy split sharpens into 15-Jul GDP (GS 17650, MS 17665, UBS 17686).</w:t>
      </w:r>
      <w:r>
        <w:rPr>
          <w:rFonts w:ascii="Public Sans" w:hAnsi="Public Sans"/>
          <w:b w:val="0"/>
          <w:i w:val="0"/>
          <w:color w:val="3D3E3E"/>
          <w:sz w:val="19"/>
        </w:rPr>
        <w:t xml:space="preserve"> GS: 2026 PPI 2% / 2027 PPI 0%, </w:t>
      </w:r>
      <w:r>
        <w:rPr>
          <w:rFonts w:ascii="Public Sans" w:hAnsi="Public Sans"/>
          <w:b/>
          <w:i w:val="0"/>
          <w:color w:val="3D3E3E"/>
          <w:sz w:val="19"/>
        </w:rPr>
        <w:t>no policy-rate or RRR cut in 2026</w:t>
      </w:r>
      <w:r>
        <w:rPr>
          <w:rFonts w:ascii="Public Sans" w:hAnsi="Public Sans"/>
          <w:b w:val="0"/>
          <w:i w:val="0"/>
          <w:color w:val="3D3E3E"/>
          <w:sz w:val="19"/>
        </w:rPr>
        <w:t xml:space="preserve"> (vs StanC's RRR −25bp Q3 last week). MS ("Inflation without Reflation"): fiscal fine-tuned not pivot (~Rmb2trn 2H impulse room), PBoC on hold, export resilience reduces easing urgency. UBS: Q2 GDP ~4.5-4.7% y/y but sequential ~2% qoq saar (weakest since 2022) → catalyses more support ahead of the July Politburo, but "targeted and incremental." All constructive RMB (Governor Pan's CNH package; DB 17696 "Rise of the RMB Financing Ecosystem"). (VIEW — 17650/17665/17686/17696)</w:t>
      </w:r>
    </w:p>
    <w:p>
      <w:pPr>
        <w:spacing w:after="80" w:line="283" w:lineRule="auto"/>
      </w:pPr>
      <w:r>
        <w:rPr>
          <w:rFonts w:ascii="Public Sans" w:hAnsi="Public Sans"/>
          <w:b w:val="0"/>
          <w:i w:val="0"/>
          <w:color w:val="3D3E3E"/>
          <w:sz w:val="19"/>
        </w:rPr>
        <w:t xml:space="preserve">10. </w:t>
      </w:r>
      <w:r>
        <w:rPr>
          <w:rFonts w:ascii="Public Sans" w:hAnsi="Public Sans"/>
          <w:b/>
          <w:i w:val="0"/>
          <w:color w:val="3D3E3E"/>
          <w:sz w:val="19"/>
        </w:rPr>
        <w:t>Equities + commodities refreshed one day, to 07-10 (were stale at 07-08 last run).</w:t>
      </w:r>
      <w:r>
        <w:rPr>
          <w:rFonts w:ascii="Public Sans" w:hAnsi="Public Sans"/>
          <w:b w:val="0"/>
          <w:i w:val="0"/>
          <w:color w:val="3D3E3E"/>
          <w:sz w:val="19"/>
        </w:rPr>
        <w:t xml:space="preserve"> Equity column now carries the 07-09→07-10 (Friday) session — broadly up — but is still one session behind the Monday FX/rates. WTI 72.27 / gold 4121 / silver 59.50 as of 07-10. (PRICING — equities.fact_index_level, commodities.fact_spot)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4. Cross-asset moves matrix (DoD)</w:t>
      </w:r>
    </w:p>
    <w:p>
      <w:pPr>
        <w:spacing w:after="80" w:line="283" w:lineRule="auto"/>
      </w:pPr>
      <w:r>
        <w:rPr>
          <w:rFonts w:ascii="Public Sans" w:hAnsi="Public Sans"/>
          <w:b w:val="0"/>
          <w:i w:val="0"/>
          <w:color w:val="3D3E3E"/>
          <w:sz w:val="19"/>
        </w:rPr>
        <w:t xml:space="preserve">Day-over-day = </w:t>
      </w:r>
      <w:r>
        <w:rPr>
          <w:rFonts w:ascii="Public Sans" w:hAnsi="Public Sans"/>
          <w:b/>
          <w:i w:val="0"/>
          <w:color w:val="3D3E3E"/>
          <w:sz w:val="19"/>
        </w:rPr>
        <w:t>(07-13 last-tick) − (07-10 last-tick)</w:t>
      </w:r>
      <w:r>
        <w:rPr>
          <w:rFonts w:ascii="Public Sans" w:hAnsi="Public Sans"/>
          <w:b w:val="0"/>
          <w:i w:val="0"/>
          <w:color w:val="3D3E3E"/>
          <w:sz w:val="19"/>
        </w:rPr>
        <w:t xml:space="preserve">, last tick = max ts within the calendar day, for </w:t>
      </w:r>
      <w:r>
        <w:rPr>
          <w:rFonts w:ascii="Public Sans" w:hAnsi="Public Sans"/>
          <w:b/>
          <w:i w:val="0"/>
          <w:color w:val="3D3E3E"/>
          <w:sz w:val="19"/>
        </w:rPr>
        <w:t>FX (spot)</w:t>
      </w:r>
      <w:r>
        <w:rPr>
          <w:rFonts w:ascii="Public Sans" w:hAnsi="Public Sans"/>
          <w:b w:val="0"/>
          <w:i w:val="0"/>
          <w:color w:val="3D3E3E"/>
          <w:sz w:val="19"/>
        </w:rPr>
        <w:t xml:space="preserve"> and </w:t>
      </w:r>
      <w:r>
        <w:rPr>
          <w:rFonts w:ascii="Public Sans" w:hAnsi="Public Sans"/>
          <w:b/>
          <w:i w:val="0"/>
          <w:color w:val="3D3E3E"/>
          <w:sz w:val="19"/>
        </w:rPr>
        <w:t>2y/10y swap/OIS par</w:t>
      </w:r>
      <w:r>
        <w:rPr>
          <w:rFonts w:ascii="Public Sans" w:hAnsi="Public Sans"/>
          <w:b w:val="0"/>
          <w:i w:val="0"/>
          <w:color w:val="3D3E3E"/>
          <w:sz w:val="19"/>
        </w:rPr>
        <w:t xml:space="preserve"> (rates.fact_observation, quote='par'). Every sign sanity-checked against the two closes. </w:t>
      </w:r>
      <w:r>
        <w:rPr>
          <w:rFonts w:ascii="Public Sans" w:hAnsi="Public Sans"/>
          <w:b/>
          <w:i w:val="0"/>
          <w:color w:val="3D3E3E"/>
          <w:sz w:val="19"/>
        </w:rPr>
        <w:t>Equities are refreshed only to 07-10</w:t>
      </w:r>
      <w:r>
        <w:rPr>
          <w:rFonts w:ascii="Public Sans" w:hAnsi="Public Sans"/>
          <w:b w:val="0"/>
          <w:i w:val="0"/>
          <w:color w:val="3D3E3E"/>
          <w:sz w:val="19"/>
        </w:rPr>
        <w:t xml:space="preserve"> (equities.fact_index_level stops 07-10), so the equity column shows the 07-09→07-10 (Friday) move — one session behind the Monday FX/rates, marked stale. FX % is </w:t>
      </w:r>
      <w:r>
        <w:rPr>
          <w:rFonts w:ascii="Public Sans" w:hAnsi="Public Sans"/>
          <w:b/>
          <w:i w:val="0"/>
          <w:color w:val="3D3E3E"/>
          <w:sz w:val="19"/>
        </w:rPr>
        <w:t>local vs USD</w:t>
      </w:r>
      <w:r>
        <w:rPr>
          <w:rFonts w:ascii="Public Sans" w:hAnsi="Public Sans"/>
          <w:b w:val="0"/>
          <w:i w:val="0"/>
          <w:color w:val="3D3E3E"/>
          <w:sz w:val="19"/>
        </w:rPr>
        <w:t xml:space="preserve"> (positive = local stronger). Rates are </w:t>
      </w:r>
      <w:r>
        <w:rPr>
          <w:rFonts w:ascii="Public Sans" w:hAnsi="Public Sans"/>
          <w:b/>
          <w:i w:val="0"/>
          <w:color w:val="3D3E3E"/>
          <w:sz w:val="19"/>
        </w:rPr>
        <w:t>swap/OIS par</w:t>
      </w:r>
      <w:r>
        <w:rPr>
          <w:rFonts w:ascii="Public Sans" w:hAnsi="Public Sans"/>
          <w:b w:val="0"/>
          <w:i w:val="0"/>
          <w:color w:val="3D3E3E"/>
          <w:sz w:val="19"/>
        </w:rPr>
        <w:t xml:space="preserve"> — fact_bond_yield is EMPTY, so no cash govt yields are loaded. "n/l" = not loaded / no fresh 07-13 tick.</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11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5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FX vs USD (DoD %)</w:t>
            </w:r>
          </w:p>
        </w:tc>
        <w:tc>
          <w:tcPr>
            <w:tcW w:type="dxa" w:w="8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2y (DoD bp)</w:t>
            </w:r>
          </w:p>
        </w:tc>
        <w:tc>
          <w:tcPr>
            <w:tcW w:type="dxa" w:w="8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10y (DoD bp)</w:t>
            </w:r>
          </w:p>
        </w:tc>
        <w:tc>
          <w:tcPr>
            <w:tcW w:type="dxa" w:w="247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Equity (stale 07-10)</w:t>
            </w:r>
          </w:p>
        </w:tc>
        <w:tc>
          <w:tcPr>
            <w:tcW w:type="dxa" w:w="37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One-line read</w:t>
            </w:r>
          </w:p>
        </w:tc>
      </w:tr>
      <w:tr>
        <w:tc>
          <w:tcPr>
            <w:tcW w:type="dxa" w:w="11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Australia</w:t>
            </w:r>
          </w:p>
        </w:tc>
        <w:tc>
          <w:tcPr>
            <w:tcW w:type="dxa" w:w="15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AUD </w:t>
            </w:r>
            <w:r>
              <w:rPr>
                <w:rFonts w:ascii="Public Sans" w:hAnsi="Public Sans"/>
                <w:b/>
                <w:i w:val="0"/>
                <w:color w:val="3D3E3E"/>
                <w:sz w:val="16"/>
              </w:rPr>
              <w:t>−0.31%</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+2.3</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+2.3</w:t>
            </w:r>
          </w:p>
        </w:tc>
        <w:tc>
          <w:tcPr>
            <w:tcW w:type="dxa" w:w="24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ASX 200 +0.50% (stale)</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Biggest FX decliner; curve backed up; GS quantifies a −5% house-price / 120bp consumption drag; RBA fork, mkt prices ~13bp hike then fade.</w:t>
            </w:r>
          </w:p>
        </w:tc>
      </w:tr>
      <w:tr>
        <w:tc>
          <w:tcPr>
            <w:tcW w:type="dxa" w:w="11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Indonesia</w:t>
            </w:r>
          </w:p>
        </w:tc>
        <w:tc>
          <w:tcPr>
            <w:tcW w:type="dxa" w:w="15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IDR </w:t>
            </w:r>
            <w:r>
              <w:rPr>
                <w:rFonts w:ascii="Public Sans" w:hAnsi="Public Sans"/>
                <w:b/>
                <w:i w:val="0"/>
                <w:color w:val="3D3E3E"/>
                <w:sz w:val="16"/>
              </w:rPr>
              <w:t>−0.28%</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JIBOR </w:t>
            </w:r>
            <w:r>
              <w:rPr>
                <w:rFonts w:ascii="Public Sans" w:hAnsi="Public Sans"/>
                <w:b/>
                <w:i w:val="0"/>
                <w:color w:val="3D3E3E"/>
                <w:sz w:val="16"/>
              </w:rPr>
              <w:t>−2.0</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JIBOR 0.0</w:t>
            </w:r>
          </w:p>
        </w:tc>
        <w:tc>
          <w:tcPr>
            <w:tcW w:type="dxa" w:w="24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Biggest EM decliner; long end held, front richened −2bp; BI 22-Jul; UBS ASEAN deck; carry the Citi pro-stability read.</w:t>
            </w:r>
          </w:p>
        </w:tc>
      </w:tr>
      <w:tr>
        <w:tc>
          <w:tcPr>
            <w:tcW w:type="dxa" w:w="11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Thailand</w:t>
            </w:r>
          </w:p>
        </w:tc>
        <w:tc>
          <w:tcPr>
            <w:tcW w:type="dxa" w:w="15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THB </w:t>
            </w:r>
            <w:r>
              <w:rPr>
                <w:rFonts w:ascii="Public Sans" w:hAnsi="Public Sans"/>
                <w:b/>
                <w:i w:val="0"/>
                <w:color w:val="3D3E3E"/>
                <w:sz w:val="16"/>
              </w:rPr>
              <w:t>−0.25%</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+2.9</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+3.6</w:t>
            </w:r>
          </w:p>
        </w:tc>
        <w:tc>
          <w:tcPr>
            <w:tcW w:type="dxa" w:w="24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SET +0.70% (stale)</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softer, rates backed up; Citi holds long-USDTHB via a 2m EKO (strike 32.75/barrier 33.5); StanC fiscal-H2 read; BoT on hold.</w:t>
            </w:r>
          </w:p>
        </w:tc>
      </w:tr>
      <w:tr>
        <w:tc>
          <w:tcPr>
            <w:tcW w:type="dxa" w:w="11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Japan</w:t>
            </w:r>
          </w:p>
        </w:tc>
        <w:tc>
          <w:tcPr>
            <w:tcW w:type="dxa" w:w="15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JPY </w:t>
            </w:r>
            <w:r>
              <w:rPr>
                <w:rFonts w:ascii="Public Sans" w:hAnsi="Public Sans"/>
                <w:b/>
                <w:i w:val="0"/>
                <w:color w:val="3D3E3E"/>
                <w:sz w:val="16"/>
              </w:rPr>
              <w:t>−0.25%</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+2.2</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+4.0</w:t>
            </w:r>
          </w:p>
        </w:tc>
        <w:tc>
          <w:tcPr>
            <w:tcW w:type="dxa" w:w="24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Nikkei +1.20% / TOPIX +0.39% (stale)</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JPY weaker on the yield/carry frame (DB Saravelos); 10y backed up most in the belly on GPIF-reallocation chatter (BNP); BoJ-to-2% the only appreciation avenue.</w:t>
            </w:r>
          </w:p>
        </w:tc>
      </w:tr>
      <w:tr>
        <w:tc>
          <w:tcPr>
            <w:tcW w:type="dxa" w:w="11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India</w:t>
            </w:r>
          </w:p>
        </w:tc>
        <w:tc>
          <w:tcPr>
            <w:tcW w:type="dxa" w:w="15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INR </w:t>
            </w:r>
            <w:r>
              <w:rPr>
                <w:rFonts w:ascii="Public Sans" w:hAnsi="Public Sans"/>
                <w:b/>
                <w:i w:val="0"/>
                <w:color w:val="3D3E3E"/>
                <w:sz w:val="16"/>
              </w:rPr>
              <w:t>−0.20%</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−0.35</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−0.6</w:t>
            </w:r>
          </w:p>
        </w:tc>
        <w:tc>
          <w:tcPr>
            <w:tcW w:type="dxa" w:w="24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Nifty +1.02% (stale)</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INR softer, curve marginally richer; </w:t>
            </w:r>
            <w:r>
              <w:rPr>
                <w:rFonts w:ascii="Public Sans" w:hAnsi="Public Sans"/>
                <w:b/>
                <w:i w:val="0"/>
                <w:color w:val="3D3E3E"/>
                <w:sz w:val="16"/>
              </w:rPr>
              <w:t>CPI prints today</w:t>
            </w:r>
            <w:r>
              <w:rPr>
                <w:rFonts w:ascii="Public Sans" w:hAnsi="Public Sans"/>
                <w:b w:val="0"/>
                <w:i w:val="0"/>
                <w:color w:val="3D3E3E"/>
                <w:sz w:val="16"/>
              </w:rPr>
              <w:t xml:space="preserve"> (Citi/UBS/StanC 4.2%); Citi long-INR + steepener vs UBS INR-payer — a live rates split.</w:t>
            </w:r>
          </w:p>
        </w:tc>
      </w:tr>
      <w:tr>
        <w:tc>
          <w:tcPr>
            <w:tcW w:type="dxa" w:w="11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Singapore</w:t>
            </w:r>
          </w:p>
        </w:tc>
        <w:tc>
          <w:tcPr>
            <w:tcW w:type="dxa" w:w="15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SGD </w:t>
            </w:r>
            <w:r>
              <w:rPr>
                <w:rFonts w:ascii="Public Sans" w:hAnsi="Public Sans"/>
                <w:b/>
                <w:i w:val="0"/>
                <w:color w:val="3D3E3E"/>
                <w:sz w:val="16"/>
              </w:rPr>
              <w:t>−0.19%</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+3.0</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+3.75</w:t>
            </w:r>
          </w:p>
        </w:tc>
        <w:tc>
          <w:tcPr>
            <w:tcW w:type="dxa" w:w="24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SIMSCI +0.73% (stale)</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SGD softer, curve backed up into 14-Jul advance GDP + MAS; StanC GDP 5.9 (cons 5.7); ANZ +50bp slope vs GS hold-with-tilt.</w:t>
            </w:r>
          </w:p>
        </w:tc>
      </w:tr>
      <w:tr>
        <w:tc>
          <w:tcPr>
            <w:tcW w:type="dxa" w:w="11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Kingdom</w:t>
            </w:r>
          </w:p>
        </w:tc>
        <w:tc>
          <w:tcPr>
            <w:tcW w:type="dxa" w:w="15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GBP </w:t>
            </w:r>
            <w:r>
              <w:rPr>
                <w:rFonts w:ascii="Public Sans" w:hAnsi="Public Sans"/>
                <w:b/>
                <w:i w:val="0"/>
                <w:color w:val="3D3E3E"/>
                <w:sz w:val="16"/>
              </w:rPr>
              <w:t>−0.17%</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−0.3</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−0.1</w:t>
            </w:r>
          </w:p>
        </w:tc>
        <w:tc>
          <w:tcPr>
            <w:tcW w:type="dxa" w:w="24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FTSE (07-09 only)</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 softer but front end ~flat (bucked the DM back-up); Burnham to become PM 20-Jul (GS/StanC); mkt prices BoE +29bp by Dec.</w:t>
            </w:r>
          </w:p>
        </w:tc>
      </w:tr>
      <w:tr>
        <w:tc>
          <w:tcPr>
            <w:tcW w:type="dxa" w:w="11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Malaysia</w:t>
            </w:r>
          </w:p>
        </w:tc>
        <w:tc>
          <w:tcPr>
            <w:tcW w:type="dxa" w:w="15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MYR </w:t>
            </w:r>
            <w:r>
              <w:rPr>
                <w:rFonts w:ascii="Public Sans" w:hAnsi="Public Sans"/>
                <w:b/>
                <w:i w:val="0"/>
                <w:color w:val="3D3E3E"/>
                <w:sz w:val="16"/>
              </w:rPr>
              <w:t>−0.18%</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+1.25</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+1.75</w:t>
            </w:r>
          </w:p>
        </w:tc>
        <w:tc>
          <w:tcPr>
            <w:tcW w:type="dxa" w:w="24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 choppy post-Johor (BN landslide); GS "continuity" vs Barclays "Anwar losing ground"; Barclays keeps the Sep BNM hike to 3.00%.</w:t>
            </w:r>
          </w:p>
        </w:tc>
      </w:tr>
      <w:tr>
        <w:tc>
          <w:tcPr>
            <w:tcW w:type="dxa" w:w="11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Canada</w:t>
            </w:r>
          </w:p>
        </w:tc>
        <w:tc>
          <w:tcPr>
            <w:tcW w:type="dxa" w:w="15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CAD </w:t>
            </w:r>
            <w:r>
              <w:rPr>
                <w:rFonts w:ascii="Public Sans" w:hAnsi="Public Sans"/>
                <w:b/>
                <w:i w:val="0"/>
                <w:color w:val="3D3E3E"/>
                <w:sz w:val="16"/>
              </w:rPr>
              <w:t>−0.15%</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+0.1</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CORRA n/l</w:t>
            </w:r>
          </w:p>
        </w:tc>
        <w:tc>
          <w:tcPr>
            <w:tcW w:type="dxa" w:w="24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CAD softer; front end flat into 15-Jul BoC; GS dovish (hold-then-2027-cuts) vs UBS hold vs StanC cut-by-year-end; June jobs firm (U-rate 6.5%).</w:t>
            </w:r>
          </w:p>
        </w:tc>
      </w:tr>
      <w:tr>
        <w:tc>
          <w:tcPr>
            <w:tcW w:type="dxa" w:w="11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Euro/US context</w:t>
            </w:r>
          </w:p>
        </w:tc>
        <w:tc>
          <w:tcPr>
            <w:tcW w:type="dxa" w:w="15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EUR </w:t>
            </w:r>
            <w:r>
              <w:rPr>
                <w:rFonts w:ascii="Public Sans" w:hAnsi="Public Sans"/>
                <w:b/>
                <w:i w:val="0"/>
                <w:color w:val="3D3E3E"/>
                <w:sz w:val="16"/>
              </w:rPr>
              <w:t>−0.19%</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+2.1</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+2.2</w:t>
            </w:r>
          </w:p>
        </w:tc>
        <w:tc>
          <w:tcPr>
            <w:tcW w:type="dxa" w:w="24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S&amp;P 500 +0.42% (stale)</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 front end and belly BACKED UP into CPI; mkt prices Fed +22bp by 16-Sep; US 10yr cash ~4.56% (DB, +8bp on the week, sell-side).</w:t>
            </w:r>
          </w:p>
        </w:tc>
      </w:tr>
      <w:tr>
        <w:tc>
          <w:tcPr>
            <w:tcW w:type="dxa" w:w="11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China / Hong Kong</w:t>
            </w:r>
          </w:p>
        </w:tc>
        <w:tc>
          <w:tcPr>
            <w:tcW w:type="dxa" w:w="15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CNH </w:t>
            </w:r>
            <w:r>
              <w:rPr>
                <w:rFonts w:ascii="Public Sans" w:hAnsi="Public Sans"/>
                <w:b/>
                <w:i w:val="0"/>
                <w:color w:val="3D3E3E"/>
                <w:sz w:val="16"/>
              </w:rPr>
              <w:t>−0.06%</w:t>
            </w:r>
            <w:r>
              <w:rPr>
                <w:rFonts w:ascii="Public Sans" w:hAnsi="Public Sans"/>
                <w:b w:val="0"/>
                <w:i w:val="0"/>
                <w:color w:val="3D3E3E"/>
                <w:sz w:val="16"/>
              </w:rPr>
              <w:t xml:space="preserve"> / HKD </w:t>
            </w:r>
            <w:r>
              <w:rPr>
                <w:rFonts w:ascii="Public Sans" w:hAnsi="Public Sans"/>
                <w:b/>
                <w:i w:val="0"/>
                <w:color w:val="3D3E3E"/>
                <w:sz w:val="16"/>
              </w:rPr>
              <w:t>+0.03%</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+6.1</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+4.1</w:t>
            </w:r>
          </w:p>
        </w:tc>
        <w:tc>
          <w:tcPr>
            <w:tcW w:type="dxa" w:w="24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HSI +0.60% / HSTECH −0.21% (stale)</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CNH ~flat (RMB-internationalisation bid); HKD firm on the peg but </w:t>
            </w:r>
            <w:r>
              <w:rPr>
                <w:rFonts w:ascii="Public Sans" w:hAnsi="Public Sans"/>
                <w:b/>
                <w:i w:val="0"/>
                <w:color w:val="3D3E3E"/>
                <w:sz w:val="16"/>
              </w:rPr>
              <w:t>HIBOR backed up hard</w:t>
            </w:r>
            <w:r>
              <w:rPr>
                <w:rFonts w:ascii="Public Sans" w:hAnsi="Public Sans"/>
                <w:b w:val="0"/>
                <w:i w:val="0"/>
                <w:color w:val="3D3E3E"/>
                <w:sz w:val="16"/>
              </w:rPr>
              <w:t xml:space="preserve"> on hawkish-Fed repricing + dividend season (HSBC "fine line," 7.85 a risk not base case).</w:t>
            </w:r>
          </w:p>
        </w:tc>
      </w:tr>
      <w:tr>
        <w:tc>
          <w:tcPr>
            <w:tcW w:type="dxa" w:w="11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15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PHP </w:t>
            </w:r>
            <w:r>
              <w:rPr>
                <w:rFonts w:ascii="Public Sans" w:hAnsi="Public Sans"/>
                <w:b/>
                <w:i w:val="0"/>
                <w:color w:val="3D3E3E"/>
                <w:sz w:val="16"/>
              </w:rPr>
              <w:t>−0.07%</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PHIREF </w:t>
            </w:r>
            <w:r>
              <w:rPr>
                <w:rFonts w:ascii="Public Sans" w:hAnsi="Public Sans"/>
                <w:b/>
                <w:i w:val="0"/>
                <w:color w:val="3D3E3E"/>
                <w:sz w:val="16"/>
              </w:rPr>
              <w:t>+4.85</w:t>
            </w:r>
          </w:p>
        </w:tc>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PHIREF 0.0</w:t>
            </w:r>
          </w:p>
        </w:tc>
        <w:tc>
          <w:tcPr>
            <w:tcW w:type="dxa" w:w="24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Peso resilient; </w:t>
            </w:r>
            <w:r>
              <w:rPr>
                <w:rFonts w:ascii="Public Sans" w:hAnsi="Public Sans"/>
                <w:b/>
                <w:i w:val="0"/>
                <w:color w:val="3D3E3E"/>
                <w:sz w:val="16"/>
              </w:rPr>
              <w:t>front end backed up +4.85bp</w:t>
            </w:r>
            <w:r>
              <w:rPr>
                <w:rFonts w:ascii="Public Sans" w:hAnsi="Public Sans"/>
                <w:b w:val="0"/>
                <w:i w:val="0"/>
                <w:color w:val="3D3E3E"/>
                <w:sz w:val="16"/>
              </w:rPr>
              <w:t xml:space="preserve"> on the Aug-hike lean; Citi long-USDPHP 1x1.5 call ratio (62/63); carry StanC 2Y-3Y RPGB.</w:t>
            </w:r>
          </w:p>
        </w:tc>
      </w:tr>
      <w:tr>
        <w:tc>
          <w:tcPr>
            <w:tcW w:type="dxa" w:w="11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5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NZD </w:t>
            </w:r>
            <w:r>
              <w:rPr>
                <w:rFonts w:ascii="Public Sans" w:hAnsi="Public Sans"/>
                <w:b/>
                <w:i w:val="0"/>
                <w:color w:val="3D3E3E"/>
                <w:sz w:val="16"/>
              </w:rPr>
              <w:t>−0.02%</w:t>
            </w:r>
            <w:r>
              <w:rPr>
                <w:rFonts w:ascii="Public Sans" w:hAnsi="Public Sans"/>
                <w:b w:val="0"/>
                <w:i w:val="0"/>
                <w:color w:val="3D3E3E"/>
                <w:sz w:val="16"/>
              </w:rPr>
              <w:t xml:space="preserve"> (flat)</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NZIONA </w:t>
            </w:r>
            <w:r>
              <w:rPr>
                <w:rFonts w:ascii="Public Sans" w:hAnsi="Public Sans"/>
                <w:b/>
                <w:i w:val="0"/>
                <w:color w:val="3D3E3E"/>
                <w:sz w:val="16"/>
              </w:rPr>
              <w:t>+7.1</w:t>
            </w:r>
          </w:p>
        </w:tc>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+6.6</w:t>
            </w:r>
          </w:p>
        </w:tc>
        <w:tc>
          <w:tcPr>
            <w:tcW w:type="dxa" w:w="24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Kiwi held while the </w:t>
            </w:r>
            <w:r>
              <w:rPr>
                <w:rFonts w:ascii="Public Sans" w:hAnsi="Public Sans"/>
                <w:b/>
                <w:i w:val="0"/>
                <w:color w:val="3D3E3E"/>
                <w:sz w:val="16"/>
              </w:rPr>
              <w:t>curve backed up the most in the universe</w:t>
            </w:r>
            <w:r>
              <w:rPr>
                <w:rFonts w:ascii="Public Sans" w:hAnsi="Public Sans"/>
                <w:b w:val="0"/>
                <w:i w:val="0"/>
                <w:color w:val="3D3E3E"/>
                <w:sz w:val="16"/>
              </w:rPr>
              <w:t>; RBNZ cut its own inflation-peak to 3.9%; mkt prices 2.99% Dec; JPM sees 75bp more.</w:t>
            </w:r>
          </w:p>
        </w:tc>
      </w:tr>
    </w:tbl>
    <w:p>
      <w:pPr>
        <w:spacing w:after="80" w:line="283" w:lineRule="auto"/>
      </w:pPr>
      <w:r>
        <w:rPr>
          <w:rFonts w:ascii="Public Sans" w:hAnsi="Public Sans"/>
          <w:b w:val="0"/>
          <w:i/>
          <w:color w:val="3D3E3E"/>
          <w:sz w:val="19"/>
        </w:rPr>
        <w:t>Oil/vol footnote:</w:t>
      </w:r>
      <w:r>
        <w:rPr>
          <w:rFonts w:ascii="Public Sans" w:hAnsi="Public Sans"/>
          <w:b w:val="0"/>
          <w:i w:val="0"/>
          <w:color w:val="3D3E3E"/>
          <w:sz w:val="19"/>
        </w:rPr>
        <w:t xml:space="preserve"> WTI </w:t>
      </w:r>
      <w:r>
        <w:rPr>
          <w:rFonts w:ascii="Public Sans" w:hAnsi="Public Sans"/>
          <w:b/>
          <w:i w:val="0"/>
          <w:color w:val="3D3E3E"/>
          <w:sz w:val="19"/>
        </w:rPr>
        <w:t>72.27</w:t>
      </w:r>
      <w:r>
        <w:rPr>
          <w:rFonts w:ascii="Public Sans" w:hAnsi="Public Sans"/>
          <w:b w:val="0"/>
          <w:i w:val="0"/>
          <w:color w:val="3D3E3E"/>
          <w:sz w:val="19"/>
        </w:rPr>
        <w:t xml:space="preserve"> (commodities.fact_spot, refreshed to </w:t>
      </w:r>
      <w:r>
        <w:rPr>
          <w:rFonts w:ascii="Public Sans" w:hAnsi="Public Sans"/>
          <w:b/>
          <w:i w:val="0"/>
          <w:color w:val="3D3E3E"/>
          <w:sz w:val="19"/>
        </w:rPr>
        <w:t>07-10</w:t>
      </w:r>
      <w:r>
        <w:rPr>
          <w:rFonts w:ascii="Public Sans" w:hAnsi="Public Sans"/>
          <w:b w:val="0"/>
          <w:i w:val="0"/>
          <w:color w:val="3D3E3E"/>
          <w:sz w:val="19"/>
        </w:rPr>
        <w:t xml:space="preserve">; −0.74% DoD from 72.81, and down from the 74.68 carried at 07-08 last run) — Brent ~$76 (DB 17668, −0.4% Fri, +5.4% on the week). Gold </w:t>
      </w:r>
      <w:r>
        <w:rPr>
          <w:rFonts w:ascii="Public Sans" w:hAnsi="Public Sans"/>
          <w:b/>
          <w:i w:val="0"/>
          <w:color w:val="3D3E3E"/>
          <w:sz w:val="19"/>
        </w:rPr>
        <w:t>4121.08</w:t>
      </w:r>
      <w:r>
        <w:rPr>
          <w:rFonts w:ascii="Public Sans" w:hAnsi="Public Sans"/>
          <w:b w:val="0"/>
          <w:i w:val="0"/>
          <w:color w:val="3D3E3E"/>
          <w:sz w:val="19"/>
        </w:rPr>
        <w:t xml:space="preserve"> (07-10, ~flat); silver 59.50. Despite the softer spot, </w:t>
      </w:r>
      <w:r>
        <w:rPr>
          <w:rFonts w:ascii="Public Sans" w:hAnsi="Public Sans"/>
          <w:b/>
          <w:i w:val="0"/>
          <w:color w:val="3D3E3E"/>
          <w:sz w:val="19"/>
        </w:rPr>
        <w:t>Nomura's FX-theme model (17715) flipped its dominant short-term signal to OIL (13-Jul)</w:t>
      </w:r>
      <w:r>
        <w:rPr>
          <w:rFonts w:ascii="Public Sans" w:hAnsi="Public Sans"/>
          <w:b w:val="0"/>
          <w:i w:val="0"/>
          <w:color w:val="3D3E3E"/>
          <w:sz w:val="19"/>
        </w:rPr>
        <w:t xml:space="preserve"> and HSBC (17678) flags a reconnecting USD-oil-geopolitics link as fresh USD support — the two-sided oil tail is the shared falsifier under every cooling call. </w:t>
      </w:r>
      <w:r>
        <w:rPr>
          <w:rFonts w:ascii="Public Sans" w:hAnsi="Public Sans"/>
          <w:b/>
          <w:i w:val="0"/>
          <w:color w:val="3D3E3E"/>
          <w:sz w:val="19"/>
        </w:rPr>
        <w:t>DXY</w:t>
      </w:r>
      <w:r>
        <w:rPr>
          <w:rFonts w:ascii="Public Sans" w:hAnsi="Public Sans"/>
          <w:b w:val="0"/>
          <w:i w:val="0"/>
          <w:color w:val="3D3E3E"/>
          <w:sz w:val="19"/>
        </w:rPr>
        <w:t xml:space="preserve"> is not loaded (agent proxy via crosses); the USD firmed against the whole universe DoD, fully consistent with the DM-wide curve back-up. </w:t>
      </w:r>
      <w:r>
        <w:rPr>
          <w:rFonts w:ascii="Public Sans" w:hAnsi="Public Sans"/>
          <w:b/>
          <w:i w:val="0"/>
          <w:color w:val="3D3E3E"/>
          <w:sz w:val="19"/>
        </w:rPr>
        <w:t>Equity flag:</w:t>
      </w:r>
      <w:r>
        <w:rPr>
          <w:rFonts w:ascii="Public Sans" w:hAnsi="Public Sans"/>
          <w:b w:val="0"/>
          <w:i w:val="0"/>
          <w:color w:val="3D3E3E"/>
          <w:sz w:val="19"/>
        </w:rPr>
        <w:t xml:space="preserve"> equities.fact_index_level stops at </w:t>
      </w:r>
      <w:r>
        <w:rPr>
          <w:rFonts w:ascii="Public Sans" w:hAnsi="Public Sans"/>
          <w:b/>
          <w:i w:val="0"/>
          <w:color w:val="3D3E3E"/>
          <w:sz w:val="19"/>
        </w:rPr>
        <w:t>07-10</w:t>
      </w:r>
      <w:r>
        <w:rPr>
          <w:rFonts w:ascii="Public Sans" w:hAnsi="Public Sans"/>
          <w:b w:val="0"/>
          <w:i w:val="0"/>
          <w:color w:val="3D3E3E"/>
          <w:sz w:val="19"/>
        </w:rPr>
        <w:t xml:space="preserve"> — the equity column is the Friday session, one behind the Monday FX/rates, marked stale. fact_bond_yield EMPTY — the US 10yr 4.56% is DB-reported (sell-side). </w:t>
      </w:r>
      <w:r>
        <w:rPr>
          <w:rFonts w:ascii="Public Sans" w:hAnsi="Public Sans"/>
          <w:b/>
          <w:i w:val="0"/>
          <w:color w:val="3D3E3E"/>
          <w:sz w:val="19"/>
        </w:rPr>
        <w:t>Rows ordered by DoD FX magnitude, the day's cleanest signal.</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5. CB / macro dashboard</w:t>
      </w:r>
      <w:r>
        <w:rPr>
          <w:rFonts w:ascii="Public Sans" w:hAnsi="Public Sans"/>
          <w:i/>
          <w:color w:val="7A7C7C"/>
          <w:sz w:val="16"/>
        </w:rPr>
        <w:t xml:space="preserve">   FACT — calendar.cb_events</w:t>
      </w:r>
    </w:p>
    <w:p>
      <w:pPr>
        <w:spacing w:after="80" w:line="283" w:lineRule="auto"/>
      </w:pPr>
      <w:r>
        <w:rPr>
          <w:rFonts w:ascii="Public Sans" w:hAnsi="Public Sans"/>
          <w:b w:val="0"/>
          <w:i w:val="0"/>
          <w:color w:val="3D3E3E"/>
          <w:sz w:val="19"/>
        </w:rPr>
        <w:t>One row per covered country. Policy rate = last decided rate on a verified decision row; last move and next event verified against cb_events. No universe CB decided in-window (07-11/12/13); the marquee decisions (BoC 15-Jul, plus BoK 16-Jul outside the universe) are forward.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8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3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Policy rate</w:t>
            </w:r>
          </w:p>
        </w:tc>
        <w:tc>
          <w:tcPr>
            <w:tcW w:type="dxa" w:w="15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Last move (verified)</w:t>
            </w:r>
          </w:p>
        </w:tc>
        <w:tc>
          <w:tcPr>
            <w:tcW w:type="dxa" w:w="34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Next scheduled</w:t>
            </w:r>
          </w:p>
        </w:tc>
        <w:tc>
          <w:tcPr>
            <w:tcW w:type="dxa" w:w="34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Bias / key issue</w:t>
            </w:r>
          </w:p>
        </w:tc>
      </w:tr>
      <w:tr>
        <w:tc>
          <w:tcPr>
            <w:tcW w:type="dxa" w:w="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3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3.75%</w:t>
            </w:r>
            <w:r>
              <w:rPr>
                <w:rFonts w:ascii="Public Sans" w:hAnsi="Public Sans"/>
                <w:b w:val="0"/>
                <w:i w:val="0"/>
                <w:color w:val="3D3E3E"/>
                <w:sz w:val="16"/>
              </w:rPr>
              <w:t xml:space="preserve"> (3.5-3.75 range)</w:t>
            </w:r>
          </w:p>
        </w:tc>
        <w:tc>
          <w:tcPr>
            <w:tcW w:type="dxa" w:w="1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2026-06-17 (dots up)</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 Warsh testimony 14-Jul</w:t>
            </w:r>
            <w:r>
              <w:rPr>
                <w:rFonts w:ascii="Public Sans" w:hAnsi="Public Sans"/>
                <w:b w:val="0"/>
                <w:i w:val="0"/>
                <w:color w:val="3D3E3E"/>
                <w:sz w:val="16"/>
              </w:rPr>
              <w:t>; PPI + BoC-day speakers 15-Jul</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Mkt prices +22bp by 16-Sep / +38bp by Dec (ANZ); core split GS 0.17 / cons 0.2-0.3 / BNP 0.37; Barclays core PCE 3.3% Q4/Q4</w:t>
            </w:r>
          </w:p>
        </w:tc>
      </w:tr>
      <w:tr>
        <w:tc>
          <w:tcPr>
            <w:tcW w:type="dxa" w:w="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Japan</w:t>
            </w:r>
          </w:p>
        </w:tc>
        <w:tc>
          <w:tcPr>
            <w:tcW w:type="dxa" w:w="13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1.00%</w:t>
            </w:r>
          </w:p>
        </w:tc>
        <w:tc>
          <w:tcPr>
            <w:tcW w:type="dxa" w:w="15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Hiked +25bp 2026-06-16</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Machinery orders/IP 14-15-Jul; 20y JGB auction 14-Jul</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TONAR 10y +4.0bp (belly led); GPIF-reallocation chatter (BNP); DB/Saravelos long USD/JPY on yield; BoJ-to-2% the only JPY-appreciation avenue</w:t>
            </w:r>
          </w:p>
        </w:tc>
      </w:tr>
      <w:tr>
        <w:tc>
          <w:tcPr>
            <w:tcW w:type="dxa" w:w="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China</w:t>
            </w:r>
          </w:p>
        </w:tc>
        <w:tc>
          <w:tcPr>
            <w:tcW w:type="dxa" w:w="13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LPR / 7d OMO</w:t>
            </w:r>
          </w:p>
        </w:tc>
        <w:tc>
          <w:tcPr>
            <w:tcW w:type="dxa" w:w="1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Q2 GDP + activity 15-Jul</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PPI peaked (GS 2026 2% / 2027 0%); GS </w:t>
            </w:r>
            <w:r>
              <w:rPr>
                <w:rFonts w:ascii="Public Sans" w:hAnsi="Public Sans"/>
                <w:b/>
                <w:i w:val="0"/>
                <w:color w:val="3D3E3E"/>
                <w:sz w:val="16"/>
              </w:rPr>
              <w:t>no rate/RRR cut 2026</w:t>
            </w:r>
            <w:r>
              <w:rPr>
                <w:rFonts w:ascii="Public Sans" w:hAnsi="Public Sans"/>
                <w:b w:val="0"/>
                <w:i w:val="0"/>
                <w:color w:val="3D3E3E"/>
                <w:sz w:val="16"/>
              </w:rPr>
              <w:t xml:space="preserve"> vs StanC RRR −25bp Q3; UBS Q2 ~2% qoq saar (weakest since 2022) → targeted support pre-Politburo</w:t>
            </w:r>
          </w:p>
        </w:tc>
      </w:tr>
      <w:tr>
        <w:tc>
          <w:tcPr>
            <w:tcW w:type="dxa" w:w="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3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4.35%</w:t>
            </w:r>
          </w:p>
        </w:tc>
        <w:tc>
          <w:tcPr>
            <w:tcW w:type="dxa" w:w="15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2026-06-16</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NAB/Westpac confidence 14-Jul; Q2 CPI 29-Jul; 11-Aug</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house prices −5%, consumption +1.3%, easing from early-2027; 3-way RBA fork; mkt prices ~13bp hike to end-26 then fade</w:t>
            </w:r>
          </w:p>
        </w:tc>
      </w:tr>
      <w:tr>
        <w:tc>
          <w:tcPr>
            <w:tcW w:type="dxa" w:w="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3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2.50%</w:t>
            </w:r>
          </w:p>
        </w:tc>
        <w:tc>
          <w:tcPr>
            <w:tcW w:type="dxa" w:w="1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2026-07-08</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QSBO 14-Jul; Q2 CPI 21-Jul; 2-Sep MPS</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RBNZ cut own peak to 3.9% (from 4.2%); mkt prices 2.99% Dec; JPM Sep+Dec+Feb (+75bp); Westpac aligned, surprised by timing</w:t>
            </w:r>
          </w:p>
        </w:tc>
      </w:tr>
      <w:tr>
        <w:tc>
          <w:tcPr>
            <w:tcW w:type="dxa" w:w="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Canada</w:t>
            </w:r>
          </w:p>
        </w:tc>
        <w:tc>
          <w:tcPr>
            <w:tcW w:type="dxa" w:w="13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2.25%</w:t>
            </w:r>
          </w:p>
        </w:tc>
        <w:tc>
          <w:tcPr>
            <w:tcW w:type="dxa" w:w="15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2026-06-10</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BoC + MPR 15-Jul</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dovish (hold-2026, 2027 cuts) vs UBS hold-w/-dilemma vs StanC cut-by-year-end; June U-rate 6.5% (firm, flow); mkt prices +54bp to Jul-27</w:t>
            </w:r>
          </w:p>
        </w:tc>
      </w:tr>
      <w:tr>
        <w:tc>
          <w:tcPr>
            <w:tcW w:type="dxa" w:w="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India</w:t>
            </w:r>
          </w:p>
        </w:tc>
        <w:tc>
          <w:tcPr>
            <w:tcW w:type="dxa" w:w="13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5.25%</w:t>
            </w:r>
          </w:p>
        </w:tc>
        <w:tc>
          <w:tcPr>
            <w:tcW w:type="dxa" w:w="1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2026-06-05</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13-Jul (today)</w:t>
            </w:r>
            <w:r>
              <w:rPr>
                <w:rFonts w:ascii="Public Sans" w:hAnsi="Public Sans"/>
                <w:b w:val="0"/>
                <w:i w:val="0"/>
                <w:color w:val="3D3E3E"/>
                <w:sz w:val="16"/>
              </w:rPr>
              <w:t>; WPI 14-Jul</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Citi/UBS/StanC CPI 4.2%; Citi long-INR + steepener vs UBS INR-payer; GS repo 5.75% eop CY26 (embeds hikes); food-2H the risk</w:t>
            </w:r>
          </w:p>
        </w:tc>
      </w:tr>
      <w:tr>
        <w:tc>
          <w:tcPr>
            <w:tcW w:type="dxa" w:w="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Malaysia</w:t>
            </w:r>
          </w:p>
        </w:tc>
        <w:tc>
          <w:tcPr>
            <w:tcW w:type="dxa" w:w="13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2.75%</w:t>
            </w:r>
          </w:p>
        </w:tc>
        <w:tc>
          <w:tcPr>
            <w:tcW w:type="dxa" w:w="15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2026-07-09</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Johor: BN 48/56; GS "continuity" vs Barclays "Anwar losing ground"; Barclays keeps Sep +25bp hike to 3.00%; May IP +8.4% (FACT)</w:t>
            </w:r>
          </w:p>
        </w:tc>
      </w:tr>
      <w:tr>
        <w:tc>
          <w:tcPr>
            <w:tcW w:type="dxa" w:w="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3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S\$NEER band</w:t>
            </w:r>
          </w:p>
        </w:tc>
        <w:tc>
          <w:tcPr>
            <w:tcW w:type="dxa" w:w="1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(band)</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Advance Q2 GDP + MAS MPS 14-Jul</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StanC GDP 5.9 (cons 5.7, prior 6.0); ANZ out-of-consensus +50bp slope vs GS hold-with-tilt; SORA backed up +3bp</w:t>
            </w:r>
          </w:p>
        </w:tc>
      </w:tr>
      <w:tr>
        <w:tc>
          <w:tcPr>
            <w:tcW w:type="dxa" w:w="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Hong Kong</w:t>
            </w:r>
          </w:p>
        </w:tc>
        <w:tc>
          <w:tcPr>
            <w:tcW w:type="dxa" w:w="13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peg / LAF</w:t>
            </w:r>
          </w:p>
        </w:tc>
        <w:tc>
          <w:tcPr>
            <w:tcW w:type="dxa" w:w="15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(linked to Fed)</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HKD firm on peg but HIBOR backed up +6bp on hawkish-Fed repricing + dividend season; HSBC: 7.85 a risk, not base; reserves 200% of base</w:t>
            </w:r>
          </w:p>
        </w:tc>
      </w:tr>
      <w:tr>
        <w:tc>
          <w:tcPr>
            <w:tcW w:type="dxa" w:w="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Indonesia</w:t>
            </w:r>
          </w:p>
        </w:tc>
        <w:tc>
          <w:tcPr>
            <w:tcW w:type="dxa" w:w="13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5.75%</w:t>
            </w:r>
          </w:p>
        </w:tc>
        <w:tc>
          <w:tcPr>
            <w:tcW w:type="dxa" w:w="1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2026-06-18</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BI 22-Jul (post-window)</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biggest EM decliner (−0.28%); long-end JIBOR held, front richer; BI pro-stability (Citi); UBS ASEAN deck</w:t>
            </w:r>
          </w:p>
        </w:tc>
      </w:tr>
      <w:tr>
        <w:tc>
          <w:tcPr>
            <w:tcW w:type="dxa" w:w="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13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4.75%</w:t>
            </w:r>
          </w:p>
        </w:tc>
        <w:tc>
          <w:tcPr>
            <w:tcW w:type="dxa" w:w="15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Hiked +25bp 2026-06-18</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PHIREF front backed up +4.85bp on the Aug-hike lean; StanC 5.00% Aug + 2Y-3Y RPGB carry; Citi long-USDPHP call ratio; impeachment trial</w:t>
            </w:r>
          </w:p>
        </w:tc>
      </w:tr>
      <w:tr>
        <w:tc>
          <w:tcPr>
            <w:tcW w:type="dxa" w:w="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Thailand</w:t>
            </w:r>
          </w:p>
        </w:tc>
        <w:tc>
          <w:tcPr>
            <w:tcW w:type="dxa" w:w="13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1.00%</w:t>
            </w:r>
          </w:p>
        </w:tc>
        <w:tc>
          <w:tcPr>
            <w:tcW w:type="dxa" w:w="1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2026-06-24</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−0.25%, rates backed up; Citi long-USDTHB via EKO; StanC BoT on hold both years, FY27 deficit 4.3%, tourism soft</w:t>
            </w:r>
          </w:p>
        </w:tc>
      </w:tr>
      <w:tr>
        <w:tc>
          <w:tcPr>
            <w:tcW w:type="dxa" w:w="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3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3.75%</w:t>
            </w:r>
          </w:p>
        </w:tc>
        <w:tc>
          <w:tcPr>
            <w:tcW w:type="dxa" w:w="15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2026-06-18 (7/2/0)</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GDP 16-Jul</w:t>
            </w:r>
          </w:p>
        </w:tc>
        <w:tc>
          <w:tcPr>
            <w:tcW w:type="dxa" w:w="34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Mkt prices BoE +29bp by Dec (hawkish repricing); StanC hold-2026/cuts-H1-27; </w:t>
            </w:r>
            <w:r>
              <w:rPr>
                <w:rFonts w:ascii="Public Sans" w:hAnsi="Public Sans"/>
                <w:b/>
                <w:i w:val="0"/>
                <w:color w:val="3D3E3E"/>
                <w:sz w:val="16"/>
              </w:rPr>
              <w:t>Burnham PM 20-Jul</w:t>
            </w:r>
            <w:r>
              <w:rPr>
                <w:rFonts w:ascii="Public Sans" w:hAnsi="Public Sans"/>
                <w:b w:val="0"/>
                <w:i w:val="0"/>
                <w:color w:val="3D3E3E"/>
                <w:sz w:val="16"/>
              </w:rPr>
              <w:t>; GBP −0.17%, SONIA ~flat</w:t>
            </w:r>
          </w:p>
        </w:tc>
      </w:tr>
    </w:tbl>
    <w:p>
      <w:pPr>
        <w:spacing w:after="80" w:line="283" w:lineRule="auto"/>
      </w:pPr>
      <w:r>
        <w:rPr>
          <w:rFonts w:ascii="Public Sans" w:hAnsi="Public Sans"/>
          <w:b/>
          <w:i w:val="0"/>
          <w:color w:val="3D3E3E"/>
          <w:sz w:val="19"/>
        </w:rPr>
        <w:t>SYN — state of the world:</w:t>
      </w:r>
      <w:r>
        <w:rPr>
          <w:rFonts w:ascii="Public Sans" w:hAnsi="Public Sans"/>
          <w:b w:val="0"/>
          <w:i w:val="0"/>
          <w:color w:val="3D3E3E"/>
          <w:sz w:val="19"/>
        </w:rPr>
        <w:t xml:space="preserve"> with no decision to react to, the universe traded the </w:t>
      </w:r>
      <w:r>
        <w:rPr>
          <w:rFonts w:ascii="Public Sans" w:hAnsi="Public Sans"/>
          <w:b w:val="0"/>
          <w:i/>
          <w:color w:val="3D3E3E"/>
          <w:sz w:val="19"/>
        </w:rPr>
        <w:t>set-up</w:t>
      </w:r>
      <w:r>
        <w:rPr>
          <w:rFonts w:ascii="Public Sans" w:hAnsi="Public Sans"/>
          <w:b w:val="0"/>
          <w:i w:val="0"/>
          <w:color w:val="3D3E3E"/>
          <w:sz w:val="19"/>
        </w:rPr>
        <w:t xml:space="preserve">, and the set-up is defensive: a stronger USD, backed-up DM front ends, and a market that has moved to price a hiking Fed (and hiking BoE/ECB/BoC/RBNZ) into 14-Jul CPI rather than the fade the front end was building last week. The gravity is unchanged — 14-Jul US core CPI — but the </w:t>
      </w:r>
      <w:r>
        <w:rPr>
          <w:rFonts w:ascii="Public Sans" w:hAnsi="Public Sans"/>
          <w:b w:val="0"/>
          <w:i/>
          <w:color w:val="3D3E3E"/>
          <w:sz w:val="19"/>
        </w:rPr>
        <w:t>lean</w:t>
      </w:r>
      <w:r>
        <w:rPr>
          <w:rFonts w:ascii="Public Sans" w:hAnsi="Public Sans"/>
          <w:b w:val="0"/>
          <w:i w:val="0"/>
          <w:color w:val="3D3E3E"/>
          <w:sz w:val="19"/>
        </w:rPr>
        <w:t xml:space="preserve"> has flipped, and the stickiness camp now has the sharper argument on paper: Barclays raising core PCE to 3.3% Q4/Q4 while oil fell, BNP at 0.37% core, GS's FX desk turning outright USD-bull, DB arguing the events "help the case for Fed hikes." GS economics is the dovish anchor (0.17% core, hold-2026) and even it flags "little margin for error." The Asia central banks are on their own clocks and mostly hawkish-leaning: RBNZ (~2 more hikes priced, though it cut its own inflation peak), BSP (one more in August), BNM (a 5-vs-3 hold-vs-Sep-hike debate now overlaid with Johor politics), BoK (a well-flagged +25bp 16-Jul, outside the universe). China is the counter-cyclical exception — Q2 GDP set to confirm the weakest sequential quarter since 2022, with the split now GS (no cut, no RRR) vs the targeted-support camp, and everyone constructive RMB on the internationalisation push. Japan is the one domestic-rates story: the belly backed up on GPIF-reallocation headlines and a "yield is the only FX driver" carry frame that keeps USD/JPY bid. Oil is softer in spot but louder in the model (Nomura's dominant FX signal) and the falsifier under all of it.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6. Themes in play + open questions</w:t>
      </w:r>
    </w:p>
    <w:p>
      <w:pPr>
        <w:spacing w:before="120" w:after="40"/>
        <w:keepNext/>
      </w:pPr>
      <w:r>
        <w:rPr>
          <w:rFonts w:ascii="Public Sans" w:hAnsi="Public Sans"/>
          <w:b/>
          <w:i w:val="0"/>
          <w:color w:val="001830"/>
          <w:sz w:val="19"/>
        </w:rPr>
        <w:t>Themes (who's talking + the number), stated neutrally:</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stickiness camp gains voice into 14-Jul CPI — even as oil fell.</w:t>
      </w:r>
      <w:r>
        <w:rPr>
          <w:rFonts w:ascii="Public Sans" w:hAnsi="Public Sans"/>
          <w:b w:val="0"/>
          <w:i w:val="0"/>
          <w:color w:val="3D3E3E"/>
          <w:sz w:val="19"/>
        </w:rPr>
        <w:t xml:space="preserve"> Barclays (17692) RAISED core PCE to </w:t>
      </w:r>
      <w:r>
        <w:rPr>
          <w:rFonts w:ascii="Public Sans" w:hAnsi="Public Sans"/>
          <w:b/>
          <w:i w:val="0"/>
          <w:color w:val="3D3E3E"/>
          <w:sz w:val="19"/>
        </w:rPr>
        <w:t>3.3% Q4/Q4</w:t>
      </w:r>
      <w:r>
        <w:rPr>
          <w:rFonts w:ascii="Public Sans" w:hAnsi="Public Sans"/>
          <w:b w:val="0"/>
          <w:i w:val="0"/>
          <w:color w:val="3D3E3E"/>
          <w:sz w:val="19"/>
        </w:rPr>
        <w:t xml:space="preserve"> (+50bp YTD) on AI (memory-chip/data-centre-power adding ~25bp to headline / 20bp to core PCE), no demand destruction, and the 6-8-quarter oil-to-core lag; crack spreads still price crude "over $100." BNP (17655): headline 0.0% m/m, </w:t>
      </w:r>
      <w:r>
        <w:rPr>
          <w:rFonts w:ascii="Public Sans" w:hAnsi="Public Sans"/>
          <w:b/>
          <w:i w:val="0"/>
          <w:color w:val="3D3E3E"/>
          <w:sz w:val="19"/>
        </w:rPr>
        <w:t>core 0.37%</w:t>
      </w:r>
      <w:r>
        <w:rPr>
          <w:rFonts w:ascii="Public Sans" w:hAnsi="Public Sans"/>
          <w:b w:val="0"/>
          <w:i w:val="0"/>
          <w:color w:val="3D3E3E"/>
          <w:sz w:val="19"/>
        </w:rPr>
        <w:t xml:space="preserve">, favours Dec-26/Mar-27 FOMC steepeners. GS FX (17620): above-consensus </w:t>
      </w:r>
      <w:r>
        <w:rPr>
          <w:rFonts w:ascii="Public Sans" w:hAnsi="Public Sans"/>
          <w:b/>
          <w:i w:val="0"/>
          <w:color w:val="3D3E3E"/>
          <w:sz w:val="19"/>
        </w:rPr>
        <w:t>USD bull</w:t>
      </w:r>
      <w:r>
        <w:rPr>
          <w:rFonts w:ascii="Public Sans" w:hAnsi="Public Sans"/>
          <w:b w:val="0"/>
          <w:i w:val="0"/>
          <w:color w:val="3D3E3E"/>
          <w:sz w:val="19"/>
        </w:rPr>
        <w:t xml:space="preserve">. DB (17668): "recent events help the case for Fed hikes." Against them GS econ (17669): core </w:t>
      </w:r>
      <w:r>
        <w:rPr>
          <w:rFonts w:ascii="Public Sans" w:hAnsi="Public Sans"/>
          <w:b/>
          <w:i w:val="0"/>
          <w:color w:val="3D3E3E"/>
          <w:sz w:val="19"/>
        </w:rPr>
        <w:t>+0.17%</w:t>
      </w:r>
      <w:r>
        <w:rPr>
          <w:rFonts w:ascii="Public Sans" w:hAnsi="Public Sans"/>
          <w:b w:val="0"/>
          <w:i w:val="0"/>
          <w:color w:val="3D3E3E"/>
          <w:sz w:val="19"/>
        </w:rPr>
        <w:t xml:space="preserve"> / core PCE +0.24%, Fed on hold 2026 "little margin for error"; HSBC (17678): core "probably not enough for the hawkish side to relax." Consensus −0.1% headline / +0.2-0.3% core.</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DM curve set has repriced HIKES.</w:t>
      </w:r>
      <w:r>
        <w:rPr>
          <w:rFonts w:ascii="Public Sans" w:hAnsi="Public Sans"/>
          <w:b w:val="0"/>
          <w:i w:val="0"/>
          <w:color w:val="3D3E3E"/>
          <w:sz w:val="19"/>
        </w:rPr>
        <w:t xml:space="preserve"> ANZ (17658) OIS read: Fed +22bp by 16-Sep / +38bp by Dec; BoE +29bp by Dec; ECB +34bp; BoC flat 15-Jul then +54bp to Jul-27; RBNZ +49bp by Dec. The front end that rallied last week backed up this session across NZD/HKD/SG/TH/AU/US/JP.</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"Yield is the only thing driving FX this year" (DB/Saravelos, 17668).</w:t>
      </w:r>
      <w:r>
        <w:rPr>
          <w:rFonts w:ascii="Public Sans" w:hAnsi="Public Sans"/>
          <w:b w:val="0"/>
          <w:i w:val="0"/>
          <w:color w:val="3D3E3E"/>
          <w:sz w:val="19"/>
        </w:rPr>
        <w:t xml:space="preserve"> Carry prevails on resilient global growth; for the Fed to move the USD materially the market would need to price 75-100bp+ of hikes. JPY has two H2 appreciation avenues: a faster BoJ path to 2%, or a government push to re-onshore investment (the GPIF-reallocation chatter, BNP 17655). Until then, long USD/JPY carry.</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Oil: softer spot, louder signal.</w:t>
      </w:r>
      <w:r>
        <w:rPr>
          <w:rFonts w:ascii="Public Sans" w:hAnsi="Public Sans"/>
          <w:b w:val="0"/>
          <w:i w:val="0"/>
          <w:color w:val="3D3E3E"/>
          <w:sz w:val="19"/>
        </w:rPr>
        <w:t xml:space="preserve"> WTI 72.27 / Brent ~$76 (−ish DoD, +5.4% week) but the Strait of Hormuz is "unresolved" (HSBC), US-Iran "talks continue / ceasefire over" (DB), and </w:t>
      </w:r>
      <w:r>
        <w:rPr>
          <w:rFonts w:ascii="Public Sans" w:hAnsi="Public Sans"/>
          <w:b/>
          <w:i w:val="0"/>
          <w:color w:val="3D3E3E"/>
          <w:sz w:val="19"/>
        </w:rPr>
        <w:t>Nomura's FX model flipped to OIL as the dominant driver (13-Jul)</w:t>
      </w:r>
      <w:r>
        <w:rPr>
          <w:rFonts w:ascii="Public Sans" w:hAnsi="Public Sans"/>
          <w:b w:val="0"/>
          <w:i w:val="0"/>
          <w:color w:val="3D3E3E"/>
          <w:sz w:val="19"/>
        </w:rPr>
        <w:t>. GS (17700): a re-escalation to $100 adds 3-4bp to monthly core and could revive hike odds — "little margin for error."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PPI peaked, policy split, RMB bid.</w:t>
      </w:r>
      <w:r>
        <w:rPr>
          <w:rFonts w:ascii="Public Sans" w:hAnsi="Public Sans"/>
          <w:b w:val="0"/>
          <w:i w:val="0"/>
          <w:color w:val="3D3E3E"/>
          <w:sz w:val="19"/>
        </w:rPr>
        <w:t xml:space="preserve"> GS (17650): 2026 PPI 2% / 2027 0%, </w:t>
      </w:r>
      <w:r>
        <w:rPr>
          <w:rFonts w:ascii="Public Sans" w:hAnsi="Public Sans"/>
          <w:b/>
          <w:i w:val="0"/>
          <w:color w:val="3D3E3E"/>
          <w:sz w:val="19"/>
        </w:rPr>
        <w:t>no rate or RRR cut 2026</w:t>
      </w:r>
      <w:r>
        <w:rPr>
          <w:rFonts w:ascii="Public Sans" w:hAnsi="Public Sans"/>
          <w:b w:val="0"/>
          <w:i w:val="0"/>
          <w:color w:val="3D3E3E"/>
          <w:sz w:val="19"/>
        </w:rPr>
        <w:t>; MS (17665): fiscal fine-tuned not pivot; UBS (17686): Q2 ~2% qoq saar (weakest since 2022) → targeted support pre-Politburo. All constructive RMB on internationalisation (Governor Pan's CNH package; DB 17696 Panda/Dim-Sum "financing ecosystem"; 15th Five-Year Plan elevates RMB internationalisation to a strategic priority).</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Malaysia politics is now a live MYR input.</w:t>
      </w:r>
      <w:r>
        <w:rPr>
          <w:rFonts w:ascii="Public Sans" w:hAnsi="Public Sans"/>
          <w:b w:val="0"/>
          <w:i w:val="0"/>
          <w:color w:val="3D3E3E"/>
          <w:sz w:val="19"/>
        </w:rPr>
        <w:t xml:space="preserve"> Johor (11-Jul): BN 48/56 (from 40); GS "continuity," Barclays "Anwar losing ground" + more pre-election fiscal spend. Barclays keeps the </w:t>
      </w:r>
      <w:r>
        <w:rPr>
          <w:rFonts w:ascii="Public Sans" w:hAnsi="Public Sans"/>
          <w:b/>
          <w:i w:val="0"/>
          <w:color w:val="3D3E3E"/>
          <w:sz w:val="19"/>
        </w:rPr>
        <w:t>Sep BNM hike to 3.00%</w:t>
      </w:r>
      <w:r>
        <w:rPr>
          <w:rFonts w:ascii="Public Sans" w:hAnsi="Public Sans"/>
          <w:b w:val="0"/>
          <w:i w:val="0"/>
          <w:color w:val="3D3E3E"/>
          <w:sz w:val="19"/>
        </w:rPr>
        <w:t>; next catalysts Negeri Sembilan 1-Aug, DAP conference 16-Aug.</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 constructive-FX vs pay-rates tension into today's CPI.</w:t>
      </w:r>
      <w:r>
        <w:rPr>
          <w:rFonts w:ascii="Public Sans" w:hAnsi="Public Sans"/>
          <w:b w:val="0"/>
          <w:i w:val="0"/>
          <w:color w:val="3D3E3E"/>
          <w:sz w:val="19"/>
        </w:rPr>
        <w:t xml:space="preserve"> Citi (17693) long INR basket + NDOIS steepener on FCNR inflows; UBS (17686) holds </w:t>
      </w:r>
      <w:r>
        <w:rPr>
          <w:rFonts w:ascii="Public Sans" w:hAnsi="Public Sans"/>
          <w:b/>
          <w:i w:val="0"/>
          <w:color w:val="3D3E3E"/>
          <w:sz w:val="19"/>
        </w:rPr>
        <w:t>INR-swap payers</w:t>
      </w:r>
      <w:r>
        <w:rPr>
          <w:rFonts w:ascii="Public Sans" w:hAnsi="Public Sans"/>
          <w:b w:val="0"/>
          <w:i w:val="0"/>
          <w:color w:val="3D3E3E"/>
          <w:sz w:val="19"/>
        </w:rPr>
        <w:t xml:space="preserve"> on El-Niño food risk + 2027 re-acceleration; GS (17621) NIFTY 26,500, repo 5.75% eop (embeds hikes). CPI cluster 4.2% (Citi/UBS/StanC), core ~3.8% (Citi).</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Australia wealth-effect drag quantified (GS 17645).</w:t>
      </w:r>
      <w:r>
        <w:rPr>
          <w:rFonts w:ascii="Public Sans" w:hAnsi="Public Sans"/>
          <w:b w:val="0"/>
          <w:i w:val="0"/>
          <w:color w:val="3D3E3E"/>
          <w:sz w:val="19"/>
        </w:rPr>
        <w:t xml:space="preserve"> House prices −5% y/y → 90bp consumption drag; spending +1.3% end-26; unemployment peak 4.7% 1Q27; easing from early-2027 — the RBA-has-peaked side. Market prices only ~13bp of hike to end-26.</w:t>
      </w:r>
    </w:p>
    <w:p>
      <w:pPr>
        <w:spacing w:after="80" w:line="283" w:lineRule="auto"/>
      </w:pPr>
      <w:r>
        <w:rPr>
          <w:rFonts w:ascii="Public Sans" w:hAnsi="Public Sans"/>
          <w:b/>
          <w:i w:val="0"/>
          <w:color w:val="3D3E3E"/>
          <w:sz w:val="19"/>
        </w:rPr>
        <w:t>Open questions into the next sessions (neutral — the disagreement + what resolves it):</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14-Jul US CPI</w:t>
      </w:r>
      <w:r>
        <w:rPr>
          <w:rFonts w:ascii="Public Sans" w:hAnsi="Public Sans"/>
          <w:b w:val="0"/>
          <w:i w:val="0"/>
          <w:color w:val="3D3E3E"/>
          <w:sz w:val="19"/>
        </w:rPr>
        <w:t xml:space="preserve"> — the cooling desks (GS 0.17% core) vs the stickiness camp (BNP 0.37%, Barclays 3.8% headline / 3.3% core PCE Q4/Q4), cons −0.1% headline / +0.2-0.3% core. A core ≥0.3% validates the market's freshly-priced hike (+22bp by Sep); a sub-0.2% print reopens the fade. Warsh testifies the same day. Resolves at the print.</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China Q2 GDP + activity (15-Jul)</w:t>
      </w:r>
      <w:r>
        <w:rPr>
          <w:rFonts w:ascii="Public Sans" w:hAnsi="Public Sans"/>
          <w:b w:val="0"/>
          <w:i w:val="0"/>
          <w:color w:val="3D3E3E"/>
          <w:sz w:val="19"/>
        </w:rPr>
        <w:t xml:space="preserve"> — UBS's ~2% qoq saar (weakest since 2022) and whether it forces support beyond "targeted and incremental" at the July Politburo; GS (no rate/RRR cut) vs the easing camp. Resolves on the demand-absorption detail.</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BoC (15-Jul)</w:t>
      </w:r>
      <w:r>
        <w:rPr>
          <w:rFonts w:ascii="Public Sans" w:hAnsi="Public Sans"/>
          <w:b w:val="0"/>
          <w:i w:val="0"/>
          <w:color w:val="3D3E3E"/>
          <w:sz w:val="19"/>
        </w:rPr>
        <w:t xml:space="preserve"> — GS (dovish hold, 2027 cuts) vs UBS (hold, dilemma) vs StanC (cut by year-end) vs the market (+54bp to Jul-27). Firm June jobs (U-rate 6.5%) and lower oil are the inputs.</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RBNZ path</w:t>
      </w:r>
      <w:r>
        <w:rPr>
          <w:rFonts w:ascii="Public Sans" w:hAnsi="Public Sans"/>
          <w:b w:val="0"/>
          <w:i w:val="0"/>
          <w:color w:val="3D3E3E"/>
          <w:sz w:val="19"/>
        </w:rPr>
        <w:t xml:space="preserve"> — the RBNZ cut its own inflation peak to 3.9%, yet JPM still sees 75bp more (Sep/Dec/Feb) and the market ~2 hikes; Westpac aligned but surprised by the timing. Q2 CPI 21-Jul + QSBO 14-Jul the fork.</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MAS (14-Jul)</w:t>
      </w:r>
      <w:r>
        <w:rPr>
          <w:rFonts w:ascii="Public Sans" w:hAnsi="Public Sans"/>
          <w:b w:val="0"/>
          <w:i w:val="0"/>
          <w:color w:val="3D3E3E"/>
          <w:sz w:val="19"/>
        </w:rPr>
        <w:t xml:space="preserve"> — ANZ's out-of-consensus +50bp slope vs GS/consensus hold-with-tilt; today's advance GDP (StanC 5.9 vs cons 5.7) the input.</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Malaysia politics</w:t>
      </w:r>
      <w:r>
        <w:rPr>
          <w:rFonts w:ascii="Public Sans" w:hAnsi="Public Sans"/>
          <w:b w:val="0"/>
          <w:i w:val="0"/>
          <w:color w:val="3D3E3E"/>
          <w:sz w:val="19"/>
        </w:rPr>
        <w:t xml:space="preserve"> — does Johor's BN landslide pull an early general election forward (Barclays base case still Feb-2028), and how much fiscal slippage; BNM's Sep-hike debate now overlaid with the politics. Negeri Sembilan 1-Aug next.</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India CPI (today)</w:t>
      </w:r>
      <w:r>
        <w:rPr>
          <w:rFonts w:ascii="Public Sans" w:hAnsi="Public Sans"/>
          <w:b w:val="0"/>
          <w:i w:val="0"/>
          <w:color w:val="3D3E3E"/>
          <w:sz w:val="19"/>
        </w:rPr>
        <w:t xml:space="preserve"> — 4.2% cluster; does food (UBS: to 6.5-7.0% H2 on El-Niño) offset the oil-driven energy relief; Citi receives, UBS pays. Resolves at the print.</w:t>
      </w:r>
    </w:p>
    <w:p>
      <w:pPr>
        <w:spacing w:after="80" w:line="283" w:lineRule="auto"/>
      </w:pPr>
      <w:r>
        <w:rPr>
          <w:rFonts w:ascii="Public Sans" w:hAnsi="Public Sans"/>
          <w:b w:val="0"/>
          <w:i w:val="0"/>
          <w:color w:val="3D3E3E"/>
          <w:sz w:val="19"/>
        </w:rPr>
        <w:t xml:space="preserve">8. </w:t>
      </w:r>
      <w:r>
        <w:rPr>
          <w:rFonts w:ascii="Public Sans" w:hAnsi="Public Sans"/>
          <w:b/>
          <w:i w:val="0"/>
          <w:color w:val="3D3E3E"/>
          <w:sz w:val="19"/>
        </w:rPr>
        <w:t>Oil / Strait of Hormuz</w:t>
      </w:r>
      <w:r>
        <w:rPr>
          <w:rFonts w:ascii="Public Sans" w:hAnsi="Public Sans"/>
          <w:b w:val="0"/>
          <w:i w:val="0"/>
          <w:color w:val="3D3E3E"/>
          <w:sz w:val="19"/>
        </w:rPr>
        <w:t xml:space="preserve"> — does the USD-oil-geopolitics link reconnect (HSBC), and does a re-escalation to $100 revive the hike odds (GS: +3-4bp monthly core). Nomura's model already flags oil as the dominant FX driver.</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7. Calendar — releases + CB events with rate relevance</w:t>
      </w:r>
      <w:r>
        <w:rPr>
          <w:rFonts w:ascii="Public Sans" w:hAnsi="Public Sans"/>
          <w:i/>
          <w:color w:val="7A7C7C"/>
          <w:sz w:val="16"/>
        </w:rPr>
        <w:t xml:space="preserve">   FACT — cb_events; pure calendar, no view</w:t>
      </w:r>
    </w:p>
    <w:p>
      <w:pPr>
        <w:spacing w:after="80" w:line="283" w:lineRule="auto"/>
      </w:pPr>
      <w:r>
        <w:rPr>
          <w:rFonts w:ascii="Public Sans" w:hAnsi="Public Sans"/>
          <w:b w:val="0"/>
          <w:i w:val="0"/>
          <w:color w:val="3D3E3E"/>
          <w:sz w:val="19"/>
        </w:rPr>
        <w:t xml:space="preserve">Consensus (survey/forecast) shown where present; actual shown only where the row carries one. ® = prior revised. </w:t>
      </w:r>
      <w:r>
        <w:rPr>
          <w:rFonts w:ascii="Public Sans" w:hAnsi="Public Sans"/>
          <w:b/>
          <w:i w:val="0"/>
          <w:color w:val="3D3E3E"/>
          <w:sz w:val="19"/>
        </w:rPr>
        <w:t>No 07-10→07-13 actual has booked in the BBG lane at compile — Canada jobs, SG advance GDP, Japan PPI and India CPI all show pre-print (null) despite the sell-side flow carrying figures.</w:t>
      </w:r>
      <w:r>
        <w:rPr>
          <w:rFonts w:ascii="Public Sans" w:hAnsi="Public Sans"/>
          <w:b w:val="0"/>
          <w:i w:val="0"/>
          <w:color w:val="3D3E3E"/>
          <w:sz w:val="19"/>
        </w:rPr>
        <w:t xml:space="preserve"> Sell-side-reported values are tagged "per flow."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4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29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9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w:t>
            </w:r>
          </w:p>
        </w:tc>
        <w:tc>
          <w:tcPr>
            <w:tcW w:type="dxa" w:w="16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Prior</w:t>
            </w:r>
          </w:p>
        </w:tc>
        <w:tc>
          <w:tcPr>
            <w:tcW w:type="dxa" w:w="32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Actual</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07-10</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Employment change / unemployment</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+10K / 6.6%</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+88K / 6.6%</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pre-print (null); U-rate 6.5%, 3m-avg emp +29.4k per flow (GS 17674)</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07-10</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GDP YoY (advance)</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~5.55%</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6.0%</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pre-print (null)</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07-10</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PPI (CGPI) YoY / MoM</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6.8% / 0.4%</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6.3% / 0.9%</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pre-print (null)</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07-10</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Monthly budget statement</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−132.8B (survey) / +21.0B (fcst)</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−293B</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pre-print (null)</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07-13</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YoY</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4.3% (survey) / 4.0% (fcst)</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3.93%</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pre-print (null); Citi/UBS/StanC 4.2%, core ~3.8% (Citi) per flow</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07-13</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MoM</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0.7% (fcst)</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0.75%</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07-13</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 Bowman / Waller speeches</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(Waller NY Assoc of Business Economics)</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07-13</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NZIER business confidence / capacity util</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−8.0% / 90.9%</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 / 91.2%</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core m/m</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0.3% (survey) / 0.2% (fcst)</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0.2%</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 GS 0.17 / cons 0.2 / ANZ ~0.2 / BNP 0.37</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CPI: headline m/m / YoY</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−0.1% / 3.85%</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0.5% / 4.2%</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GS −0.11% / +3.87% YoY; Barclays 3.8% YoY</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Fed Warsh testimony (House)</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(Barr/Cook/Goolsbee/Bowman also speak 14-Jul)</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SG</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Advance Q2 GDP YoY / MAS MPS</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5.4% (survey)</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6.0%</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StanC 5.9; ANZ +50bp slope vs GS hold-w/-tilt</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Machinery orders m/m / y/y; 20y JGB auction</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−4.2% / +12.9%</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+8.7% / +15.6%</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NAB business confidence; Westpac consumer conf</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−14 / 80.6</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CN</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Balance of trade / exports / imports</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$121B / 18.2% / 24%</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$105.4B / 19.4% / 27.4%</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WPI inflation YoY</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9.15% (survey)</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9.68%</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Bank of Canada Rate Decision + MPR</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 2.25%</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2.25%</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 GS dovish-hold vs UBS vs StanC cut</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CN</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GDP YoY / retail / IP / FAI</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4.4% / −0.1% / 4.7% / −4.9%</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5.0% / −0.6% / 4.5% / −4.1%</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UBS ~2% qoq saar</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PPI final demand / core m/m</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0.2% / 0.4% (GS)</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1.1% / 0.4%</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Empire manufacturing; Warsh/Williams/Musalem speak</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10.0</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5.7</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Retail sales m/m; Philly Fed; initial claims</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0.25% / 15.0 / 218K</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0.9% / 10.3 / 215K</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GDP m/m</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0.1% (fcst)</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−0.1%</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KR</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BoK base rate</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hold/hike 2.5→2.75%</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2.5%</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(outside universe; UBS/HSBC +25bp)</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07-20</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(political) Andy Burnham to become PM</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(GS 17620, StanC)</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07-21</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~1.3% q/q (RBNZ) / 1.5% (ANZ)</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07-22</w:t>
            </w:r>
          </w:p>
        </w:tc>
        <w:tc>
          <w:tcPr>
            <w:tcW w:type="dxa" w:w="4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w:t>
            </w:r>
          </w:p>
        </w:tc>
        <w:tc>
          <w:tcPr>
            <w:tcW w:type="dxa" w:w="2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Bank Indonesia decision</w:t>
            </w:r>
          </w:p>
        </w:tc>
        <w:tc>
          <w:tcPr>
            <w:tcW w:type="dxa" w:w="19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5.75%</w:t>
            </w:r>
          </w:p>
        </w:tc>
        <w:tc>
          <w:tcPr>
            <w:tcW w:type="dxa" w:w="3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07-29</w:t>
            </w:r>
          </w:p>
        </w:tc>
        <w:tc>
          <w:tcPr>
            <w:tcW w:type="dxa" w:w="4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w:t>
            </w:r>
          </w:p>
        </w:tc>
        <w:tc>
          <w:tcPr>
            <w:tcW w:type="dxa" w:w="2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w:t>
            </w:r>
          </w:p>
        </w:tc>
        <w:tc>
          <w:tcPr>
            <w:tcW w:type="dxa" w:w="19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~0.8% q/q (JPM) vs RBA SoMP ~1.4%</w:t>
            </w:r>
          </w:p>
        </w:tc>
        <w:tc>
          <w:tcPr>
            <w:tcW w:type="dxa" w:w="1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8. Cross-cutting trade-ideas table</w:t>
      </w:r>
      <w:r>
        <w:rPr>
          <w:rFonts w:ascii="Public Sans" w:hAnsi="Public Sans"/>
          <w:i/>
          <w:color w:val="7A7C7C"/>
          <w:sz w:val="16"/>
        </w:rPr>
        <w:t xml:space="preserve">   VIEW — provenance-tagged, never rated</w:t>
      </w:r>
    </w:p>
    <w:p>
      <w:pPr>
        <w:spacing w:after="80" w:line="283" w:lineRule="auto"/>
      </w:pPr>
      <w:r>
        <w:rPr>
          <w:rFonts w:ascii="Public Sans" w:hAnsi="Public Sans"/>
          <w:b w:val="0"/>
          <w:i w:val="0"/>
          <w:color w:val="3D3E3E"/>
          <w:sz w:val="19"/>
        </w:rPr>
        <w:t xml:space="preserve">The daily's single trade view — what the houses are floating across the universe. Each row: the idea, the assumption it rests on, its falsifier, provenance. </w:t>
      </w:r>
      <w:r>
        <w:rPr>
          <w:rFonts w:ascii="Public Sans" w:hAnsi="Public Sans"/>
          <w:b/>
          <w:i w:val="0"/>
          <w:color w:val="3D3E3E"/>
          <w:sz w:val="19"/>
        </w:rPr>
        <w:t>Never rated</w:t>
      </w:r>
      <w:r>
        <w:rPr>
          <w:rFonts w:ascii="Public Sans" w:hAnsi="Public Sans"/>
          <w:b w:val="0"/>
          <w:i w:val="0"/>
          <w:color w:val="3D3E3E"/>
          <w:sz w:val="19"/>
        </w:rPr>
        <w:t xml:space="preserve"> — the PM judges. Expanded in the per-country reads below.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3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21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21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Key driver / rationale</w:t>
            </w:r>
          </w:p>
        </w:tc>
        <w:tc>
          <w:tcPr>
            <w:tcW w:type="dxa" w:w="21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Assumption it rests on</w:t>
            </w:r>
          </w:p>
        </w:tc>
        <w:tc>
          <w:tcPr>
            <w:tcW w:type="dxa" w:w="21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c>
          <w:tcPr>
            <w:tcW w:type="dxa" w:w="17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Provenance</w:t>
            </w:r>
          </w:p>
        </w:tc>
      </w:tr>
      <w:tr>
        <w:tc>
          <w:tcPr>
            <w:tcW w:type="dxa" w:w="23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Long USD (above-consensus USD bull) / long USD/JPY carry</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FX turns USD-bull; DB "yield is the only FX driver"; ME risk reconnects USD-oil link</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Carry prevails on resilient growth; CPI/Warsh don't undercut US yields</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"surprisingly soft" US CPI/PPI dents the USD (HSBC); BoJ-to-2% or GPIF onshoring lifts JPY</w:t>
            </w:r>
          </w:p>
        </w:tc>
        <w:tc>
          <w:tcPr>
            <w:tcW w:type="dxa" w:w="17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17620, DB 17668, BNP 17655, HSBC 17678</w:t>
            </w:r>
          </w:p>
        </w:tc>
      </w:tr>
      <w:tr>
        <w:tc>
          <w:tcPr>
            <w:tcW w:type="dxa" w:w="23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 Dec-26/Mar-27 FOMC steepeners (~9bp)</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Front end "discounts too-few hikes"; core sticky at 0.37%; July meeting "live" on a hot print</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Multiple pathways to price 1Q27 hikes; core goods/AI stickiness holds</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prints ~0.2% (GS/cooling camp) → the hike fade returns</w:t>
            </w:r>
          </w:p>
        </w:tc>
        <w:tc>
          <w:tcPr>
            <w:tcW w:type="dxa" w:w="17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BNP 17655</w:t>
            </w:r>
          </w:p>
        </w:tc>
      </w:tr>
      <w:tr>
        <w:tc>
          <w:tcPr>
            <w:tcW w:type="dxa" w:w="23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Receive US front end / fade the freshly-priced hike (implicit, cooling camp)</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core +0.17%, core PCE 0.24%, Fed on hold 2026; oil passthrough fading</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prints ~0.2%; no oil re-escalation</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≥0.3% (BNP/Barclays) or $100 oil (GS: +3-4bp core)</w:t>
            </w:r>
          </w:p>
        </w:tc>
        <w:tc>
          <w:tcPr>
            <w:tcW w:type="dxa" w:w="17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17669/17700 (vs 17692/17655)</w:t>
            </w:r>
          </w:p>
        </w:tc>
      </w:tr>
      <w:tr>
        <w:tc>
          <w:tcPr>
            <w:tcW w:type="dxa" w:w="23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Long INR vs USD/EUR/SGD basket (40/30/30) + NDOIS 1s5s steepener</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FCNR measures "starting to have an impact"; BoP improving</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FCNR inflows land; oil stays contained; no equity-outflow resumption</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 to $90-100 / equity outflows / El-Niño growth hit re-pressure the BoP</w:t>
            </w:r>
          </w:p>
        </w:tc>
        <w:tc>
          <w:tcPr>
            <w:tcW w:type="dxa" w:w="17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17693</w:t>
            </w:r>
          </w:p>
        </w:tc>
      </w:tr>
      <w:tr>
        <w:tc>
          <w:tcPr>
            <w:tcW w:type="dxa" w:w="23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INR-swap PAYERS (hedge)</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El-Niño food risk (food to 6.5-7.0% H2) + CPI re-acceleration into early-2027</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Weather risk materialises; RBI under-delivers on the inflation glide</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June-quarter CPI keeps tracking ~30bp below RBI's 4.2%; food base stays benign</w:t>
            </w:r>
          </w:p>
        </w:tc>
        <w:tc>
          <w:tcPr>
            <w:tcW w:type="dxa" w:w="17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17686</w:t>
            </w:r>
          </w:p>
        </w:tc>
      </w:tr>
      <w:tr>
        <w:tc>
          <w:tcPr>
            <w:tcW w:type="dxa" w:w="23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6</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JGB / long-end steepeners + long USD/JPY</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GPIF-reallocation chatter; fiscal term premium; belly backed up (10y +4bp); yield-driven carry</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Fiscal/reallocation residual persists; BoJ stays "behind"</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credible consolidation signal, or BoJ hikes to 2% faster than priced</w:t>
            </w:r>
          </w:p>
        </w:tc>
        <w:tc>
          <w:tcPr>
            <w:tcW w:type="dxa" w:w="17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16841 (carry), BNP 17655, DB 17668</w:t>
            </w:r>
          </w:p>
        </w:tc>
      </w:tr>
      <w:tr>
        <w:tc>
          <w:tcPr>
            <w:tcW w:type="dxa" w:w="23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7</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Position the Malaysia Sep-hike vs the hold camp, now overlaid with Johor politics</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keeps Sep +25bp to 3.00%; BN landslide → more pre-election fiscal spend</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firm + FIRI builds; politics doesn't force a stability-first hold</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cools / politics turns MYR-negative → BNM stays "appropriate"</w:t>
            </w:r>
          </w:p>
        </w:tc>
        <w:tc>
          <w:tcPr>
            <w:tcW w:type="dxa" w:w="17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17691 (vs GS 17670 continuity)</w:t>
            </w:r>
          </w:p>
        </w:tc>
      </w:tr>
      <w:tr>
        <w:tc>
          <w:tcPr>
            <w:tcW w:type="dxa" w:w="23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8</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Long USD/THB via 2m EKO (strike 32.75 / barrier 33.5); long USD/PHP 1x1.5 call ratio (62/63)</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ME/oil risk + soft THB tourism/fiscal; PHP resilient but Aug-hike-anchored front end</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ME tensions/oil stay elevated; no sharp CB intervention</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ME de-escalation, sharp oil drop, or strong CB intervention</w:t>
            </w:r>
          </w:p>
        </w:tc>
        <w:tc>
          <w:tcPr>
            <w:tcW w:type="dxa" w:w="17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17693</w:t>
            </w:r>
          </w:p>
        </w:tc>
      </w:tr>
      <w:tr>
        <w:tc>
          <w:tcPr>
            <w:tcW w:type="dxa" w:w="23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9</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+50bp slope steepening (out-of-consensus)</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Electricity +17% adds 0.47pp core; above-trend growth 3rd year</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Apr/May core was discount-driven, reverses; advance GDP firm</w:t>
            </w:r>
          </w:p>
        </w:tc>
        <w:tc>
          <w:tcPr>
            <w:tcW w:type="dxa" w:w="21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Advance GDP undershoots + core stays soft → status-quo hold</w:t>
            </w:r>
          </w:p>
        </w:tc>
        <w:tc>
          <w:tcPr>
            <w:tcW w:type="dxa" w:w="17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16838 (vs GS 16862 hold)</w:t>
            </w:r>
          </w:p>
        </w:tc>
      </w:tr>
      <w:tr>
        <w:tc>
          <w:tcPr>
            <w:tcW w:type="dxa" w:w="23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Long ultra-long India G-sec / India equity rotation to value+banks (NIFTY 26,500)</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Ultra-light foreign positioning; lower oil, stable INR, resilient 2Q earnings</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Foreign flows return; oil contained; repo path as GS models (5.75% eop)</w:t>
            </w:r>
          </w:p>
        </w:tc>
        <w:tc>
          <w:tcPr>
            <w:tcW w:type="dxa" w:w="21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Renewed ME/oil volatility; a hot CPI forces a steeper RBI path</w:t>
            </w:r>
          </w:p>
        </w:tc>
        <w:tc>
          <w:tcPr>
            <w:tcW w:type="dxa" w:w="17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17621</w:t>
            </w:r>
          </w:p>
        </w:tc>
      </w:tr>
    </w:tbl>
    <w:p>
      <w:pPr>
        <w:spacing w:after="80" w:line="283" w:lineRule="auto"/>
      </w:pPr>
      <w:r>
        <w:rPr>
          <w:rFonts w:ascii="Public Sans" w:hAnsi="Public Sans"/>
          <w:b/>
          <w:i w:val="0"/>
          <w:color w:val="3D3E3E"/>
          <w:sz w:val="19"/>
        </w:rPr>
        <w:t>SYN — where the book tilts:</w:t>
      </w:r>
      <w:r>
        <w:rPr>
          <w:rFonts w:ascii="Public Sans" w:hAnsi="Public Sans"/>
          <w:b w:val="0"/>
          <w:i w:val="0"/>
          <w:color w:val="3D3E3E"/>
          <w:sz w:val="19"/>
        </w:rPr>
        <w:t xml:space="preserve"> the cross-universe tilt flipped this session — </w:t>
      </w:r>
      <w:r>
        <w:rPr>
          <w:rFonts w:ascii="Public Sans" w:hAnsi="Public Sans"/>
          <w:b w:val="0"/>
          <w:i/>
          <w:color w:val="3D3E3E"/>
          <w:sz w:val="19"/>
        </w:rPr>
        <w:t>toward the dollar and higher-for-longer</w:t>
      </w:r>
      <w:r>
        <w:rPr>
          <w:rFonts w:ascii="Public Sans" w:hAnsi="Public Sans"/>
          <w:b w:val="0"/>
          <w:i w:val="0"/>
          <w:color w:val="3D3E3E"/>
          <w:sz w:val="19"/>
        </w:rPr>
        <w:t>, and away from last week's receive-the-front-end fade. The cleanest expressions are the USD/carry complex (rows 1, 6): a USD-bull GS FX desk and a "yield is the only FX driver" DB frame, with long USD/JPY the flagship carry trade until the BoJ or GPIF changes the picture. The single binary remains 14-Jul US CPI, and the two sides are now sharply drawn: the stickiness camp (rows 2; Barclays/BNP/DB) has the more aggressive paper case (core PCE 3.3% Q4/Q4 even as oil fell) against GS's own 0.17% cooling call (row 3) — the market has, for now, sided with stickiness by pricing +22bp by September. EM Asia is a split book: constructive-INR-FX (Citi, row 4) against pay-INR-rates as a weather hedge (UBS, row 5) — a genuine two-sided India view into today's print. Malaysia adds a political overlay (row 7), and the Citi USD/THB and USD/PHP options (row 8) keep a long-dollar tilt in ASEAN. Every row carries oil as the shared falsifier — a Hormuz re-escalation lifts the inflation leg under all of it and, per GS, "leaves little margin for error."</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9. Per-country read — A / B / C / D</w:t>
      </w:r>
    </w:p>
    <w:p>
      <w:pPr>
        <w:spacing w:after="80" w:line="283" w:lineRule="auto"/>
      </w:pPr>
      <w:r>
        <w:rPr>
          <w:rFonts w:ascii="Public Sans" w:hAnsi="Public Sans"/>
          <w:b w:val="0"/>
          <w:i w:val="0"/>
          <w:color w:val="3D3E3E"/>
          <w:sz w:val="19"/>
        </w:rPr>
        <w:t>Ordered by what moved this window (the whole set repriced defensively into 14-Jul CPI; the US is still the gravity). Every country read at the chunk level. Movers get depth; genuinely quiet countries get the raised-floor read (A + B minimum) grounded in their flagship daily.</w:t>
      </w:r>
    </w:p>
    <w:p>
      <w:pPr>
        <w:spacing w:before="200" w:after="60"/>
        <w:keepNext/>
        <w:pBdr>
          <w:bottom w:val="single" w:sz="4" w:space="2" w:color="E0E9E4"/>
        </w:pBdr>
      </w:pPr>
      <w:r>
        <w:rPr>
          <w:rFonts w:ascii="Georgia" w:hAnsi="Georgia"/>
          <w:b/>
          <w:color w:val="4D806A"/>
          <w:sz w:val="23"/>
        </w:rPr>
        <w:t>United States — the whole book's fork: 14-Jul CPI, and the market flipped to pricing a HIKE</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0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9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0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stickiness camp vs GS's cooling call</w:t>
            </w:r>
          </w:p>
        </w:tc>
        <w:tc>
          <w:tcPr>
            <w:tcW w:type="dxa" w:w="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USD</w:t>
            </w:r>
          </w:p>
        </w:tc>
        <w:tc>
          <w:tcPr>
            <w:tcW w:type="dxa" w:w="19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BNP, GS, DB, HSBC</w:t>
            </w:r>
          </w:p>
        </w:tc>
        <w:tc>
          <w:tcPr>
            <w:tcW w:type="dxa" w:w="4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Decides whether the freshly-priced +22bp-by-Sep hike sticks or fades</w:t>
            </w:r>
          </w:p>
        </w:tc>
      </w:tr>
      <w:tr>
        <w:tc>
          <w:tcPr>
            <w:tcW w:type="dxa" w:w="4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 repriced a HIKING Fed</w:t>
            </w:r>
          </w:p>
        </w:tc>
        <w:tc>
          <w:tcPr>
            <w:tcW w:type="dxa" w:w="7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9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w:t>
            </w:r>
          </w:p>
        </w:tc>
        <w:tc>
          <w:tcPr>
            <w:tcW w:type="dxa" w:w="4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OIS +22bp by 16-Sep / +38bp by Dec — front end backed up (SOFR 2y +2.1bp)</w:t>
            </w:r>
          </w:p>
        </w:tc>
      </w:tr>
      <w:tr>
        <w:tc>
          <w:tcPr>
            <w:tcW w:type="dxa" w:w="4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AI-driven core inflation + BEA August revision</w:t>
            </w:r>
          </w:p>
        </w:tc>
        <w:tc>
          <w:tcPr>
            <w:tcW w:type="dxa" w:w="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9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GS</w:t>
            </w:r>
          </w:p>
        </w:tc>
        <w:tc>
          <w:tcPr>
            <w:tcW w:type="dxa" w:w="4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AI adds 20-25bp to core/headline PCE; Aug BEA revision cuts y/y 0.2pp</w:t>
            </w:r>
          </w:p>
        </w:tc>
      </w:tr>
      <w:tr>
        <w:tc>
          <w:tcPr>
            <w:tcW w:type="dxa" w:w="4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Warsh testimony + data-dependence</w:t>
            </w:r>
          </w:p>
        </w:tc>
        <w:tc>
          <w:tcPr>
            <w:tcW w:type="dxa" w:w="7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USD</w:t>
            </w:r>
          </w:p>
        </w:tc>
        <w:tc>
          <w:tcPr>
            <w:tcW w:type="dxa" w:w="19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BNP, DB</w:t>
            </w:r>
          </w:p>
        </w:tc>
        <w:tc>
          <w:tcPr>
            <w:tcW w:type="dxa" w:w="4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forward guidance; a hot print makes the 29-Jul FOMC "live"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With CPI still a day away, the market did the moving: the front end and belly </w:t>
      </w:r>
      <w:r>
        <w:rPr>
          <w:rFonts w:ascii="Public Sans" w:hAnsi="Public Sans"/>
          <w:b/>
          <w:i w:val="0"/>
          <w:color w:val="3D3E3E"/>
          <w:sz w:val="19"/>
        </w:rPr>
        <w:t>backed up</w:t>
      </w:r>
      <w:r>
        <w:rPr>
          <w:rFonts w:ascii="Public Sans" w:hAnsi="Public Sans"/>
          <w:b w:val="0"/>
          <w:i w:val="0"/>
          <w:color w:val="3D3E3E"/>
          <w:sz w:val="19"/>
        </w:rPr>
        <w:t xml:space="preserve"> (SOFR 2y +2.1bp to 4.0865, 10y +2.2bp to 4.159; US 10yr cash ~4.56%, +8bp on the week per DB 17668) and OIS repriced a </w:t>
      </w:r>
      <w:r>
        <w:rPr>
          <w:rFonts w:ascii="Public Sans" w:hAnsi="Public Sans"/>
          <w:b w:val="0"/>
          <w:i/>
          <w:color w:val="3D3E3E"/>
          <w:sz w:val="19"/>
        </w:rPr>
        <w:t>hiking</w:t>
      </w:r>
      <w:r>
        <w:rPr>
          <w:rFonts w:ascii="Public Sans" w:hAnsi="Public Sans"/>
          <w:b w:val="0"/>
          <w:i w:val="0"/>
          <w:color w:val="3D3E3E"/>
          <w:sz w:val="19"/>
        </w:rPr>
        <w:t xml:space="preserve"> Fed — ANZ (17658) shows +22bp priced by the 16-Sep meeting and +38bp cumulative by December. The stickiness camp supplied the argument. </w:t>
      </w:r>
      <w:r>
        <w:rPr>
          <w:rFonts w:ascii="Public Sans" w:hAnsi="Public Sans"/>
          <w:b/>
          <w:i w:val="0"/>
          <w:color w:val="3D3E3E"/>
          <w:sz w:val="19"/>
        </w:rPr>
        <w:t>Barclays (17692, "The oil shock has faded. Inflation has not.")</w:t>
      </w:r>
      <w:r>
        <w:rPr>
          <w:rFonts w:ascii="Public Sans" w:hAnsi="Public Sans"/>
          <w:b w:val="0"/>
          <w:i w:val="0"/>
          <w:color w:val="3D3E3E"/>
          <w:sz w:val="19"/>
        </w:rPr>
        <w:t xml:space="preserve"> RAISED its core PCE forecast to </w:t>
      </w:r>
      <w:r>
        <w:rPr>
          <w:rFonts w:ascii="Public Sans" w:hAnsi="Public Sans"/>
          <w:b/>
          <w:i w:val="0"/>
          <w:color w:val="3D3E3E"/>
          <w:sz w:val="19"/>
        </w:rPr>
        <w:t>3.3% Q4/Q4</w:t>
      </w:r>
      <w:r>
        <w:rPr>
          <w:rFonts w:ascii="Public Sans" w:hAnsi="Public Sans"/>
          <w:b w:val="0"/>
          <w:i w:val="0"/>
          <w:color w:val="3D3E3E"/>
          <w:sz w:val="19"/>
        </w:rPr>
        <w:t xml:space="preserve"> — 50bp above where it started the year, and higher than its May estimate </w:t>
      </w:r>
      <w:r>
        <w:rPr>
          <w:rFonts w:ascii="Public Sans" w:hAnsi="Public Sans"/>
          <w:b w:val="0"/>
          <w:i/>
          <w:color w:val="3D3E3E"/>
          <w:sz w:val="19"/>
        </w:rPr>
        <w:t>even though oil fell more than expected</w:t>
      </w:r>
      <w:r>
        <w:rPr>
          <w:rFonts w:ascii="Public Sans" w:hAnsi="Public Sans"/>
          <w:b w:val="0"/>
          <w:i w:val="0"/>
          <w:color w:val="3D3E3E"/>
          <w:sz w:val="19"/>
        </w:rPr>
        <w:t xml:space="preserve"> — on three legs: the six-to-eight-quarter lag with which oil shocks bleed into core, a lack of demand destruction (record vehicle-miles, record TSA/air-travel, retail +8% y/y control group in May), and an "AI surprise" (computer software/accessories +17% since Dec-25, weighted 1.1% in PCE vs 0.03% in CPI — a 35× difference driving the PCE-CPI wedge; residential electricity; AI categories cumulatively +25bp to headline / +20bp to core PCE). Crack spreads still price crude "over $100," and base effects keep headline high (May energy CPI +23.5% y/y). </w:t>
      </w:r>
      <w:r>
        <w:rPr>
          <w:rFonts w:ascii="Public Sans" w:hAnsi="Public Sans"/>
          <w:b/>
          <w:i w:val="0"/>
          <w:color w:val="3D3E3E"/>
          <w:sz w:val="19"/>
        </w:rPr>
        <w:t>BNP (17655)</w:t>
      </w:r>
      <w:r>
        <w:rPr>
          <w:rFonts w:ascii="Public Sans" w:hAnsi="Public Sans"/>
          <w:b w:val="0"/>
          <w:i w:val="0"/>
          <w:color w:val="3D3E3E"/>
          <w:sz w:val="19"/>
        </w:rPr>
        <w:t xml:space="preserve"> holds headline 0.0% m/m, </w:t>
      </w:r>
      <w:r>
        <w:rPr>
          <w:rFonts w:ascii="Public Sans" w:hAnsi="Public Sans"/>
          <w:b/>
          <w:i w:val="0"/>
          <w:color w:val="3D3E3E"/>
          <w:sz w:val="19"/>
        </w:rPr>
        <w:t>core sticky at 0.37%</w:t>
      </w:r>
      <w:r>
        <w:rPr>
          <w:rFonts w:ascii="Public Sans" w:hAnsi="Public Sans"/>
          <w:b w:val="0"/>
          <w:i w:val="0"/>
          <w:color w:val="3D3E3E"/>
          <w:sz w:val="19"/>
        </w:rPr>
        <w:t xml:space="preserve">, and favours Dec-26/Mar-27 FOMC steepeners (~9bp) arguing the front end "discounts too-few hikes." </w:t>
      </w:r>
      <w:r>
        <w:rPr>
          <w:rFonts w:ascii="Public Sans" w:hAnsi="Public Sans"/>
          <w:b/>
          <w:i w:val="0"/>
          <w:color w:val="3D3E3E"/>
          <w:sz w:val="19"/>
        </w:rPr>
        <w:t>GS's FX desk (17620)</w:t>
      </w:r>
      <w:r>
        <w:rPr>
          <w:rFonts w:ascii="Public Sans" w:hAnsi="Public Sans"/>
          <w:b w:val="0"/>
          <w:i w:val="0"/>
          <w:color w:val="3D3E3E"/>
          <w:sz w:val="19"/>
        </w:rPr>
        <w:t xml:space="preserve"> carries an "above-consensus bullish USD" call, and </w:t>
      </w:r>
      <w:r>
        <w:rPr>
          <w:rFonts w:ascii="Public Sans" w:hAnsi="Public Sans"/>
          <w:b/>
          <w:i w:val="0"/>
          <w:color w:val="3D3E3E"/>
          <w:sz w:val="19"/>
        </w:rPr>
        <w:t>DB (17668)</w:t>
      </w:r>
      <w:r>
        <w:rPr>
          <w:rFonts w:ascii="Public Sans" w:hAnsi="Public Sans"/>
          <w:b w:val="0"/>
          <w:i w:val="0"/>
          <w:color w:val="3D3E3E"/>
          <w:sz w:val="19"/>
        </w:rPr>
        <w:t xml:space="preserve"> argues "recent events help the case for Fed hikes." Against them, </w:t>
      </w:r>
      <w:r>
        <w:rPr>
          <w:rFonts w:ascii="Public Sans" w:hAnsi="Public Sans"/>
          <w:b/>
          <w:i w:val="0"/>
          <w:color w:val="3D3E3E"/>
          <w:sz w:val="19"/>
        </w:rPr>
        <w:t>GS economics (17669/17700)</w:t>
      </w:r>
      <w:r>
        <w:rPr>
          <w:rFonts w:ascii="Public Sans" w:hAnsi="Public Sans"/>
          <w:b w:val="0"/>
          <w:i w:val="0"/>
          <w:color w:val="3D3E3E"/>
          <w:sz w:val="19"/>
        </w:rPr>
        <w:t xml:space="preserve"> still forecasts </w:t>
      </w:r>
      <w:r>
        <w:rPr>
          <w:rFonts w:ascii="Public Sans" w:hAnsi="Public Sans"/>
          <w:b/>
          <w:i w:val="0"/>
          <w:color w:val="3D3E3E"/>
          <w:sz w:val="19"/>
        </w:rPr>
        <w:t>core CPI +0.17% m/m</w:t>
      </w:r>
      <w:r>
        <w:rPr>
          <w:rFonts w:ascii="Public Sans" w:hAnsi="Public Sans"/>
          <w:b w:val="0"/>
          <w:i w:val="0"/>
          <w:color w:val="3D3E3E"/>
          <w:sz w:val="19"/>
        </w:rPr>
        <w:t xml:space="preserve"> (core YoY to 2.8%, headline −0.11% on −4.4% energy, core PCE +0.24%), with the Fed on hold through 2026 and a re-escalation to $100 oil adding only 3-4bp to monthly core — but concedes the path "leaves little margin for error." HSBC (17678): core "may show slight improvement… probably not enough for the hawkish side of the FOMC to relax," and US figures would need to be "surprisingly soft to dent the USD." Consensus: −0.1% headline / +0.2-0.3% core (the Bloomberg survey carries 0.3% core, the forecast field 0.2%). Warsh testifies to the House on 14-Jul (and Senate 15-Jul), after the CPI print; he is expected to reiterate no forward guidance ahead of the 29-Jul FOMC.</w:t>
      </w:r>
    </w:p>
    <w:p>
      <w:pPr>
        <w:spacing w:before="120" w:after="40"/>
        <w:keepNext/>
      </w:pPr>
      <w:r>
        <w:rPr>
          <w:rFonts w:ascii="Public Sans" w:hAnsi="Public Sans"/>
          <w:b/>
          <w:i w:val="0"/>
          <w:color w:val="001830"/>
          <w:sz w:val="19"/>
        </w:rPr>
        <w:t>C ·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8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5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5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5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8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Headline falls, core still uncomfortable</w:t>
            </w:r>
          </w:p>
        </w:tc>
        <w:tc>
          <w:tcPr>
            <w:tcW w:type="dxa" w:w="10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Barclays, BNP, HSBC</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 −0.1%/0.0% on energy; core sticky</w:t>
            </w:r>
          </w:p>
        </w:tc>
        <w:tc>
          <w:tcPr>
            <w:tcW w:type="dxa" w:w="25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Energy −4.4% (GS); crack spreads; base effects</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Split on the core level (0.17 GS vs 0.37 BNP) and whether it's "enough"</w:t>
            </w:r>
          </w:p>
        </w:tc>
      </w:tr>
      <w:tr>
        <w:tc>
          <w:tcPr>
            <w:tcW w:type="dxa" w:w="18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AI is inflationary now (core PCE)</w:t>
            </w:r>
          </w:p>
        </w:tc>
        <w:tc>
          <w:tcPr>
            <w:tcW w:type="dxa" w:w="10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GS</w:t>
            </w:r>
          </w:p>
        </w:tc>
        <w:tc>
          <w:tcPr>
            <w:tcW w:type="dxa" w:w="25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AI adds to core PCE via chips/power/financial svcs; Aug BEA revision cuts 0.2pp</w:t>
            </w:r>
          </w:p>
        </w:tc>
        <w:tc>
          <w:tcPr>
            <w:tcW w:type="dxa" w:w="25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+20-25bp; GS: methodological cut to 3.2% y/y</w:t>
            </w:r>
          </w:p>
        </w:tc>
        <w:tc>
          <w:tcPr>
            <w:tcW w:type="dxa" w:w="25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Exact BEA revision size; whether CPI stays the "cleaner" signal</w:t>
            </w:r>
          </w:p>
        </w:tc>
      </w:tr>
      <w:tr>
        <w:tc>
          <w:tcPr>
            <w:tcW w:type="dxa" w:w="18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ME/oil is the two-sided tail</w:t>
            </w:r>
          </w:p>
        </w:tc>
        <w:tc>
          <w:tcPr>
            <w:tcW w:type="dxa" w:w="10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HSBC, BNP, DB</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re-escalation revives hike risk</w:t>
            </w:r>
          </w:p>
        </w:tc>
        <w:tc>
          <w:tcPr>
            <w:tcW w:type="dxa" w:w="25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+3-4bp core at $100; Nomura model flags oil</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None disputes it — it's the shared falsifier</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3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w:t>
            </w:r>
          </w:p>
        </w:tc>
        <w:tc>
          <w:tcPr>
            <w:tcW w:type="dxa" w:w="4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PCE 3.3% Q4/Q4 (raised as oil fell); rates higher-for-longer, long end pressured</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Turns a </w:t>
            </w:r>
            <w:r>
              <w:rPr>
                <w:rFonts w:ascii="Public Sans" w:hAnsi="Public Sans"/>
                <w:b w:val="0"/>
                <w:i/>
                <w:color w:val="3D3E3E"/>
                <w:sz w:val="16"/>
              </w:rPr>
              <w:t>falling</w:t>
            </w:r>
            <w:r>
              <w:rPr>
                <w:rFonts w:ascii="Public Sans" w:hAnsi="Public Sans"/>
                <w:b w:val="0"/>
                <w:i w:val="0"/>
                <w:color w:val="3D3E3E"/>
                <w:sz w:val="16"/>
              </w:rPr>
              <w:t xml:space="preserve"> oil price into a </w:t>
            </w:r>
            <w:r>
              <w:rPr>
                <w:rFonts w:ascii="Public Sans" w:hAnsi="Public Sans"/>
                <w:b w:val="0"/>
                <w:i/>
                <w:color w:val="3D3E3E"/>
                <w:sz w:val="16"/>
              </w:rPr>
              <w:t>higher</w:t>
            </w:r>
            <w:r>
              <w:rPr>
                <w:rFonts w:ascii="Public Sans" w:hAnsi="Public Sans"/>
                <w:b w:val="0"/>
                <w:i w:val="0"/>
                <w:color w:val="3D3E3E"/>
                <w:sz w:val="16"/>
              </w:rPr>
              <w:t xml:space="preserve"> inflation forecast via AI + no demand destruction</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AI/chip/power inflation persists; no demand break</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clean core-goods/services cooling (GS's 0.2% world)</w:t>
            </w:r>
          </w:p>
        </w:tc>
      </w:tr>
      <w:tr>
        <w:tc>
          <w:tcPr>
            <w:tcW w:type="dxa" w:w="3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GS</w:t>
            </w:r>
          </w:p>
        </w:tc>
        <w:tc>
          <w:tcPr>
            <w:tcW w:type="dxa" w:w="4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Rates/USD</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+0.17%, Fed on hold 2026 — but FX desk is an above-consensus USD bull</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Soft-print + strong-dollar combo held simultaneously</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Benign shelter/autos hold; USD driven by yield/carry not the print</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0.3%+ core (validates hike) or a soft print that dents the USD</w:t>
            </w:r>
          </w:p>
        </w:tc>
      </w:tr>
      <w:tr>
        <w:tc>
          <w:tcPr>
            <w:tcW w:type="dxa" w:w="3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BNP</w:t>
            </w:r>
          </w:p>
        </w:tc>
        <w:tc>
          <w:tcPr>
            <w:tcW w:type="dxa" w:w="4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0.37%; Dec-26/Mar-27 FOMC steepeners</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Lone explicit steepener trade on "too-few hikes priced"</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Chip/food stickiness passes through now; July meeting "live"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~0.2% flattens the case</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 #2, #3</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US econ.fact_indicator deep (193 active indicators). </w:t>
      </w:r>
      <w:r>
        <w:rPr>
          <w:rFonts w:ascii="Public Sans" w:hAnsi="Public Sans"/>
          <w:b/>
          <w:i w:val="0"/>
          <w:color w:val="3D3E3E"/>
          <w:sz w:val="19"/>
        </w:rPr>
        <w:t>Flags:</w:t>
      </w:r>
      <w:r>
        <w:rPr>
          <w:rFonts w:ascii="Public Sans" w:hAnsi="Public Sans"/>
          <w:b w:val="0"/>
          <w:i w:val="0"/>
          <w:color w:val="3D3E3E"/>
          <w:sz w:val="19"/>
        </w:rPr>
        <w:t xml:space="preserve"> CPI/PPI/retail-sales all forward (14-16 Jul); the 07-09 US actuals (claims 215K, existing sales 4.09M) remain FACT from the prior run; US monthly budget 07-13 pre-print.</w:t>
      </w:r>
    </w:p>
    <w:p>
      <w:pPr>
        <w:spacing w:before="200" w:after="60"/>
        <w:keepNext/>
        <w:pBdr>
          <w:bottom w:val="single" w:sz="4" w:space="2" w:color="E0E9E4"/>
        </w:pBdr>
      </w:pPr>
      <w:r>
        <w:rPr>
          <w:rFonts w:ascii="Georgia" w:hAnsi="Georgia"/>
          <w:b/>
          <w:color w:val="4D806A"/>
          <w:sz w:val="23"/>
        </w:rPr>
        <w:t>Japan — the belly backed up on GPIF chatter; long USD/JPY on the yield frame</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0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6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2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0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 reallocation chatter → USD/JPY</w:t>
            </w:r>
          </w:p>
        </w:tc>
        <w:tc>
          <w:tcPr>
            <w:tcW w:type="dxa" w:w="16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JPY, JGB</w:t>
            </w:r>
          </w:p>
        </w:tc>
        <w:tc>
          <w:tcPr>
            <w:tcW w:type="dxa" w:w="12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w:t>
            </w:r>
          </w:p>
        </w:tc>
        <w:tc>
          <w:tcPr>
            <w:tcW w:type="dxa" w:w="42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FinMin Katayama floated more GPIF domestic-asset investment (Abe-era echo)</w:t>
            </w:r>
          </w:p>
        </w:tc>
      </w:tr>
      <w:tr>
        <w:tc>
          <w:tcPr>
            <w:tcW w:type="dxa" w:w="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0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"Yield is the only FX driver" carry</w:t>
            </w:r>
          </w:p>
        </w:tc>
        <w:tc>
          <w:tcPr>
            <w:tcW w:type="dxa" w:w="16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JPY</w:t>
            </w:r>
          </w:p>
        </w:tc>
        <w:tc>
          <w:tcPr>
            <w:tcW w:type="dxa" w:w="12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 (Saravelos)</w:t>
            </w:r>
          </w:p>
        </w:tc>
        <w:tc>
          <w:tcPr>
            <w:tcW w:type="dxa" w:w="42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USD/JPY until BoJ-to-2% or onshoring; carry prevails</w:t>
            </w:r>
          </w:p>
        </w:tc>
      </w:tr>
      <w:tr>
        <w:tc>
          <w:tcPr>
            <w:tcW w:type="dxa" w:w="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0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Fiscal term premium in the belly</w:t>
            </w:r>
          </w:p>
        </w:tc>
        <w:tc>
          <w:tcPr>
            <w:tcW w:type="dxa" w:w="16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w:t>
            </w:r>
          </w:p>
        </w:tc>
        <w:tc>
          <w:tcPr>
            <w:tcW w:type="dxa" w:w="12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(carry)</w:t>
            </w:r>
          </w:p>
        </w:tc>
        <w:tc>
          <w:tcPr>
            <w:tcW w:type="dxa" w:w="42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TONAR 10y +4.0bp — the belly led the DoD back-up</w:t>
            </w:r>
          </w:p>
        </w:tc>
      </w:tr>
      <w:tr>
        <w:tc>
          <w:tcPr>
            <w:tcW w:type="dxa" w:w="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0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Robotics/semi/data-centre demand strong</w:t>
            </w:r>
          </w:p>
        </w:tc>
        <w:tc>
          <w:tcPr>
            <w:tcW w:type="dxa" w:w="16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(equity read-through)</w:t>
            </w:r>
          </w:p>
        </w:tc>
        <w:tc>
          <w:tcPr>
            <w:tcW w:type="dxa" w:w="12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GS</w:t>
            </w:r>
          </w:p>
        </w:tc>
        <w:tc>
          <w:tcPr>
            <w:tcW w:type="dxa" w:w="42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Yaskawa/Harmonic Drive orders +140-200% on semis; growth-momentum positive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Japan rates story stayed domestic and the belly led the universe's back-up: </w:t>
      </w:r>
      <w:r>
        <w:rPr>
          <w:rFonts w:ascii="Public Sans" w:hAnsi="Public Sans"/>
          <w:b/>
          <w:i w:val="0"/>
          <w:color w:val="3D3E3E"/>
          <w:sz w:val="19"/>
        </w:rPr>
        <w:t>TONAR 10y +4.0bp</w:t>
      </w:r>
      <w:r>
        <w:rPr>
          <w:rFonts w:ascii="Public Sans" w:hAnsi="Public Sans"/>
          <w:b w:val="0"/>
          <w:i w:val="0"/>
          <w:color w:val="3D3E3E"/>
          <w:sz w:val="19"/>
        </w:rPr>
        <w:t xml:space="preserve"> (2y +2.2bp) DoD, the largest belly move outside NZD/HKD. Two threads drove it. </w:t>
      </w:r>
      <w:r>
        <w:rPr>
          <w:rFonts w:ascii="Public Sans" w:hAnsi="Public Sans"/>
          <w:b/>
          <w:i w:val="0"/>
          <w:color w:val="3D3E3E"/>
          <w:sz w:val="19"/>
        </w:rPr>
        <w:t>BNP (17655)</w:t>
      </w:r>
      <w:r>
        <w:rPr>
          <w:rFonts w:ascii="Public Sans" w:hAnsi="Public Sans"/>
          <w:b w:val="0"/>
          <w:i w:val="0"/>
          <w:color w:val="3D3E3E"/>
          <w:sz w:val="19"/>
        </w:rPr>
        <w:t xml:space="preserve"> reports Finance Minister Satsuki Katayama floated the government promoting more GPIF investment in Japanese assets — with explicit memory of Abe's GPIF asset-allocation change weakening the yen — a "four-letter word" for USD/JPY; BNP stays </w:t>
      </w:r>
      <w:r>
        <w:rPr>
          <w:rFonts w:ascii="Public Sans" w:hAnsi="Public Sans"/>
          <w:b/>
          <w:i w:val="0"/>
          <w:color w:val="3D3E3E"/>
          <w:sz w:val="19"/>
        </w:rPr>
        <w:t>long USD/JPY</w:t>
      </w:r>
      <w:r>
        <w:rPr>
          <w:rFonts w:ascii="Public Sans" w:hAnsi="Public Sans"/>
          <w:b w:val="0"/>
          <w:i w:val="0"/>
          <w:color w:val="3D3E3E"/>
          <w:sz w:val="19"/>
        </w:rPr>
        <w:t xml:space="preserve"> (the JPY "one of the most attractive funders in DM"), overlaid short topside gamma. </w:t>
      </w:r>
      <w:r>
        <w:rPr>
          <w:rFonts w:ascii="Public Sans" w:hAnsi="Public Sans"/>
          <w:b/>
          <w:i w:val="0"/>
          <w:color w:val="3D3E3E"/>
          <w:sz w:val="19"/>
        </w:rPr>
        <w:t>DB's George Saravelos (17668)</w:t>
      </w:r>
      <w:r>
        <w:rPr>
          <w:rFonts w:ascii="Public Sans" w:hAnsi="Public Sans"/>
          <w:b w:val="0"/>
          <w:i w:val="0"/>
          <w:color w:val="3D3E3E"/>
          <w:sz w:val="19"/>
        </w:rPr>
        <w:t xml:space="preserve"> frames it more broadly: "one thing has driven FX this year — yield," carry prevails on resilient growth and likely persists; for JPY, the two H2 appreciation avenues are the BoJ hiking to 2% faster than priced or a concerted government re-onshoring push, and for the Fed to move the USD materially the market would need to price 75-100bp+ of hikes. </w:t>
      </w:r>
      <w:r>
        <w:rPr>
          <w:rFonts w:ascii="Public Sans" w:hAnsi="Public Sans"/>
          <w:b/>
          <w:i w:val="0"/>
          <w:color w:val="3D3E3E"/>
          <w:sz w:val="19"/>
        </w:rPr>
        <w:t>JPY weakened −0.25% DoD</w:t>
      </w:r>
      <w:r>
        <w:rPr>
          <w:rFonts w:ascii="Public Sans" w:hAnsi="Public Sans"/>
          <w:b w:val="0"/>
          <w:i w:val="0"/>
          <w:color w:val="3D3E3E"/>
          <w:sz w:val="19"/>
        </w:rPr>
        <w:t xml:space="preserve"> on the soft-JPY/strong-USD carry read. On the growth side, the equity flagships (Citi Point Japan 17660, GS Tokyo Daily 17676) show robotics/semiconductor/data-centre order momentum very strong (Yaskawa semi-orders +200% y/y, Harmonic Drive on the humanoid-robot theme, megabank estimates raised on capital-markets activity), with automotive weak — a solid domestic-demand backdrop consistent with the June-hike but not itself moving near-term BoJ odds. Machinery orders + IP + a 20y JGB auction print 14-15 Jul (forward; Japan PPI from 07-10 still unbooked in the BBG lane).</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9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5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32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9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Long USD/JPY on carry/yield</w:t>
            </w:r>
          </w:p>
        </w:tc>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DB</w:t>
            </w:r>
          </w:p>
        </w:tc>
        <w:tc>
          <w:tcPr>
            <w:tcW w:type="dxa" w:w="2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JPY the DM funder; yield drives FX</w:t>
            </w:r>
          </w:p>
        </w:tc>
        <w:tc>
          <w:tcPr>
            <w:tcW w:type="dxa" w:w="2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Katayama GPIF comment; carry resilience</w:t>
            </w:r>
          </w:p>
        </w:tc>
        <w:tc>
          <w:tcPr>
            <w:tcW w:type="dxa" w:w="32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Timing of any BoJ-to-2% or onshoring shift</w:t>
            </w:r>
          </w:p>
        </w:tc>
      </w:tr>
      <w:tr>
        <w:tc>
          <w:tcPr>
            <w:tcW w:type="dxa" w:w="19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Domestic growth momentum solid</w:t>
            </w:r>
          </w:p>
        </w:tc>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GS</w:t>
            </w:r>
          </w:p>
        </w:tc>
        <w:tc>
          <w:tcPr>
            <w:tcW w:type="dxa" w:w="2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Robotics/semi/data-centre orders strong</w:t>
            </w:r>
          </w:p>
        </w:tc>
        <w:tc>
          <w:tcPr>
            <w:tcW w:type="dxa" w:w="2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Yaskawa/Harmonic Drive/megabanks</w:t>
            </w:r>
          </w:p>
        </w:tc>
        <w:tc>
          <w:tcPr>
            <w:tcW w:type="dxa" w:w="32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Automotive weakness; doesn't move near-term BoJ odds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3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(Saravelos)</w:t>
            </w:r>
          </w:p>
        </w:tc>
        <w:tc>
          <w:tcPr>
            <w:tcW w:type="dxa" w:w="2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"Yield is the only FX driver"; USD needs 75-100bp+ of priced hikes to re-rate; JPY needs BoJ-2% or onshoring</w:t>
            </w:r>
          </w:p>
        </w:tc>
        <w:tc>
          <w:tcPr>
            <w:tcW w:type="dxa" w:w="23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Reduces the whole FX complex to a carry/yield frame</w:t>
            </w:r>
          </w:p>
        </w:tc>
        <w:tc>
          <w:tcPr>
            <w:tcW w:type="dxa" w:w="24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Carry regime persists; growth stays resilient</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risk-off break where carry unwinds, or a fast BoJ/onshoring shift</w:t>
            </w:r>
          </w:p>
        </w:tc>
      </w:tr>
      <w:tr>
        <w:tc>
          <w:tcPr>
            <w:tcW w:type="dxa" w:w="6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w:t>
            </w:r>
          </w:p>
        </w:tc>
        <w:tc>
          <w:tcPr>
            <w:tcW w:type="dxa" w:w="2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JPY</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USD/JPY, short topside gamma, on the GPIF-reallocation risk being slow</w:t>
            </w:r>
          </w:p>
        </w:tc>
        <w:tc>
          <w:tcPr>
            <w:tcW w:type="dxa" w:w="23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Trades the </w:t>
            </w:r>
            <w:r>
              <w:rPr>
                <w:rFonts w:ascii="Public Sans" w:hAnsi="Public Sans"/>
                <w:b w:val="0"/>
                <w:i/>
                <w:color w:val="3D3E3E"/>
                <w:sz w:val="16"/>
              </w:rPr>
              <w:t>slowness</w:t>
            </w:r>
            <w:r>
              <w:rPr>
                <w:rFonts w:ascii="Public Sans" w:hAnsi="Public Sans"/>
                <w:b w:val="0"/>
                <w:i w:val="0"/>
                <w:color w:val="3D3E3E"/>
                <w:sz w:val="16"/>
              </w:rPr>
              <w:t xml:space="preserve"> of the onshoring process</w:t>
            </w:r>
          </w:p>
        </w:tc>
        <w:tc>
          <w:tcPr>
            <w:tcW w:type="dxa" w:w="24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GPIF change takes months; JPY stays a funder meanwhile</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faster-than-expected government onshoring push</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 #6</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JP econ.fact_indicator thin (most macro not loaded). </w:t>
      </w:r>
      <w:r>
        <w:rPr>
          <w:rFonts w:ascii="Public Sans" w:hAnsi="Public Sans"/>
          <w:b/>
          <w:i w:val="0"/>
          <w:color w:val="3D3E3E"/>
          <w:sz w:val="19"/>
        </w:rPr>
        <w:t>Flags:</w:t>
      </w:r>
      <w:r>
        <w:rPr>
          <w:rFonts w:ascii="Public Sans" w:hAnsi="Public Sans"/>
          <w:b w:val="0"/>
          <w:i w:val="0"/>
          <w:color w:val="3D3E3E"/>
          <w:sz w:val="19"/>
        </w:rPr>
        <w:t xml:space="preserve"> Japan PPI (07-10) still pre-print; machinery orders/20y auction 14-Jul forward.</w:t>
      </w:r>
    </w:p>
    <w:p>
      <w:pPr>
        <w:spacing w:before="200" w:after="60"/>
        <w:keepNext/>
        <w:pBdr>
          <w:bottom w:val="single" w:sz="4" w:space="2" w:color="E0E9E4"/>
        </w:pBdr>
      </w:pPr>
      <w:r>
        <w:rPr>
          <w:rFonts w:ascii="Georgia" w:hAnsi="Georgia"/>
          <w:b/>
          <w:color w:val="4D806A"/>
          <w:sz w:val="23"/>
        </w:rPr>
        <w:t>China (+ HK feed) — PPI peaked; the GS-vs-StanC policy split sharpens into 15-Jul GDP; RMB bid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7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PPI peaked; H2 forecasts cut</w:t>
            </w:r>
          </w:p>
        </w:tc>
        <w:tc>
          <w:tcPr>
            <w:tcW w:type="dxa" w:w="8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CNH</w:t>
            </w:r>
          </w:p>
        </w:tc>
        <w:tc>
          <w:tcPr>
            <w:tcW w:type="dxa" w:w="1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MS</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2026 PPI 2% / 2027 0%; low-inflation backdrop confirmed</w:t>
            </w:r>
          </w:p>
        </w:tc>
      </w:tr>
      <w:tr>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Policy: no cut (GS) vs targeted support</w:t>
            </w:r>
          </w:p>
        </w:tc>
        <w:tc>
          <w:tcPr>
            <w:tcW w:type="dxa" w:w="8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1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MS, UBS</w:t>
            </w:r>
          </w:p>
        </w:tc>
        <w:tc>
          <w:tcPr>
            <w:tcW w:type="dxa" w:w="47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no rate/RRR cut 2026; UBS: weak Q2 → support pre-Politburo</w:t>
            </w:r>
          </w:p>
        </w:tc>
      </w:tr>
      <w:tr>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GDP the weakest sequential since 2022</w:t>
            </w:r>
          </w:p>
        </w:tc>
        <w:tc>
          <w:tcPr>
            <w:tcW w:type="dxa" w:w="8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CNH, rates</w:t>
            </w:r>
          </w:p>
        </w:tc>
        <w:tc>
          <w:tcPr>
            <w:tcW w:type="dxa" w:w="1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 qoq saar (from 6% Q1); demand-absorption tell</w:t>
            </w:r>
          </w:p>
        </w:tc>
      </w:tr>
      <w:tr>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4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RMB internationalisation bid</w:t>
            </w:r>
          </w:p>
        </w:tc>
        <w:tc>
          <w:tcPr>
            <w:tcW w:type="dxa" w:w="8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CNH</w:t>
            </w:r>
          </w:p>
        </w:tc>
        <w:tc>
          <w:tcPr>
            <w:tcW w:type="dxa" w:w="11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MS, DB</w:t>
            </w:r>
          </w:p>
        </w:tc>
        <w:tc>
          <w:tcPr>
            <w:tcW w:type="dxa" w:w="47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Governor Pan CNH package; 15th FYP elevates it strategically</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June inflation confirmed the low-inflation, demand-constrained backdrop and every house agrees </w:t>
      </w:r>
      <w:r>
        <w:rPr>
          <w:rFonts w:ascii="Public Sans" w:hAnsi="Public Sans"/>
          <w:b/>
          <w:i w:val="0"/>
          <w:color w:val="3D3E3E"/>
          <w:sz w:val="19"/>
        </w:rPr>
        <w:t>PPI peaked in June</w:t>
      </w:r>
      <w:r>
        <w:rPr>
          <w:rFonts w:ascii="Public Sans" w:hAnsi="Public Sans"/>
          <w:b w:val="0"/>
          <w:i w:val="0"/>
          <w:color w:val="3D3E3E"/>
          <w:sz w:val="19"/>
        </w:rPr>
        <w:t xml:space="preserve">: CPI softened 1.2%→1.0% y/y (energy + gold), PPI ticked up 3.9%→4.1% y/y on base but fell sharply sequentially (GS 17650, MS 17665). GS cut its H2 PPI forecast on lower oil — </w:t>
      </w:r>
      <w:r>
        <w:rPr>
          <w:rFonts w:ascii="Public Sans" w:hAnsi="Public Sans"/>
          <w:b/>
          <w:i w:val="0"/>
          <w:color w:val="3D3E3E"/>
          <w:sz w:val="19"/>
        </w:rPr>
        <w:t>2026 PPI 2%, 2027 PPI 0%</w:t>
      </w:r>
      <w:r>
        <w:rPr>
          <w:rFonts w:ascii="Public Sans" w:hAnsi="Public Sans"/>
          <w:b w:val="0"/>
          <w:i w:val="0"/>
          <w:color w:val="3D3E3E"/>
          <w:sz w:val="19"/>
        </w:rPr>
        <w:t xml:space="preserve"> — and, crucially, expects </w:t>
      </w:r>
      <w:r>
        <w:rPr>
          <w:rFonts w:ascii="Public Sans" w:hAnsi="Public Sans"/>
          <w:b/>
          <w:i w:val="0"/>
          <w:color w:val="3D3E3E"/>
          <w:sz w:val="19"/>
        </w:rPr>
        <w:t>no policy-rate or RRR cut in 2026</w:t>
      </w:r>
      <w:r>
        <w:rPr>
          <w:rFonts w:ascii="Public Sans" w:hAnsi="Public Sans"/>
          <w:b w:val="0"/>
          <w:i w:val="0"/>
          <w:color w:val="3D3E3E"/>
          <w:sz w:val="19"/>
        </w:rPr>
        <w:t xml:space="preserve"> (the Q2 MPC acknowledged strong-supply/weak-demand but signalled no broad easing), a step </w:t>
      </w:r>
      <w:r>
        <w:rPr>
          <w:rFonts w:ascii="Public Sans" w:hAnsi="Public Sans"/>
          <w:b w:val="0"/>
          <w:i/>
          <w:color w:val="3D3E3E"/>
          <w:sz w:val="19"/>
        </w:rPr>
        <w:t>away</w:t>
      </w:r>
      <w:r>
        <w:rPr>
          <w:rFonts w:ascii="Public Sans" w:hAnsi="Public Sans"/>
          <w:b w:val="0"/>
          <w:i w:val="0"/>
          <w:color w:val="3D3E3E"/>
          <w:sz w:val="19"/>
        </w:rPr>
        <w:t xml:space="preserve"> from StanC's RRR −25bp-in-Q3 call from last week. MS ("Inflation without Reflation," 17665): core CPI ex-gold subdued, compressed downstream margins, weak consumer sentiment; fiscal to be </w:t>
      </w:r>
      <w:r>
        <w:rPr>
          <w:rFonts w:ascii="Public Sans" w:hAnsi="Public Sans"/>
          <w:b/>
          <w:i w:val="0"/>
          <w:color w:val="3D3E3E"/>
          <w:sz w:val="19"/>
        </w:rPr>
        <w:t>fine-tuned not pivoted</w:t>
      </w:r>
      <w:r>
        <w:rPr>
          <w:rFonts w:ascii="Public Sans" w:hAnsi="Public Sans"/>
          <w:b w:val="0"/>
          <w:i w:val="0"/>
          <w:color w:val="3D3E3E"/>
          <w:sz w:val="19"/>
        </w:rPr>
        <w:t xml:space="preserve"> (~Rmb2trn 2H impulse room), PBoC on hold, export resilience reduces the urgency for countercyclical easing. </w:t>
      </w:r>
      <w:r>
        <w:rPr>
          <w:rFonts w:ascii="Public Sans" w:hAnsi="Public Sans"/>
          <w:b/>
          <w:i w:val="0"/>
          <w:color w:val="3D3E3E"/>
          <w:sz w:val="19"/>
        </w:rPr>
        <w:t>UBS (17686)</w:t>
      </w:r>
      <w:r>
        <w:rPr>
          <w:rFonts w:ascii="Public Sans" w:hAnsi="Public Sans"/>
          <w:b w:val="0"/>
          <w:i w:val="0"/>
          <w:color w:val="3D3E3E"/>
          <w:sz w:val="19"/>
        </w:rPr>
        <w:t xml:space="preserve"> frames the 15-Jul print: Q2 GDP ~4.5-4.7% y/y but sequential ~</w:t>
      </w:r>
      <w:r>
        <w:rPr>
          <w:rFonts w:ascii="Public Sans" w:hAnsi="Public Sans"/>
          <w:b/>
          <w:i w:val="0"/>
          <w:color w:val="3D3E3E"/>
          <w:sz w:val="19"/>
        </w:rPr>
        <w:t>2% qoq saar (weakest since 2022)</w:t>
      </w:r>
      <w:r>
        <w:rPr>
          <w:rFonts w:ascii="Public Sans" w:hAnsi="Public Sans"/>
          <w:b w:val="0"/>
          <w:i w:val="0"/>
          <w:color w:val="3D3E3E"/>
          <w:sz w:val="19"/>
        </w:rPr>
        <w:t xml:space="preserve"> — June activity improves only modestly on seasonal/front-loading effects — which "should catalyse a more supportive growth policy stance ahead of the July Politburo," though targeted and incremental, not a large package. All three stay constructive RMB: Governor Pan's Hong Kong speech unveiled a CNH-market infrastructure/liquidity package (GS), and DB (17696) documents the "Rise of the RMB Financing Ecosystem" — the 15th Five-Year Plan (2026-30) elevates RMB internationalisation to a strategic priority (Panda market +60% y/y, Southbound Bond Connect expansion, deepening CNH rates/FX). </w:t>
      </w:r>
      <w:r>
        <w:rPr>
          <w:rFonts w:ascii="Public Sans" w:hAnsi="Public Sans"/>
          <w:b/>
          <w:i w:val="0"/>
          <w:color w:val="3D3E3E"/>
          <w:sz w:val="19"/>
        </w:rPr>
        <w:t>CNH was ~flat DoD (−0.06%)</w:t>
      </w:r>
      <w:r>
        <w:rPr>
          <w:rFonts w:ascii="Public Sans" w:hAnsi="Public Sans"/>
          <w:b w:val="0"/>
          <w:i w:val="0"/>
          <w:color w:val="3D3E3E"/>
          <w:sz w:val="19"/>
        </w:rPr>
        <w:t>, outperforming the broad-USD move, consistent with the internationalisation bid; the HKD-linked HIBOR curve backed up +6bp (see HK below). Separately, GS equity strategy ("Rotation Temptation," 17671) flags the A-vs-H, Hard-vs-Soft-Tech divergence (STAR50 has outpaced HSTECH by 68pp ytd) and starts scaling into select H-share Soft Tech/Internet after their de-rating.</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23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4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5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5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8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2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PPI peaked, moderates</w:t>
            </w:r>
          </w:p>
        </w:tc>
        <w:tc>
          <w:tcPr>
            <w:tcW w:type="dxa" w:w="14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MS, (JPM/DB/ANZ prior)</w:t>
            </w:r>
          </w:p>
        </w:tc>
        <w:tc>
          <w:tcPr>
            <w:tcW w:type="dxa" w:w="2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the peak; MoM negative</w:t>
            </w:r>
          </w:p>
        </w:tc>
        <w:tc>
          <w:tcPr>
            <w:tcW w:type="dxa" w:w="25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Energy/gold; commodity forecasts cut</w:t>
            </w:r>
          </w:p>
        </w:tc>
        <w:tc>
          <w:tcPr>
            <w:tcW w:type="dxa" w:w="28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an ANZ-style Q1-27 second peak comes</w:t>
            </w:r>
          </w:p>
        </w:tc>
      </w:tr>
      <w:tr>
        <w:tc>
          <w:tcPr>
            <w:tcW w:type="dxa" w:w="12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Support stays targeted</w:t>
            </w:r>
          </w:p>
        </w:tc>
        <w:tc>
          <w:tcPr>
            <w:tcW w:type="dxa" w:w="14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MS, UBS</w:t>
            </w:r>
          </w:p>
        </w:tc>
        <w:tc>
          <w:tcPr>
            <w:tcW w:type="dxa" w:w="25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large stimulus; fiscal fine-tuned</w:t>
            </w:r>
          </w:p>
        </w:tc>
        <w:tc>
          <w:tcPr>
            <w:tcW w:type="dxa" w:w="25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no cut; MS ~Rmb2trn room; UBS pre-Politburo</w:t>
            </w:r>
          </w:p>
        </w:tc>
        <w:tc>
          <w:tcPr>
            <w:tcW w:type="dxa" w:w="28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Whether a weak Q2 forces more than "incremental"</w:t>
            </w:r>
          </w:p>
        </w:tc>
      </w:tr>
      <w:tr>
        <w:tc>
          <w:tcPr>
            <w:tcW w:type="dxa" w:w="12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Constructive RMB</w:t>
            </w:r>
          </w:p>
        </w:tc>
        <w:tc>
          <w:tcPr>
            <w:tcW w:type="dxa" w:w="14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MS, DB</w:t>
            </w:r>
          </w:p>
        </w:tc>
        <w:tc>
          <w:tcPr>
            <w:tcW w:type="dxa" w:w="2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Internationalisation + solid external balance</w:t>
            </w:r>
          </w:p>
        </w:tc>
        <w:tc>
          <w:tcPr>
            <w:tcW w:type="dxa" w:w="25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Pan CNH package; 15th FYP; Panda +60%</w:t>
            </w:r>
          </w:p>
        </w:tc>
        <w:tc>
          <w:tcPr>
            <w:tcW w:type="dxa" w:w="28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Cross-border-flow scrutiny (HSBC) as a two-way risk</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4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policy-rate OR RRR cut in 2026</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clearest no-easing call — steps away from StanC's Q3 RRR cut</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Growth-inflation mix stays "comfortable"; exports resilient</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demand shortfall on 15-Jul GDP forces easing</w:t>
            </w:r>
          </w:p>
        </w:tc>
      </w:tr>
      <w:tr>
        <w:tc>
          <w:tcPr>
            <w:tcW w:type="dxa" w:w="2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w:t>
            </w:r>
          </w:p>
        </w:tc>
        <w:tc>
          <w:tcPr>
            <w:tcW w:type="dxa" w:w="4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CNH/rates</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Weak Q2 (~2% qoq saar) catalyses support pre-Politburo, but targeted</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Ties the specific GDP number to a policy trigger</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Politburo responds to sequential weakness</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large-scale package (upside) or no response (downside)</w:t>
            </w:r>
          </w:p>
        </w:tc>
      </w:tr>
    </w:tbl>
    <w:p>
      <w:pPr>
        <w:spacing w:after="80" w:line="283" w:lineRule="auto"/>
      </w:pPr>
      <w:r>
        <w:rPr>
          <w:rFonts w:ascii="Public Sans" w:hAnsi="Public Sans"/>
          <w:b w:val="0"/>
          <w:i w:val="0"/>
          <w:color w:val="3D3E3E"/>
          <w:sz w:val="19"/>
        </w:rPr>
        <w:t xml:space="preserve">Trade rows: none direct (macro backdrop; CNH constructive). </w:t>
      </w:r>
      <w:r>
        <w:rPr>
          <w:rFonts w:ascii="Public Sans" w:hAnsi="Public Sans"/>
          <w:b/>
          <w:i w:val="0"/>
          <w:color w:val="3D3E3E"/>
          <w:sz w:val="19"/>
        </w:rPr>
        <w:t>DEPTH:</w:t>
      </w:r>
      <w:r>
        <w:rPr>
          <w:rFonts w:ascii="Public Sans" w:hAnsi="Public Sans"/>
          <w:b w:val="0"/>
          <w:i w:val="0"/>
          <w:color w:val="3D3E3E"/>
          <w:sz w:val="19"/>
        </w:rPr>
        <w:t xml:space="preserve"> CN econ.fact_indicator deep. </w:t>
      </w:r>
      <w:r>
        <w:rPr>
          <w:rFonts w:ascii="Public Sans" w:hAnsi="Public Sans"/>
          <w:b/>
          <w:i w:val="0"/>
          <w:color w:val="3D3E3E"/>
          <w:sz w:val="19"/>
        </w:rPr>
        <w:t>Flags:</w:t>
      </w:r>
      <w:r>
        <w:rPr>
          <w:rFonts w:ascii="Public Sans" w:hAnsi="Public Sans"/>
          <w:b w:val="0"/>
          <w:i w:val="0"/>
          <w:color w:val="3D3E3E"/>
          <w:sz w:val="19"/>
        </w:rPr>
        <w:t xml:space="preserve"> Q2 GDP + activity 15-Jul forward; StanC-vs-GST RRR disagreement unreconciled (both shown).</w:t>
      </w:r>
    </w:p>
    <w:p>
      <w:pPr>
        <w:spacing w:before="200" w:after="60"/>
        <w:keepNext/>
        <w:pBdr>
          <w:bottom w:val="single" w:sz="4" w:space="2" w:color="E0E9E4"/>
        </w:pBdr>
      </w:pPr>
      <w:r>
        <w:rPr>
          <w:rFonts w:ascii="Georgia" w:hAnsi="Georgia"/>
          <w:b/>
          <w:color w:val="4D806A"/>
          <w:sz w:val="23"/>
        </w:rPr>
        <w:t>Australia — GS quantifies the wealth-effect drag; AUD the biggest FX decliner</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9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5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0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House prices −5% → consumption drag</w:t>
            </w:r>
          </w:p>
        </w:tc>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0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 y/y house prices = 90bp consumption drag; spending +1.3% end-26</w:t>
            </w:r>
          </w:p>
        </w:tc>
      </w:tr>
      <w:tr>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9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Has the RBA peaked?</w:t>
            </w:r>
          </w:p>
        </w:tc>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0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JPM (vs Westpac/BNP)</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GS/JPM: peaked, easing from early-2027; mkt prices ~13bp hike then fade</w:t>
            </w:r>
          </w:p>
        </w:tc>
      </w:tr>
      <w:tr>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the biggest FX decliner DoD</w:t>
            </w:r>
          </w:p>
        </w:tc>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w:t>
            </w:r>
          </w:p>
        </w:tc>
        <w:tc>
          <w:tcPr>
            <w:tcW w:type="dxa" w:w="20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−0.31%; curve backed up +2.3bp with the DM set</w:t>
            </w:r>
          </w:p>
        </w:tc>
      </w:tr>
      <w:tr>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9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Business confidence into 14-Jul NAB</w:t>
            </w:r>
          </w:p>
        </w:tc>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0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Expects a June lift on the mid-June US-Iran ceasefire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GS (17645) put numbers on the RBA-has-peaked case: it forecasts consumer spending to slow </w:t>
      </w:r>
      <w:r>
        <w:rPr>
          <w:rFonts w:ascii="Public Sans" w:hAnsi="Public Sans"/>
          <w:b/>
          <w:i w:val="0"/>
          <w:color w:val="3D3E3E"/>
          <w:sz w:val="19"/>
        </w:rPr>
        <w:t>120bp to 1.3% y/y by end-2026</w:t>
      </w:r>
      <w:r>
        <w:rPr>
          <w:rFonts w:ascii="Public Sans" w:hAnsi="Public Sans"/>
          <w:b w:val="0"/>
          <w:i w:val="0"/>
          <w:color w:val="3D3E3E"/>
          <w:sz w:val="19"/>
        </w:rPr>
        <w:t xml:space="preserve">, driven mostly by </w:t>
      </w:r>
      <w:r>
        <w:rPr>
          <w:rFonts w:ascii="Public Sans" w:hAnsi="Public Sans"/>
          <w:b/>
          <w:i w:val="0"/>
          <w:color w:val="3D3E3E"/>
          <w:sz w:val="19"/>
        </w:rPr>
        <w:t>negative wealth effects</w:t>
      </w:r>
      <w:r>
        <w:rPr>
          <w:rFonts w:ascii="Public Sans" w:hAnsi="Public Sans"/>
          <w:b w:val="0"/>
          <w:i w:val="0"/>
          <w:color w:val="3D3E3E"/>
          <w:sz w:val="19"/>
        </w:rPr>
        <w:t xml:space="preserve"> — a modelled 1% fall in housing wealth lowers long-run consumption 0.18%, and with </w:t>
      </w:r>
      <w:r>
        <w:rPr>
          <w:rFonts w:ascii="Public Sans" w:hAnsi="Public Sans"/>
          <w:b/>
          <w:i w:val="0"/>
          <w:color w:val="3D3E3E"/>
          <w:sz w:val="19"/>
        </w:rPr>
        <w:t>house prices forecast −5% y/y to 1Q27</w:t>
      </w:r>
      <w:r>
        <w:rPr>
          <w:rFonts w:ascii="Public Sans" w:hAnsi="Public Sans"/>
          <w:b w:val="0"/>
          <w:i w:val="0"/>
          <w:color w:val="3D3E3E"/>
          <w:sz w:val="19"/>
        </w:rPr>
        <w:t xml:space="preserve"> (higher rates + housing-tax changes) that is a 90bp drag on end-2026 consumption; softer real income growth adds to it, and it sees unemployment peaking at 4.7% in 1Q27, GDP 2.5% end-27 (from 2.7%). GS frames the slowdown as the "necessary consequence" of RBA tightening ("growth has to slow" to let supply catch up) and expects inflation to normalise by end-2026, opening an </w:t>
      </w:r>
      <w:r>
        <w:rPr>
          <w:rFonts w:ascii="Public Sans" w:hAnsi="Public Sans"/>
          <w:b/>
          <w:i w:val="0"/>
          <w:color w:val="3D3E3E"/>
          <w:sz w:val="19"/>
        </w:rPr>
        <w:t>easing cycle from early 2027</w:t>
      </w:r>
      <w:r>
        <w:rPr>
          <w:rFonts w:ascii="Public Sans" w:hAnsi="Public Sans"/>
          <w:b w:val="0"/>
          <w:i w:val="0"/>
          <w:color w:val="3D3E3E"/>
          <w:sz w:val="19"/>
        </w:rPr>
        <w:t xml:space="preserve"> — squarely the JPM (peaked, 2027 cuts) camp, against Westpac/BNP's August-hike case from last week. The market split the difference: ANZ's OIS read (17658) prices only ~13bp of RBA hike to end-2026 (Nov 4.47 vs 4.35 current) then a fade back to 4.35 by Aug-27 — roughly half a hike then hold/cut. JPM (17681) expects a June business-confidence lift (the survey captures the mid-June ceasefire). </w:t>
      </w:r>
      <w:r>
        <w:rPr>
          <w:rFonts w:ascii="Public Sans" w:hAnsi="Public Sans"/>
          <w:b/>
          <w:i w:val="0"/>
          <w:color w:val="3D3E3E"/>
          <w:sz w:val="19"/>
        </w:rPr>
        <w:t>AUD/USD was the biggest FX decliner in the universe (−0.31%)</w:t>
      </w:r>
      <w:r>
        <w:rPr>
          <w:rFonts w:ascii="Public Sans" w:hAnsi="Public Sans"/>
          <w:b w:val="0"/>
          <w:i w:val="0"/>
          <w:color w:val="3D3E3E"/>
          <w:sz w:val="19"/>
        </w:rPr>
        <w:t>; AONIA backed up +2.3bp (2y and 10y) with the broad DM move. NAB/Westpac confidence print 14-Jul; Q2 CPI 29-Jul the decider.</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6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0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31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9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6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Housing/consumption softening</w:t>
            </w:r>
          </w:p>
        </w:tc>
        <w:tc>
          <w:tcPr>
            <w:tcW w:type="dxa" w:w="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StanC</w:t>
            </w:r>
          </w:p>
        </w:tc>
        <w:tc>
          <w:tcPr>
            <w:tcW w:type="dxa" w:w="20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Wealth-effect drag on H2 consumption</w:t>
            </w:r>
          </w:p>
        </w:tc>
        <w:tc>
          <w:tcPr>
            <w:tcW w:type="dxa" w:w="31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−5% house prices, 90bp drag; unemployment 4.7% 1Q27</w:t>
            </w:r>
          </w:p>
        </w:tc>
        <w:tc>
          <w:tcPr>
            <w:tcW w:type="dxa" w:w="29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Westpac/BNP's live August-hike case (the other side)</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2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House prices −5%, consumption +1.3%, easing from early-2027</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Quantifies the wealth channel (0.18% elasticity) into a peaked-RBA/2027-cut path</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House prices fall as modelled; inflation normalises end-2026</w:t>
            </w:r>
          </w:p>
        </w:tc>
        <w:tc>
          <w:tcPr>
            <w:tcW w:type="dxa" w:w="24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 ≥ RBA's 1.4% (demand-driven) revives the hike</w:t>
            </w:r>
          </w:p>
        </w:tc>
      </w:tr>
      <w:tr>
        <w:tc>
          <w:tcPr>
            <w:tcW w:type="dxa" w:w="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RBA peaked; flatteners, 2027 cuts</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Fades hawkish RBA commentary via supply/demand decomposition</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1Q inflation supply-driven; Q2 CPI ~0.8% q/q</w:t>
            </w:r>
          </w:p>
        </w:tc>
        <w:tc>
          <w:tcPr>
            <w:tcW w:type="dxa" w:w="24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hot Q2 CPI (Westpac/BNP August hike)</w:t>
            </w:r>
          </w:p>
        </w:tc>
      </w:tr>
    </w:tbl>
    <w:p>
      <w:pPr>
        <w:spacing w:after="80" w:line="283" w:lineRule="auto"/>
      </w:pPr>
      <w:r>
        <w:rPr>
          <w:rFonts w:ascii="Public Sans" w:hAnsi="Public Sans"/>
          <w:b w:val="0"/>
          <w:i w:val="0"/>
          <w:color w:val="3D3E3E"/>
          <w:sz w:val="19"/>
        </w:rPr>
        <w:t xml:space="preserve">Trade rows: (RBA leg two-sided; see NZ #). </w:t>
      </w:r>
      <w:r>
        <w:rPr>
          <w:rFonts w:ascii="Public Sans" w:hAnsi="Public Sans"/>
          <w:b/>
          <w:i w:val="0"/>
          <w:color w:val="3D3E3E"/>
          <w:sz w:val="19"/>
        </w:rPr>
        <w:t>DEPTH:</w:t>
      </w:r>
      <w:r>
        <w:rPr>
          <w:rFonts w:ascii="Public Sans" w:hAnsi="Public Sans"/>
          <w:b w:val="0"/>
          <w:i w:val="0"/>
          <w:color w:val="3D3E3E"/>
          <w:sz w:val="19"/>
        </w:rPr>
        <w:t xml:space="preserve"> AU econ.fact_indicator deep. </w:t>
      </w:r>
      <w:r>
        <w:rPr>
          <w:rFonts w:ascii="Public Sans" w:hAnsi="Public Sans"/>
          <w:b/>
          <w:i w:val="0"/>
          <w:color w:val="3D3E3E"/>
          <w:sz w:val="19"/>
        </w:rPr>
        <w:t>Flags:</w:t>
      </w:r>
      <w:r>
        <w:rPr>
          <w:rFonts w:ascii="Public Sans" w:hAnsi="Public Sans"/>
          <w:b w:val="0"/>
          <w:i w:val="0"/>
          <w:color w:val="3D3E3E"/>
          <w:sz w:val="19"/>
        </w:rPr>
        <w:t xml:space="preserve"> NAB/Westpac confidence 14-Jul, Q2 CPI 29-Jul forward.</w:t>
      </w:r>
    </w:p>
    <w:p>
      <w:pPr>
        <w:spacing w:before="200" w:after="60"/>
        <w:keepNext/>
        <w:pBdr>
          <w:bottom w:val="single" w:sz="4" w:space="2" w:color="E0E9E4"/>
        </w:pBdr>
      </w:pPr>
      <w:r>
        <w:rPr>
          <w:rFonts w:ascii="Georgia" w:hAnsi="Georgia"/>
          <w:b/>
          <w:color w:val="4D806A"/>
          <w:sz w:val="23"/>
        </w:rPr>
        <w:t>New Zealand — biggest rates back-up; RBNZ cut its own inflation peak even as it hiked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5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4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7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RBNZ hiked, flags more; cut its own peak</w:t>
            </w:r>
          </w:p>
        </w:tc>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4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Westpac, ANZ</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Mkt prices 2.99% Dec; JPM 75bp more; peak forecast cut 4.2→3.9%</w:t>
            </w:r>
          </w:p>
        </w:tc>
      </w:tr>
      <w:tr>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Biggest curve back-up in the universe</w:t>
            </w:r>
          </w:p>
        </w:tc>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4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7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NZIONA 2y +7.1bp / 10y +6.6bp DoD</w:t>
            </w:r>
          </w:p>
        </w:tc>
      </w:tr>
      <w:tr>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PMI 59.7 "overstates" the recovery</w:t>
            </w:r>
          </w:p>
        </w:tc>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4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Post-Covid high; JPM says hard to explain, likely overstates</w:t>
            </w:r>
          </w:p>
        </w:tc>
      </w:tr>
      <w:tr>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4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CPI 21-Jul the fork</w:t>
            </w:r>
          </w:p>
        </w:tc>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4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Westpac, JPM</w:t>
            </w:r>
          </w:p>
        </w:tc>
        <w:tc>
          <w:tcPr>
            <w:tcW w:type="dxa" w:w="47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0.4% q/q run-rate a "low hurdle" (JPM)</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Kiwi curve backed up the most in the universe — </w:t>
      </w:r>
      <w:r>
        <w:rPr>
          <w:rFonts w:ascii="Public Sans" w:hAnsi="Public Sans"/>
          <w:b/>
          <w:i w:val="0"/>
          <w:color w:val="3D3E3E"/>
          <w:sz w:val="19"/>
        </w:rPr>
        <w:t>NZIONA 2y +7.1bp / 10y +6.6bp</w:t>
      </w:r>
      <w:r>
        <w:rPr>
          <w:rFonts w:ascii="Public Sans" w:hAnsi="Public Sans"/>
          <w:b w:val="0"/>
          <w:i w:val="0"/>
          <w:color w:val="3D3E3E"/>
          <w:sz w:val="19"/>
        </w:rPr>
        <w:t xml:space="preserve"> — while NZD/USD held flat (−0.02%), so the repricing was all in rates. The set-up: the RBNZ hiked 25bp to 2.50% on 08-Jul and flagged that "some further reduction in monetary stimulus is likely to be required," but — notably — </w:t>
      </w:r>
      <w:r>
        <w:rPr>
          <w:rFonts w:ascii="Public Sans" w:hAnsi="Public Sans"/>
          <w:b/>
          <w:i w:val="0"/>
          <w:color w:val="3D3E3E"/>
          <w:sz w:val="19"/>
        </w:rPr>
        <w:t>cut its own inflation-peak forecast to 3.9% oya for Jun-2026 (from 4.2%)</w:t>
      </w:r>
      <w:r>
        <w:rPr>
          <w:rFonts w:ascii="Public Sans" w:hAnsi="Public Sans"/>
          <w:b w:val="0"/>
          <w:i w:val="0"/>
          <w:color w:val="3D3E3E"/>
          <w:sz w:val="19"/>
        </w:rPr>
        <w:t xml:space="preserve"> and to 3.3% for Sep-2026 (from 4.3%), implying just a 0.4% q/q run-rate (JPM 17681). JPM reads that as a "low hurdle," attaches upside risk, and </w:t>
      </w:r>
      <w:r>
        <w:rPr>
          <w:rFonts w:ascii="Public Sans" w:hAnsi="Public Sans"/>
          <w:b/>
          <w:i w:val="0"/>
          <w:color w:val="3D3E3E"/>
          <w:sz w:val="19"/>
        </w:rPr>
        <w:t>maintains a follow-up Sep hike then a further 50bp through early 2027 (Dec, Feb)</w:t>
      </w:r>
      <w:r>
        <w:rPr>
          <w:rFonts w:ascii="Public Sans" w:hAnsi="Public Sans"/>
          <w:b w:val="0"/>
          <w:i w:val="0"/>
          <w:color w:val="3D3E3E"/>
          <w:sz w:val="19"/>
        </w:rPr>
        <w:t xml:space="preserve"> — 75bp more, more hawkish than the ~2 hikes (2.99% by Dec) the market/ANZ price. Governor Breman cited three drivers for shifting from hold to hike: preventing inflation persistence, the loosening in financial conditions via the exchange rate/wholesale funding, and an improved GDP backdrop. </w:t>
      </w:r>
      <w:r>
        <w:rPr>
          <w:rFonts w:ascii="Public Sans" w:hAnsi="Public Sans"/>
          <w:b/>
          <w:i w:val="0"/>
          <w:color w:val="3D3E3E"/>
          <w:sz w:val="19"/>
        </w:rPr>
        <w:t>Westpac (17687, "from nail-biter to head-scratcher")</w:t>
      </w:r>
      <w:r>
        <w:rPr>
          <w:rFonts w:ascii="Public Sans" w:hAnsi="Public Sans"/>
          <w:b w:val="0"/>
          <w:i w:val="0"/>
          <w:color w:val="3D3E3E"/>
          <w:sz w:val="19"/>
        </w:rPr>
        <w:t xml:space="preserve"> — which had expected a hold — reframes it as a difference of </w:t>
      </w:r>
      <w:r>
        <w:rPr>
          <w:rFonts w:ascii="Public Sans" w:hAnsi="Public Sans"/>
          <w:b w:val="0"/>
          <w:i/>
          <w:color w:val="3D3E3E"/>
          <w:sz w:val="19"/>
        </w:rPr>
        <w:t>timing not direction</w:t>
      </w:r>
      <w:r>
        <w:rPr>
          <w:rFonts w:ascii="Public Sans" w:hAnsi="Public Sans"/>
          <w:b w:val="0"/>
          <w:i w:val="0"/>
          <w:color w:val="3D3E3E"/>
          <w:sz w:val="19"/>
        </w:rPr>
        <w:t>, notes the committee split was unchanged (external members Gai/Gourley/Hansen hawkish, internal Breman/Conway/Silk dovish), and is "scratching its head" that the RBNZ tightened without waiting for the 21-Jul Q2 CPI (the period most affected by the oil shock). June manufacturing PMI leapt to 59.7 (from 51.3), which JPM calls "unusual and hard to explain" and likely overstating the recovery. QSBO 14-Jul + Q2 CPI 21-Jul the fork.</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3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3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169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7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36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3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More hikes coming</w:t>
            </w:r>
          </w:p>
        </w:tc>
        <w:tc>
          <w:tcPr>
            <w:tcW w:type="dxa" w:w="13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ANZ, Westpac</w:t>
            </w:r>
          </w:p>
        </w:tc>
        <w:tc>
          <w:tcPr>
            <w:tcW w:type="dxa" w:w="16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OCR toward ~3.0% by Q4</w:t>
            </w:r>
          </w:p>
        </w:tc>
        <w:tc>
          <w:tcPr>
            <w:tcW w:type="dxa" w:w="27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RBNZ guidance; mkt prices 2.99% Dec</w:t>
            </w:r>
          </w:p>
        </w:tc>
        <w:tc>
          <w:tcPr>
            <w:tcW w:type="dxa" w:w="36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How many: JPM 75bp more vs mkt ~2; timing split</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3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JPM</w:t>
            </w:r>
          </w:p>
        </w:tc>
        <w:tc>
          <w:tcPr>
            <w:tcW w:type="dxa" w:w="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Sep + Dec + Feb (+75bp) — more than priced</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Most hawkish caller; sees upside to a 0.4% q/q "low hurdle"</w:t>
            </w:r>
          </w:p>
        </w:tc>
        <w:tc>
          <w:tcPr>
            <w:tcW w:type="dxa" w:w="2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Inflation persistence as RBNZ fears; PMI recovery real</w:t>
            </w:r>
          </w:p>
        </w:tc>
        <w:tc>
          <w:tcPr>
            <w:tcW w:type="dxa" w:w="23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 undershoots or the PMI proves a false signal</w:t>
            </w:r>
          </w:p>
        </w:tc>
      </w:tr>
      <w:tr>
        <w:tc>
          <w:tcPr>
            <w:tcW w:type="dxa" w:w="3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Westpac</w:t>
            </w:r>
          </w:p>
        </w:tc>
        <w:tc>
          <w:tcPr>
            <w:tcW w:type="dxa" w:w="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Aligned on direction but flags the RBNZ jumped before the Q2 CPI</w:t>
            </w:r>
          </w:p>
        </w:tc>
        <w:tc>
          <w:tcPr>
            <w:tcW w:type="dxa" w:w="25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early move as speculative on "price-setting behaviour"</w:t>
            </w:r>
          </w:p>
        </w:tc>
        <w:tc>
          <w:tcPr>
            <w:tcW w:type="dxa" w:w="25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CPI (21-Jul) validates the persistence story</w:t>
            </w:r>
          </w:p>
        </w:tc>
        <w:tc>
          <w:tcPr>
            <w:tcW w:type="dxa" w:w="23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soft Q2 CPI vindicates the wait-and-see camp</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#3 (implicit — receive/pay the RBNZ path)</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NZ econ.fact_indicator moderate. </w:t>
      </w:r>
      <w:r>
        <w:rPr>
          <w:rFonts w:ascii="Public Sans" w:hAnsi="Public Sans"/>
          <w:b/>
          <w:i w:val="0"/>
          <w:color w:val="3D3E3E"/>
          <w:sz w:val="19"/>
        </w:rPr>
        <w:t>Flags:</w:t>
      </w:r>
      <w:r>
        <w:rPr>
          <w:rFonts w:ascii="Public Sans" w:hAnsi="Public Sans"/>
          <w:b w:val="0"/>
          <w:i w:val="0"/>
          <w:color w:val="3D3E3E"/>
          <w:sz w:val="19"/>
        </w:rPr>
        <w:t xml:space="preserve"> QSBO 14-Jul, Q2 CPI 21-Jul forward; NZIER confidence 13-Jul pre-print.</w:t>
      </w:r>
    </w:p>
    <w:p>
      <w:pPr>
        <w:spacing w:before="200" w:after="60"/>
        <w:keepNext/>
        <w:pBdr>
          <w:bottom w:val="single" w:sz="4" w:space="2" w:color="E0E9E4"/>
        </w:pBdr>
      </w:pPr>
      <w:r>
        <w:rPr>
          <w:rFonts w:ascii="Georgia" w:hAnsi="Georgia"/>
          <w:b/>
          <w:color w:val="4D806A"/>
          <w:sz w:val="23"/>
        </w:rPr>
        <w:t>Malaysia — Johor state election reads two ways; Barclays keeps the Sep hike</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73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9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7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Johor election: BN landslide</w:t>
            </w:r>
          </w:p>
        </w:tc>
        <w:tc>
          <w:tcPr>
            <w:tcW w:type="dxa" w:w="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MYR, rates</w:t>
            </w:r>
          </w:p>
        </w:tc>
        <w:tc>
          <w:tcPr>
            <w:tcW w:type="dxa" w:w="29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Barclays</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 48/56 (from 40); federal BN-PH tension the market focus</w:t>
            </w:r>
          </w:p>
        </w:tc>
      </w:tr>
      <w:tr>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7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Continuity vs "Anwar losing ground"</w:t>
            </w:r>
          </w:p>
        </w:tc>
        <w:tc>
          <w:tcPr>
            <w:tcW w:type="dxa" w:w="7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w:t>
            </w:r>
          </w:p>
        </w:tc>
        <w:tc>
          <w:tcPr>
            <w:tcW w:type="dxa" w:w="29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(continuity) vs Barclays (Anwar weaker)</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policy-stability premium; Barclays: early-election + fiscal-slippage risk</w:t>
            </w:r>
          </w:p>
        </w:tc>
      </w:tr>
      <w:tr>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7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BNM Sep hike still base case (Barclays)</w:t>
            </w:r>
          </w:p>
        </w:tc>
        <w:tc>
          <w:tcPr>
            <w:tcW w:type="dxa" w:w="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9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Keeps +25bp to 3.00% in September despite the politics</w:t>
            </w:r>
          </w:p>
        </w:tc>
      </w:tr>
      <w:tr>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7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 choppy; May IP +8.4% (FACT)</w:t>
            </w:r>
          </w:p>
        </w:tc>
        <w:tc>
          <w:tcPr>
            <w:tcW w:type="dxa" w:w="7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 rates</w:t>
            </w:r>
          </w:p>
        </w:tc>
        <w:tc>
          <w:tcPr>
            <w:tcW w:type="dxa" w:w="29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BNM FX-inflow measures cap volatility</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w:t>
      </w:r>
      <w:r>
        <w:rPr>
          <w:rFonts w:ascii="Public Sans" w:hAnsi="Public Sans"/>
          <w:b/>
          <w:i w:val="0"/>
          <w:color w:val="3D3E3E"/>
          <w:sz w:val="19"/>
        </w:rPr>
        <w:t>11-July Johor state election</w:t>
      </w:r>
      <w:r>
        <w:rPr>
          <w:rFonts w:ascii="Public Sans" w:hAnsi="Public Sans"/>
          <w:b w:val="0"/>
          <w:i w:val="0"/>
          <w:color w:val="3D3E3E"/>
          <w:sz w:val="19"/>
        </w:rPr>
        <w:t xml:space="preserve"> is the new political input, and the two houses read the same result differently. </w:t>
      </w:r>
      <w:r>
        <w:rPr>
          <w:rFonts w:ascii="Public Sans" w:hAnsi="Public Sans"/>
          <w:b/>
          <w:i w:val="0"/>
          <w:color w:val="3D3E3E"/>
          <w:sz w:val="19"/>
        </w:rPr>
        <w:t>GS (17670):</w:t>
      </w:r>
      <w:r>
        <w:rPr>
          <w:rFonts w:ascii="Public Sans" w:hAnsi="Public Sans"/>
          <w:b w:val="0"/>
          <w:i w:val="0"/>
          <w:color w:val="3D3E3E"/>
          <w:sz w:val="19"/>
        </w:rPr>
        <w:t xml:space="preserve"> BN won 48 of 56 seats (from 40 in 2022, above the 29-seat majority threshold), signalling </w:t>
      </w:r>
      <w:r>
        <w:rPr>
          <w:rFonts w:ascii="Public Sans" w:hAnsi="Public Sans"/>
          <w:b/>
          <w:i w:val="0"/>
          <w:color w:val="3D3E3E"/>
          <w:sz w:val="19"/>
        </w:rPr>
        <w:t>continuity in Johor's investment-led strategy</w:t>
      </w:r>
      <w:r>
        <w:rPr>
          <w:rFonts w:ascii="Public Sans" w:hAnsi="Public Sans"/>
          <w:b w:val="0"/>
          <w:i w:val="0"/>
          <w:color w:val="3D3E3E"/>
          <w:sz w:val="19"/>
        </w:rPr>
        <w:t xml:space="preserve"> rather than a change of direction — but the stronger showing keeps markets focused on BN-PH federal coalition dynamics, which matters for the MYR because Malaysia has benefited from a stable policy environment (fiscal consolidation → inflows). GS expects </w:t>
      </w:r>
      <w:r>
        <w:rPr>
          <w:rFonts w:ascii="Public Sans" w:hAnsi="Public Sans"/>
          <w:b/>
          <w:i w:val="0"/>
          <w:color w:val="3D3E3E"/>
          <w:sz w:val="19"/>
        </w:rPr>
        <w:t>MYR to stay choppy</w:t>
      </w:r>
      <w:r>
        <w:rPr>
          <w:rFonts w:ascii="Public Sans" w:hAnsi="Public Sans"/>
          <w:b w:val="0"/>
          <w:i w:val="0"/>
          <w:color w:val="3D3E3E"/>
          <w:sz w:val="19"/>
        </w:rPr>
        <w:t xml:space="preserve"> near-term, but Bank Negara's June FX-inflow measures (GLC/GLIC repatriation and conversion) should cap excessive volatility. </w:t>
      </w:r>
      <w:r>
        <w:rPr>
          <w:rFonts w:ascii="Public Sans" w:hAnsi="Public Sans"/>
          <w:b/>
          <w:i w:val="0"/>
          <w:color w:val="3D3E3E"/>
          <w:sz w:val="19"/>
        </w:rPr>
        <w:t>Barclays (17691, "PM Anwar losing ground"):</w:t>
      </w:r>
      <w:r>
        <w:rPr>
          <w:rFonts w:ascii="Public Sans" w:hAnsi="Public Sans"/>
          <w:b w:val="0"/>
          <w:i w:val="0"/>
          <w:color w:val="3D3E3E"/>
          <w:sz w:val="19"/>
        </w:rPr>
        <w:t xml:space="preserve"> turnout surged to 69% (from 55%), BN's vote share rose to 60% (from 43%) while PH's rose only to 33% (from 26%) and PN collapsed to 5% (from 25%) — evidence BN is benefiting more than Anwar's PH from opposition troubles. Barclays sees the early-general-election risk rising but keeps its base case for polls by Feb-2028, expects </w:t>
      </w:r>
      <w:r>
        <w:rPr>
          <w:rFonts w:ascii="Public Sans" w:hAnsi="Public Sans"/>
          <w:b/>
          <w:i w:val="0"/>
          <w:color w:val="3D3E3E"/>
          <w:sz w:val="19"/>
        </w:rPr>
        <w:t>more pre-election fiscal spending</w:t>
      </w:r>
      <w:r>
        <w:rPr>
          <w:rFonts w:ascii="Public Sans" w:hAnsi="Public Sans"/>
          <w:b w:val="0"/>
          <w:i w:val="0"/>
          <w:color w:val="3D3E3E"/>
          <w:sz w:val="19"/>
        </w:rPr>
        <w:t xml:space="preserve"> (raising its 2026 deficit forecast to 3.6% from a budgeted 3.5%, 2027 to 3.5% vs a likely 3.4% target), and — importantly — </w:t>
      </w:r>
      <w:r>
        <w:rPr>
          <w:rFonts w:ascii="Public Sans" w:hAnsi="Public Sans"/>
          <w:b/>
          <w:i w:val="0"/>
          <w:color w:val="3D3E3E"/>
          <w:sz w:val="19"/>
        </w:rPr>
        <w:t>keeps its base case for a BNM +25bp hike to 3.00% in September</w:t>
      </w:r>
      <w:r>
        <w:rPr>
          <w:rFonts w:ascii="Public Sans" w:hAnsi="Public Sans"/>
          <w:b w:val="0"/>
          <w:i w:val="0"/>
          <w:color w:val="3D3E3E"/>
          <w:sz w:val="19"/>
        </w:rPr>
        <w:t xml:space="preserve"> (little monetary impact from the politics). </w:t>
      </w:r>
      <w:r>
        <w:rPr>
          <w:rFonts w:ascii="Public Sans" w:hAnsi="Public Sans"/>
          <w:b/>
          <w:i w:val="0"/>
          <w:color w:val="3D3E3E"/>
          <w:sz w:val="19"/>
        </w:rPr>
        <w:t>MYR softened −0.18% DoD</w:t>
      </w:r>
      <w:r>
        <w:rPr>
          <w:rFonts w:ascii="Public Sans" w:hAnsi="Public Sans"/>
          <w:b w:val="0"/>
          <w:i w:val="0"/>
          <w:color w:val="3D3E3E"/>
          <w:sz w:val="19"/>
        </w:rPr>
        <w:t>; KLIBOR backed up +1.25bp (2y) / +1.75bp (10y) with the DM set. Next political catalysts: Negeri Sembilan election 1-Aug, DAP national conference 16-Aug, possible Melaka election in September.</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3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12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85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35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33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 strengthened in Johor; federal dynamics the focus</w:t>
            </w:r>
          </w:p>
        </w:tc>
        <w:tc>
          <w:tcPr>
            <w:tcW w:type="dxa" w:w="7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Barclays</w:t>
            </w:r>
          </w:p>
        </w:tc>
        <w:tc>
          <w:tcPr>
            <w:tcW w:type="dxa" w:w="12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 48/56, PH weaker</w:t>
            </w:r>
          </w:p>
        </w:tc>
        <w:tc>
          <w:tcPr>
            <w:tcW w:type="dxa" w:w="18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Official results; turnout 69%</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Direction of the read: continuity (GS) vs Anwar-weakening (Barclays)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3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w:t>
            </w:r>
          </w:p>
        </w:tc>
        <w:tc>
          <w:tcPr>
            <w:tcW w:type="dxa" w:w="4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Rates/MYR</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Anwar losing ground → more pre-election fiscal spend, deficit slips to 3.6%; keeps Sep BNM hike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Ties the political result to fiscal slippage while holding the hike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Anwar spends to shore up PH; growth still warrants a hike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 early election is triggered, or growth cools enough to stay the hike</w:t>
            </w:r>
          </w:p>
        </w:tc>
      </w:tr>
      <w:tr>
        <w:tc>
          <w:tcPr>
            <w:tcW w:type="dxa" w:w="3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GS</w:t>
            </w:r>
          </w:p>
        </w:tc>
        <w:tc>
          <w:tcPr>
            <w:tcW w:type="dxa" w:w="4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Continuity in strategy; policy-stability premium at risk only if federal cohesion frays</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landslide as status-quo-positive, not destabilising</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BN-PH federal coalition holds; inflows continue</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Federal coalition fractures → the stability premium unwinds</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#7</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MY econ.fact_indicator moderate (IP loaded). </w:t>
      </w:r>
      <w:r>
        <w:rPr>
          <w:rFonts w:ascii="Public Sans" w:hAnsi="Public Sans"/>
          <w:b/>
          <w:i w:val="0"/>
          <w:color w:val="3D3E3E"/>
          <w:sz w:val="19"/>
        </w:rPr>
        <w:t>Flags:</w:t>
      </w:r>
      <w:r>
        <w:rPr>
          <w:rFonts w:ascii="Public Sans" w:hAnsi="Public Sans"/>
          <w:b w:val="0"/>
          <w:i w:val="0"/>
          <w:color w:val="3D3E3E"/>
          <w:sz w:val="19"/>
        </w:rPr>
        <w:t xml:space="preserve"> May IP +8.4% remains FACT (prior run); Johor a VIEW-level political read; BNM path 5-vs-3 unreconciled.</w:t>
      </w:r>
    </w:p>
    <w:p>
      <w:pPr>
        <w:spacing w:before="200" w:after="60"/>
        <w:keepNext/>
        <w:pBdr>
          <w:bottom w:val="single" w:sz="4" w:space="2" w:color="E0E9E4"/>
        </w:pBdr>
      </w:pPr>
      <w:r>
        <w:rPr>
          <w:rFonts w:ascii="Georgia" w:hAnsi="Georgia"/>
          <w:b/>
          <w:color w:val="4D806A"/>
          <w:sz w:val="23"/>
        </w:rPr>
        <w:t>India — CPI prints today into a constructive-FX-vs-pay-rates split</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68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3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6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(today): 4.2% cluster</w:t>
            </w:r>
          </w:p>
        </w:tc>
        <w:tc>
          <w:tcPr>
            <w:tcW w:type="dxa" w:w="8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INR</w:t>
            </w:r>
          </w:p>
        </w:tc>
        <w:tc>
          <w:tcPr>
            <w:tcW w:type="dxa" w:w="23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UBS, StanC, DB</w:t>
            </w:r>
          </w:p>
        </w:tc>
        <w:tc>
          <w:tcPr>
            <w:tcW w:type="dxa" w:w="42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 +30bp on fuel/food; core ~3.8% (Citi)</w:t>
            </w:r>
          </w:p>
        </w:tc>
      </w:tr>
      <w:tr>
        <w:tc>
          <w:tcPr>
            <w:tcW w:type="dxa" w:w="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6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Long-INR-FX vs pay-INR-rates</w:t>
            </w:r>
          </w:p>
        </w:tc>
        <w:tc>
          <w:tcPr>
            <w:tcW w:type="dxa" w:w="8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 rates</w:t>
            </w:r>
          </w:p>
        </w:tc>
        <w:tc>
          <w:tcPr>
            <w:tcW w:type="dxa" w:w="23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(long) vs UBS (payer)</w:t>
            </w:r>
          </w:p>
        </w:tc>
        <w:tc>
          <w:tcPr>
            <w:tcW w:type="dxa" w:w="42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FCNR-inflows story; UBS El-Niño/2027 hedge</w:t>
            </w:r>
          </w:p>
        </w:tc>
      </w:tr>
      <w:tr>
        <w:tc>
          <w:tcPr>
            <w:tcW w:type="dxa" w:w="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6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Equity "Room to Rebound"</w:t>
            </w:r>
          </w:p>
        </w:tc>
        <w:tc>
          <w:tcPr>
            <w:tcW w:type="dxa" w:w="8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Equities</w:t>
            </w:r>
          </w:p>
        </w:tc>
        <w:tc>
          <w:tcPr>
            <w:tcW w:type="dxa" w:w="23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w:t>
            </w:r>
          </w:p>
        </w:tc>
        <w:tc>
          <w:tcPr>
            <w:tcW w:type="dxa" w:w="42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NIFTY 26,500; rotate to value/large-caps/banks</w:t>
            </w:r>
          </w:p>
        </w:tc>
      </w:tr>
      <w:tr>
        <w:tc>
          <w:tcPr>
            <w:tcW w:type="dxa" w:w="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6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Repo path embeds hikes (GS)</w:t>
            </w:r>
          </w:p>
        </w:tc>
        <w:tc>
          <w:tcPr>
            <w:tcW w:type="dxa" w:w="8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3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w:t>
            </w:r>
          </w:p>
        </w:tc>
        <w:tc>
          <w:tcPr>
            <w:tcW w:type="dxa" w:w="42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macro table pins repo 5.75% eop CY26</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June CPI prints today, and the sell-side clusters at </w:t>
      </w:r>
      <w:r>
        <w:rPr>
          <w:rFonts w:ascii="Public Sans" w:hAnsi="Public Sans"/>
          <w:b/>
          <w:i w:val="0"/>
          <w:color w:val="3D3E3E"/>
          <w:sz w:val="19"/>
        </w:rPr>
        <w:t>4.2%</w:t>
      </w:r>
      <w:r>
        <w:rPr>
          <w:rFonts w:ascii="Public Sans" w:hAnsi="Public Sans"/>
          <w:b w:val="0"/>
          <w:i w:val="0"/>
          <w:color w:val="3D3E3E"/>
          <w:sz w:val="19"/>
        </w:rPr>
        <w:t xml:space="preserve"> (Citi 17693, UBS 17686, StanC 17685; vs survey 4.3-4.4%, prior 3.93%). </w:t>
      </w:r>
      <w:r>
        <w:rPr>
          <w:rFonts w:ascii="Public Sans" w:hAnsi="Public Sans"/>
          <w:b/>
          <w:i w:val="0"/>
          <w:color w:val="3D3E3E"/>
          <w:sz w:val="19"/>
        </w:rPr>
        <w:t>Citi (17693):</w:t>
      </w:r>
      <w:r>
        <w:rPr>
          <w:rFonts w:ascii="Public Sans" w:hAnsi="Public Sans"/>
          <w:b w:val="0"/>
          <w:i w:val="0"/>
          <w:color w:val="3D3E3E"/>
          <w:sz w:val="19"/>
        </w:rPr>
        <w:t xml:space="preserve"> headline +30bp to 4.2% on higher fuel (personal transport fuels +7.5% y/y) and food (food ex-vegetable 4.9%, offset by weaker vegetable momentum), </w:t>
      </w:r>
      <w:r>
        <w:rPr>
          <w:rFonts w:ascii="Public Sans" w:hAnsi="Public Sans"/>
          <w:b/>
          <w:i w:val="0"/>
          <w:color w:val="3D3E3E"/>
          <w:sz w:val="19"/>
        </w:rPr>
        <w:t>core CPI −10bp to 3.8%</w:t>
      </w:r>
      <w:r>
        <w:rPr>
          <w:rFonts w:ascii="Public Sans" w:hAnsi="Public Sans"/>
          <w:b w:val="0"/>
          <w:i w:val="0"/>
          <w:color w:val="3D3E3E"/>
          <w:sz w:val="19"/>
        </w:rPr>
        <w:t xml:space="preserve"> on weaker precious-metal prices — and Citi opens </w:t>
      </w:r>
      <w:r>
        <w:rPr>
          <w:rFonts w:ascii="Public Sans" w:hAnsi="Public Sans"/>
          <w:b/>
          <w:i w:val="0"/>
          <w:color w:val="3D3E3E"/>
          <w:sz w:val="19"/>
        </w:rPr>
        <w:t>long INR vs a USD/EUR/SGD basket (weights 40/30/30, entry 100, target 3%, stop 1.5%, via 3m fwds/NDFs)</w:t>
      </w:r>
      <w:r>
        <w:rPr>
          <w:rFonts w:ascii="Public Sans" w:hAnsi="Public Sans"/>
          <w:b w:val="0"/>
          <w:i w:val="0"/>
          <w:color w:val="3D3E3E"/>
          <w:sz w:val="19"/>
        </w:rPr>
        <w:t xml:space="preserve"> plus re-initiated NDOIS 1s5s steepeners, on the view that the RBI's FCNR measures are "starting to have an impact." </w:t>
      </w:r>
      <w:r>
        <w:rPr>
          <w:rFonts w:ascii="Public Sans" w:hAnsi="Public Sans"/>
          <w:b/>
          <w:i w:val="0"/>
          <w:color w:val="3D3E3E"/>
          <w:sz w:val="19"/>
        </w:rPr>
        <w:t>UBS (17686)</w:t>
      </w:r>
      <w:r>
        <w:rPr>
          <w:rFonts w:ascii="Public Sans" w:hAnsi="Public Sans"/>
          <w:b w:val="0"/>
          <w:i w:val="0"/>
          <w:color w:val="3D3E3E"/>
          <w:sz w:val="19"/>
        </w:rPr>
        <w:t xml:space="preserve"> sees CPI 4.2% (in line) and has cut its FY27 CPI forecast to 4.8% (from 5.2%) — realised June-quarter inflation has tracked ~30bp below the RBI's 4.2% on lower oil — but </w:t>
      </w:r>
      <w:r>
        <w:rPr>
          <w:rFonts w:ascii="Public Sans" w:hAnsi="Public Sans"/>
          <w:b/>
          <w:i w:val="0"/>
          <w:color w:val="3D3E3E"/>
          <w:sz w:val="19"/>
        </w:rPr>
        <w:t>holds INR-swap PAYERS as a hedge</w:t>
      </w:r>
      <w:r>
        <w:rPr>
          <w:rFonts w:ascii="Public Sans" w:hAnsi="Public Sans"/>
          <w:b w:val="0"/>
          <w:i w:val="0"/>
          <w:color w:val="3D3E3E"/>
          <w:sz w:val="19"/>
        </w:rPr>
        <w:t xml:space="preserve"> against elevated food risk (food to 6.5-7.0% in H2 on an unfavourable base + emerging El Niño) and a CPI re-acceleration into early-2027. </w:t>
      </w:r>
      <w:r>
        <w:rPr>
          <w:rFonts w:ascii="Public Sans" w:hAnsi="Public Sans"/>
          <w:b/>
          <w:i w:val="0"/>
          <w:color w:val="3D3E3E"/>
          <w:sz w:val="19"/>
        </w:rPr>
        <w:t>GS ("Room To Rebound," 17621)</w:t>
      </w:r>
      <w:r>
        <w:rPr>
          <w:rFonts w:ascii="Public Sans" w:hAnsi="Public Sans"/>
          <w:b w:val="0"/>
          <w:i w:val="0"/>
          <w:color w:val="3D3E3E"/>
          <w:sz w:val="19"/>
        </w:rPr>
        <w:t xml:space="preserve"> is constructive on equities — NIFTY target 26,500 (~10% upside after a 9% 1H drawdown), rotate from growth to value, large-caps and banks as foreign outflows reverse — and its macro table pins the </w:t>
      </w:r>
      <w:r>
        <w:rPr>
          <w:rFonts w:ascii="Public Sans" w:hAnsi="Public Sans"/>
          <w:b/>
          <w:i w:val="0"/>
          <w:color w:val="3D3E3E"/>
          <w:sz w:val="19"/>
        </w:rPr>
        <w:t>repo at 5.75% eop CY26</w:t>
      </w:r>
      <w:r>
        <w:rPr>
          <w:rFonts w:ascii="Public Sans" w:hAnsi="Public Sans"/>
          <w:b w:val="0"/>
          <w:i w:val="0"/>
          <w:color w:val="3D3E3E"/>
          <w:sz w:val="19"/>
        </w:rPr>
        <w:t xml:space="preserve"> (embedding +50bp of hikes from 5.25%) with 12m USDINR at 96. So the India book is genuinely two-sided: Citi receives + long-INR-FX, UBS pays, GS sees hikes and equity upside. </w:t>
      </w:r>
      <w:r>
        <w:rPr>
          <w:rFonts w:ascii="Public Sans" w:hAnsi="Public Sans"/>
          <w:b/>
          <w:i w:val="0"/>
          <w:color w:val="3D3E3E"/>
          <w:sz w:val="19"/>
        </w:rPr>
        <w:t>INR softened −0.20% DoD</w:t>
      </w:r>
      <w:r>
        <w:rPr>
          <w:rFonts w:ascii="Public Sans" w:hAnsi="Public Sans"/>
          <w:b w:val="0"/>
          <w:i w:val="0"/>
          <w:color w:val="3D3E3E"/>
          <w:sz w:val="19"/>
        </w:rPr>
        <w:t xml:space="preserve"> (toward the 96 area GS/Citi reference); MIBOR was marginally richer (2y −0.35bp, 10y −0.6bp), bucking the DM back-up.</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6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31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65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6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CPI ~4.2%, core moderate</w:t>
            </w:r>
          </w:p>
        </w:tc>
        <w:tc>
          <w:tcPr>
            <w:tcW w:type="dxa" w:w="9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UBS, StanC</w:t>
            </w:r>
          </w:p>
        </w:tc>
        <w:tc>
          <w:tcPr>
            <w:tcW w:type="dxa" w:w="23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 to ~4.2% on fuel/food; core ~3.8%</w:t>
            </w:r>
          </w:p>
        </w:tc>
        <w:tc>
          <w:tcPr>
            <w:tcW w:type="dxa" w:w="31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Personal-transport-fuel +7.5%; oil relief; precious metals</w:t>
            </w:r>
          </w:p>
        </w:tc>
        <w:tc>
          <w:tcPr>
            <w:tcW w:type="dxa" w:w="26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Food-2H skew (UBS) vs the benign realised print</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5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5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INR/rates</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INR basket + NDOIS steepener; FCNR inflows landing</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Constructive-FX + steepener on the BoP-improvement thesis</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FCNR inflows land; oil contained; no equity outflows</w:t>
            </w:r>
          </w:p>
        </w:tc>
        <w:tc>
          <w:tcPr>
            <w:tcW w:type="dxa" w:w="23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to $90-100 / equity outflows / El-Niño growth hit</w:t>
            </w:r>
          </w:p>
        </w:tc>
      </w:tr>
      <w:tr>
        <w:tc>
          <w:tcPr>
            <w:tcW w:type="dxa" w:w="2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w:t>
            </w:r>
          </w:p>
        </w:tc>
        <w:tc>
          <w:tcPr>
            <w:tcW w:type="dxa" w:w="5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4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INR-swap PAYERS as a weather/2027 hedge</w:t>
            </w:r>
          </w:p>
        </w:tc>
        <w:tc>
          <w:tcPr>
            <w:tcW w:type="dxa" w:w="24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Fades the benign realised print on food + re-acceleration risk</w:t>
            </w:r>
          </w:p>
        </w:tc>
        <w:tc>
          <w:tcPr>
            <w:tcW w:type="dxa" w:w="24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El Niño lifts food to 6.5-7.0% H2; CPI re-accelerates early-2027</w:t>
            </w:r>
          </w:p>
        </w:tc>
        <w:tc>
          <w:tcPr>
            <w:tcW w:type="dxa" w:w="23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June-quarter CPI keeps undershooting the RBI's 4.2%</w:t>
            </w:r>
          </w:p>
        </w:tc>
      </w:tr>
      <w:tr>
        <w:tc>
          <w:tcPr>
            <w:tcW w:type="dxa" w:w="2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5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Rates/equity</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Repo 5.75% eop (hikes embedded); NIFTY 26,500, value/banks</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Pairs a hawkish rate path with an equity-rebound call</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firm, oil moderate, flows return</w:t>
            </w:r>
          </w:p>
        </w:tc>
        <w:tc>
          <w:tcPr>
            <w:tcW w:type="dxa" w:w="23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hot CPI + oil re-spike, or flows fail to return</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#4, #5, #10</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IN econ.fact_indicator deep (~1,242 indicators; fresh-food nowcaster live). </w:t>
      </w:r>
      <w:r>
        <w:rPr>
          <w:rFonts w:ascii="Public Sans" w:hAnsi="Public Sans"/>
          <w:b/>
          <w:i w:val="0"/>
          <w:color w:val="3D3E3E"/>
          <w:sz w:val="19"/>
        </w:rPr>
        <w:t>Flags:</w:t>
      </w:r>
      <w:r>
        <w:rPr>
          <w:rFonts w:ascii="Public Sans" w:hAnsi="Public Sans"/>
          <w:b w:val="0"/>
          <w:i w:val="0"/>
          <w:color w:val="3D3E3E"/>
          <w:sz w:val="19"/>
        </w:rPr>
        <w:t xml:space="preserve"> </w:t>
      </w:r>
      <w:r>
        <w:rPr>
          <w:rFonts w:ascii="Public Sans" w:hAnsi="Public Sans"/>
          <w:b/>
          <w:i w:val="0"/>
          <w:color w:val="3D3E3E"/>
          <w:sz w:val="19"/>
        </w:rPr>
        <w:t>June CPI 07-13 pre-print (null in cb_events); carried at 4.2% per flow.</w:t>
      </w:r>
      <w:r>
        <w:rPr>
          <w:rFonts w:ascii="Public Sans" w:hAnsi="Public Sans"/>
          <w:b w:val="0"/>
          <w:i w:val="0"/>
          <w:color w:val="3D3E3E"/>
          <w:sz w:val="19"/>
        </w:rPr>
        <w:t xml:space="preserve"> WPI 14-Jul forward.</w:t>
      </w:r>
    </w:p>
    <w:p>
      <w:pPr>
        <w:spacing w:before="200" w:after="60"/>
        <w:keepNext/>
        <w:pBdr>
          <w:bottom w:val="single" w:sz="4" w:space="2" w:color="E0E9E4"/>
        </w:pBdr>
      </w:pPr>
      <w:r>
        <w:rPr>
          <w:rFonts w:ascii="Georgia" w:hAnsi="Georgia"/>
          <w:b/>
          <w:color w:val="4D806A"/>
          <w:sz w:val="23"/>
        </w:rPr>
        <w:t>Canada — GS is a dovish third view into the 15-Jul BoC</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3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31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3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BoC 15-Jul: hold, but which lean</w:t>
            </w:r>
          </w:p>
        </w:tc>
        <w:tc>
          <w:tcPr>
            <w:tcW w:type="dxa" w:w="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CAD</w:t>
            </w:r>
          </w:p>
        </w:tc>
        <w:tc>
          <w:tcPr>
            <w:tcW w:type="dxa" w:w="31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(dovish) vs UBS (dilemma) vs StanC (cut)</w:t>
            </w:r>
          </w:p>
        </w:tc>
        <w:tc>
          <w:tcPr>
            <w:tcW w:type="dxa" w:w="39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23/24 hold; the guidance + MPR the content</w:t>
            </w:r>
          </w:p>
        </w:tc>
      </w:tr>
      <w:tr>
        <w:tc>
          <w:tcPr>
            <w:tcW w:type="dxa" w:w="4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3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jobs firm</w:t>
            </w:r>
          </w:p>
        </w:tc>
        <w:tc>
          <w:tcPr>
            <w:tcW w:type="dxa" w:w="7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CAD</w:t>
            </w:r>
          </w:p>
        </w:tc>
        <w:tc>
          <w:tcPr>
            <w:tcW w:type="dxa" w:w="31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w:t>
            </w:r>
          </w:p>
        </w:tc>
        <w:tc>
          <w:tcPr>
            <w:tcW w:type="dxa" w:w="39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U-rate 6.5% (from 6.6%); 3m-avg emp +29.4k</w:t>
            </w:r>
          </w:p>
        </w:tc>
      </w:tr>
      <w:tr>
        <w:tc>
          <w:tcPr>
            <w:tcW w:type="dxa" w:w="4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3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down + activity improving</w:t>
            </w:r>
          </w:p>
        </w:tc>
        <w:tc>
          <w:tcPr>
            <w:tcW w:type="dxa" w:w="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31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w:t>
            </w:r>
          </w:p>
        </w:tc>
        <w:tc>
          <w:tcPr>
            <w:tcW w:type="dxa" w:w="39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Both up-inflation and down-growth risks diminishing</w:t>
            </w:r>
          </w:p>
        </w:tc>
      </w:tr>
      <w:tr>
        <w:tc>
          <w:tcPr>
            <w:tcW w:type="dxa" w:w="4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3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 prices 2027 hikes</w:t>
            </w:r>
          </w:p>
        </w:tc>
        <w:tc>
          <w:tcPr>
            <w:tcW w:type="dxa" w:w="7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31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w:t>
            </w:r>
          </w:p>
        </w:tc>
        <w:tc>
          <w:tcPr>
            <w:tcW w:type="dxa" w:w="39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+54bp priced to Jul-27 — StanC calls this "premature"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Into the 15-Jul BoC, GS (17674, "In a Good Place") is the fresh — and dovish — third view: it expects a firm </w:t>
      </w:r>
      <w:r>
        <w:rPr>
          <w:rFonts w:ascii="Public Sans" w:hAnsi="Public Sans"/>
          <w:b/>
          <w:i w:val="0"/>
          <w:color w:val="3D3E3E"/>
          <w:sz w:val="19"/>
        </w:rPr>
        <w:t>hold</w:t>
      </w:r>
      <w:r>
        <w:rPr>
          <w:rFonts w:ascii="Public Sans" w:hAnsi="Public Sans"/>
          <w:b w:val="0"/>
          <w:i w:val="0"/>
          <w:color w:val="3D3E3E"/>
          <w:sz w:val="19"/>
        </w:rPr>
        <w:t xml:space="preserve"> (23/24 forecasters, market −2bp), a </w:t>
      </w:r>
      <w:r>
        <w:rPr>
          <w:rFonts w:ascii="Public Sans" w:hAnsi="Public Sans"/>
          <w:b/>
          <w:i w:val="0"/>
          <w:color w:val="3D3E3E"/>
          <w:sz w:val="19"/>
        </w:rPr>
        <w:t>return to pre-war "about the right place" guidance</w:t>
      </w:r>
      <w:r>
        <w:rPr>
          <w:rFonts w:ascii="Public Sans" w:hAnsi="Public Sans"/>
          <w:b w:val="0"/>
          <w:i w:val="0"/>
          <w:color w:val="3D3E3E"/>
          <w:sz w:val="19"/>
        </w:rPr>
        <w:t xml:space="preserve"> plus continued emphasis on remaining "nimble," and modest MPR downgrades to growth and headline inflation on lower oil futures. GS reasons that both upside-inflation and downside-growth risks have diminished — oil fell on the US-Iran deal, and activity is improving (</w:t>
      </w:r>
      <w:r>
        <w:rPr>
          <w:rFonts w:ascii="Public Sans" w:hAnsi="Public Sans"/>
          <w:b/>
          <w:i w:val="0"/>
          <w:color w:val="3D3E3E"/>
          <w:sz w:val="19"/>
        </w:rPr>
        <w:t>June jobs: unemployment 6.5%, from 6.6% in May and a 6.9% peak; 3-month-average employment +29.4k</w:t>
      </w:r>
      <w:r>
        <w:rPr>
          <w:rFonts w:ascii="Public Sans" w:hAnsi="Public Sans"/>
          <w:b w:val="0"/>
          <w:i w:val="0"/>
          <w:color w:val="3D3E3E"/>
          <w:sz w:val="19"/>
        </w:rPr>
        <w:t xml:space="preserve">; the Q2 Business Outlook Survey flagged energy/AI-buildout tailwinds and a fading trade drag) — and it stays </w:t>
      </w:r>
      <w:r>
        <w:rPr>
          <w:rFonts w:ascii="Public Sans" w:hAnsi="Public Sans"/>
          <w:b/>
          <w:i w:val="0"/>
          <w:color w:val="3D3E3E"/>
          <w:sz w:val="19"/>
        </w:rPr>
        <w:t>on hold through 2026, normalising to mid-neutral next year, dovish vs market pricing</w:t>
      </w:r>
      <w:r>
        <w:rPr>
          <w:rFonts w:ascii="Public Sans" w:hAnsi="Public Sans"/>
          <w:b w:val="0"/>
          <w:i w:val="0"/>
          <w:color w:val="3D3E3E"/>
          <w:sz w:val="19"/>
        </w:rPr>
        <w:t xml:space="preserve"> on both baseline (flat) and risk-adjusted (+8bp) bases. That sits between UBS (hold, "policy dilemma" retained) and StanC (a cut by year-end, market's H2-hike pricing "premature"), against a market that (ANZ 17658) prices no change 15-Jul then </w:t>
      </w:r>
      <w:r>
        <w:rPr>
          <w:rFonts w:ascii="Public Sans" w:hAnsi="Public Sans"/>
          <w:b/>
          <w:i w:val="0"/>
          <w:color w:val="3D3E3E"/>
          <w:sz w:val="19"/>
        </w:rPr>
        <w:t>+54bp of hikes into Jul-27</w:t>
      </w:r>
      <w:r>
        <w:rPr>
          <w:rFonts w:ascii="Public Sans" w:hAnsi="Public Sans"/>
          <w:b w:val="0"/>
          <w:i w:val="0"/>
          <w:color w:val="3D3E3E"/>
          <w:sz w:val="19"/>
        </w:rPr>
        <w:t xml:space="preserve">. </w:t>
      </w:r>
      <w:r>
        <w:rPr>
          <w:rFonts w:ascii="Public Sans" w:hAnsi="Public Sans"/>
          <w:b/>
          <w:i w:val="0"/>
          <w:color w:val="3D3E3E"/>
          <w:sz w:val="19"/>
        </w:rPr>
        <w:t>CAD softened −0.15% DoD</w:t>
      </w:r>
      <w:r>
        <w:rPr>
          <w:rFonts w:ascii="Public Sans" w:hAnsi="Public Sans"/>
          <w:b w:val="0"/>
          <w:i w:val="0"/>
          <w:color w:val="3D3E3E"/>
          <w:sz w:val="19"/>
        </w:rPr>
        <w:t>; the front end was flat (CORRA 2y +0.1bp, no fresh 10y tick). Note the June jobs actual is flow-confirmed via GS — cb_events has not booked it.</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1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6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0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30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15-Jul; economy soft-but-improving</w:t>
            </w:r>
          </w:p>
        </w:tc>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UBS, StanC</w:t>
            </w:r>
          </w:p>
        </w:tc>
        <w:tc>
          <w:tcPr>
            <w:tcW w:type="dxa" w:w="26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change this week; oil relief + firmer activity</w:t>
            </w:r>
          </w:p>
        </w:tc>
        <w:tc>
          <w:tcPr>
            <w:tcW w:type="dxa" w:w="20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23/24 hold; U-rate 6.5%; core near 2%</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Direction after: GS/StanC dovish vs the market's 2027 hikes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4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Rates/CAD</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Hold-2026 then normalise (cut) next year — dovish vs the market's +54bp</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Fades the market's 2027-hike pricing with an excess-supply read</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Economy stays in excess supply; inflation benign</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growth re-acceleration or oil re-spike keeps the BoC on hold/hiking</w:t>
            </w:r>
          </w:p>
        </w:tc>
      </w:tr>
      <w:tr>
        <w:tc>
          <w:tcPr>
            <w:tcW w:type="dxa" w:w="2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StanC</w:t>
            </w:r>
          </w:p>
        </w:tc>
        <w:tc>
          <w:tcPr>
            <w:tcW w:type="dxa" w:w="4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Rates/CAD</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cut by year-end; H2-hike pricing "premature"</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Only house calling an outright 2026 cut</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Downside growth &gt; upside inflation; core keeps moderating</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 regains momentum / oil re-spike</w:t>
            </w:r>
          </w:p>
        </w:tc>
      </w:tr>
    </w:tbl>
    <w:p>
      <w:pPr>
        <w:spacing w:after="80" w:line="283" w:lineRule="auto"/>
      </w:pPr>
      <w:r>
        <w:rPr>
          <w:rFonts w:ascii="Public Sans" w:hAnsi="Public Sans"/>
          <w:b w:val="0"/>
          <w:i w:val="0"/>
          <w:color w:val="3D3E3E"/>
          <w:sz w:val="19"/>
        </w:rPr>
        <w:t xml:space="preserve">Trade rows: none direct. </w:t>
      </w:r>
      <w:r>
        <w:rPr>
          <w:rFonts w:ascii="Public Sans" w:hAnsi="Public Sans"/>
          <w:b/>
          <w:i w:val="0"/>
          <w:color w:val="3D3E3E"/>
          <w:sz w:val="19"/>
        </w:rPr>
        <w:t>DEPTH:</w:t>
      </w:r>
      <w:r>
        <w:rPr>
          <w:rFonts w:ascii="Public Sans" w:hAnsi="Public Sans"/>
          <w:b w:val="0"/>
          <w:i w:val="0"/>
          <w:color w:val="3D3E3E"/>
          <w:sz w:val="19"/>
        </w:rPr>
        <w:t xml:space="preserve"> CA econ.fact_indicator thin (most macro not loaded). </w:t>
      </w:r>
      <w:r>
        <w:rPr>
          <w:rFonts w:ascii="Public Sans" w:hAnsi="Public Sans"/>
          <w:b/>
          <w:i w:val="0"/>
          <w:color w:val="3D3E3E"/>
          <w:sz w:val="19"/>
        </w:rPr>
        <w:t>Flags:</w:t>
      </w:r>
      <w:r>
        <w:rPr>
          <w:rFonts w:ascii="Public Sans" w:hAnsi="Public Sans"/>
          <w:b w:val="0"/>
          <w:i w:val="0"/>
          <w:color w:val="3D3E3E"/>
          <w:sz w:val="19"/>
        </w:rPr>
        <w:t xml:space="preserve"> </w:t>
      </w:r>
      <w:r>
        <w:rPr>
          <w:rFonts w:ascii="Public Sans" w:hAnsi="Public Sans"/>
          <w:b/>
          <w:i w:val="0"/>
          <w:color w:val="3D3E3E"/>
          <w:sz w:val="19"/>
        </w:rPr>
        <w:t>June jobs 07-10 pre-print (null); U-rate 6.5% per flow (GS).</w:t>
      </w:r>
      <w:r>
        <w:rPr>
          <w:rFonts w:ascii="Public Sans" w:hAnsi="Public Sans"/>
          <w:b w:val="0"/>
          <w:i w:val="0"/>
          <w:color w:val="3D3E3E"/>
          <w:sz w:val="19"/>
        </w:rPr>
        <w:t xml:space="preserve"> BoC + MPR 15-Jul forward.</w:t>
      </w:r>
    </w:p>
    <w:p>
      <w:pPr>
        <w:spacing w:before="200" w:after="60"/>
        <w:keepNext/>
        <w:pBdr>
          <w:bottom w:val="single" w:sz="4" w:space="2" w:color="E0E9E4"/>
        </w:pBdr>
      </w:pPr>
      <w:r>
        <w:rPr>
          <w:rFonts w:ascii="Georgia" w:hAnsi="Georgia"/>
          <w:b/>
          <w:color w:val="4D806A"/>
          <w:sz w:val="23"/>
        </w:rPr>
        <w:t>Singapore — advance GDP + MAS (14-Jul); ANZ out-of-consensus tighten; curve backed up</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6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9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4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6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9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14-Jul + advance GDP</w:t>
            </w:r>
          </w:p>
        </w:tc>
        <w:tc>
          <w:tcPr>
            <w:tcW w:type="dxa" w:w="10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 rates</w:t>
            </w:r>
          </w:p>
        </w:tc>
        <w:tc>
          <w:tcPr>
            <w:tcW w:type="dxa" w:w="1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GS, StanC</w:t>
            </w:r>
          </w:p>
        </w:tc>
        <w:tc>
          <w:tcPr>
            <w:tcW w:type="dxa" w:w="46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+50bp slope vs GS/consensus hold-with-tilt</w:t>
            </w:r>
          </w:p>
        </w:tc>
      </w:tr>
      <w:tr>
        <w:tc>
          <w:tcPr>
            <w:tcW w:type="dxa" w:w="6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9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Advance Q2 GDP today (14-Jul)</w:t>
            </w:r>
          </w:p>
        </w:tc>
        <w:tc>
          <w:tcPr>
            <w:tcW w:type="dxa" w:w="10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SGD</w:t>
            </w:r>
          </w:p>
        </w:tc>
        <w:tc>
          <w:tcPr>
            <w:tcW w:type="dxa" w:w="1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w:t>
            </w:r>
          </w:p>
        </w:tc>
        <w:tc>
          <w:tcPr>
            <w:tcW w:type="dxa" w:w="46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 5.9 vs cons 5.7, prior 6.0</w:t>
            </w:r>
          </w:p>
        </w:tc>
      </w:tr>
      <w:tr>
        <w:tc>
          <w:tcPr>
            <w:tcW w:type="dxa" w:w="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9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SORA backed up into the print</w:t>
            </w:r>
          </w:p>
        </w:tc>
        <w:tc>
          <w:tcPr>
            <w:tcW w:type="dxa" w:w="10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6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SORA 2y +3.0bp / 10y +3.75bp DoD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MAS releases its July MPS by 14-Jul alongside advance Q2 GDP. </w:t>
      </w:r>
      <w:r>
        <w:rPr>
          <w:rFonts w:ascii="Public Sans" w:hAnsi="Public Sans"/>
          <w:b/>
          <w:i w:val="0"/>
          <w:color w:val="3D3E3E"/>
          <w:sz w:val="19"/>
        </w:rPr>
        <w:t>StanC (17685)</w:t>
      </w:r>
      <w:r>
        <w:rPr>
          <w:rFonts w:ascii="Public Sans" w:hAnsi="Public Sans"/>
          <w:b w:val="0"/>
          <w:i w:val="0"/>
          <w:color w:val="3D3E3E"/>
          <w:sz w:val="19"/>
        </w:rPr>
        <w:t xml:space="preserve"> pegs advance GDP at </w:t>
      </w:r>
      <w:r>
        <w:rPr>
          <w:rFonts w:ascii="Public Sans" w:hAnsi="Public Sans"/>
          <w:b/>
          <w:i w:val="0"/>
          <w:color w:val="3D3E3E"/>
          <w:sz w:val="19"/>
        </w:rPr>
        <w:t>5.9% y/y</w:t>
      </w:r>
      <w:r>
        <w:rPr>
          <w:rFonts w:ascii="Public Sans" w:hAnsi="Public Sans"/>
          <w:b w:val="0"/>
          <w:i w:val="0"/>
          <w:color w:val="3D3E3E"/>
          <w:sz w:val="19"/>
        </w:rPr>
        <w:t xml:space="preserve"> (vs consensus 5.7%, prior 6.0%). The policy call carries over from last week and remains split: </w:t>
      </w:r>
      <w:r>
        <w:rPr>
          <w:rFonts w:ascii="Public Sans" w:hAnsi="Public Sans"/>
          <w:b/>
          <w:i w:val="0"/>
          <w:color w:val="3D3E3E"/>
          <w:sz w:val="19"/>
        </w:rPr>
        <w:t>ANZ (16838)</w:t>
      </w:r>
      <w:r>
        <w:rPr>
          <w:rFonts w:ascii="Public Sans" w:hAnsi="Public Sans"/>
          <w:b w:val="0"/>
          <w:i w:val="0"/>
          <w:color w:val="3D3E3E"/>
          <w:sz w:val="19"/>
        </w:rPr>
        <w:t xml:space="preserve"> makes the out-of-consensus call for a </w:t>
      </w:r>
      <w:r>
        <w:rPr>
          <w:rFonts w:ascii="Public Sans" w:hAnsi="Public Sans"/>
          <w:b/>
          <w:i w:val="0"/>
          <w:color w:val="3D3E3E"/>
          <w:sz w:val="19"/>
        </w:rPr>
        <w:t>+50bp slope steepening to 1.5%</w:t>
      </w:r>
      <w:r>
        <w:rPr>
          <w:rFonts w:ascii="Public Sans" w:hAnsi="Public Sans"/>
          <w:b w:val="0"/>
          <w:i w:val="0"/>
          <w:color w:val="3D3E3E"/>
          <w:sz w:val="19"/>
        </w:rPr>
        <w:t xml:space="preserve"> (only ~38% of the June MAS survey saw a slope move), arguing the soft Apr/May core reflected temporary discounting that reverses while a 17% electricity-tariff hike from Q3 (+0.47pp to July core) and above-trend growth for a third year argue for policy closer to neutral; </w:t>
      </w:r>
      <w:r>
        <w:rPr>
          <w:rFonts w:ascii="Public Sans" w:hAnsi="Public Sans"/>
          <w:b/>
          <w:i w:val="0"/>
          <w:color w:val="3D3E3E"/>
          <w:sz w:val="19"/>
        </w:rPr>
        <w:t>GS (16862)</w:t>
      </w:r>
      <w:r>
        <w:rPr>
          <w:rFonts w:ascii="Public Sans" w:hAnsi="Public Sans"/>
          <w:b w:val="0"/>
          <w:i w:val="0"/>
          <w:color w:val="3D3E3E"/>
          <w:sz w:val="19"/>
        </w:rPr>
        <w:t xml:space="preserve"> counters that MAS holds with a mild hawkish tilt (the tariff adds mechanically but the second-round spillover is uncertain). </w:t>
      </w:r>
      <w:r>
        <w:rPr>
          <w:rFonts w:ascii="Public Sans" w:hAnsi="Public Sans"/>
          <w:b/>
          <w:i w:val="0"/>
          <w:color w:val="3D3E3E"/>
          <w:sz w:val="19"/>
        </w:rPr>
        <w:t>UBS's "Asia three things" (17686)</w:t>
      </w:r>
      <w:r>
        <w:rPr>
          <w:rFonts w:ascii="Public Sans" w:hAnsi="Public Sans"/>
          <w:b w:val="0"/>
          <w:i w:val="0"/>
          <w:color w:val="3D3E3E"/>
          <w:sz w:val="19"/>
        </w:rPr>
        <w:t xml:space="preserve"> is dominated by BoK/China/India this week and does not press a fresh SG-specific call. </w:t>
      </w:r>
      <w:r>
        <w:rPr>
          <w:rFonts w:ascii="Public Sans" w:hAnsi="Public Sans"/>
          <w:b/>
          <w:i w:val="0"/>
          <w:color w:val="3D3E3E"/>
          <w:sz w:val="19"/>
        </w:rPr>
        <w:t>SGD softened −0.19% DoD</w:t>
      </w:r>
      <w:r>
        <w:rPr>
          <w:rFonts w:ascii="Public Sans" w:hAnsi="Public Sans"/>
          <w:b w:val="0"/>
          <w:i w:val="0"/>
          <w:color w:val="3D3E3E"/>
          <w:sz w:val="19"/>
        </w:rPr>
        <w:t xml:space="preserve"> and </w:t>
      </w:r>
      <w:r>
        <w:rPr>
          <w:rFonts w:ascii="Public Sans" w:hAnsi="Public Sans"/>
          <w:b/>
          <w:i w:val="0"/>
          <w:color w:val="3D3E3E"/>
          <w:sz w:val="19"/>
        </w:rPr>
        <w:t>SORA backed up +3.0bp (2y) / +3.75bp (10y)</w:t>
      </w:r>
      <w:r>
        <w:rPr>
          <w:rFonts w:ascii="Public Sans" w:hAnsi="Public Sans"/>
          <w:b w:val="0"/>
          <w:i w:val="0"/>
          <w:color w:val="3D3E3E"/>
          <w:sz w:val="19"/>
        </w:rPr>
        <w:t xml:space="preserve"> into the print — a curve move that leans against ANZ's out-of-consensus tightening, though the advance GDP + tariff read decide.</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Inflation risk two-sided into MAS (ANZ, GS, StanC): electricity + energy pass-through lifts core in H2 (17% tariff, 0.47pp mechanical); the disagreement is whether MAS acts (ANZ) or looks through (GS).</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2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19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8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89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3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3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w:t>
            </w:r>
          </w:p>
        </w:tc>
        <w:tc>
          <w:tcPr>
            <w:tcW w:type="dxa" w:w="22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+50bp slope to 1.5% (out-of-consensus)</w:t>
            </w:r>
          </w:p>
        </w:tc>
        <w:tc>
          <w:tcPr>
            <w:tcW w:type="dxa" w:w="19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Only ~38% of survey saw any move</w:t>
            </w:r>
          </w:p>
        </w:tc>
        <w:tc>
          <w:tcPr>
            <w:tcW w:type="dxa" w:w="28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Apr/May core was discount-driven, reverses</w:t>
            </w:r>
          </w:p>
        </w:tc>
        <w:tc>
          <w:tcPr>
            <w:tcW w:type="dxa" w:w="28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Advance GDP undershoots + core stays soft → hold</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#9</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SG econ.fact_indicator moderate. </w:t>
      </w:r>
      <w:r>
        <w:rPr>
          <w:rFonts w:ascii="Public Sans" w:hAnsi="Public Sans"/>
          <w:b/>
          <w:i w:val="0"/>
          <w:color w:val="3D3E3E"/>
          <w:sz w:val="19"/>
        </w:rPr>
        <w:t>Flags:</w:t>
      </w:r>
      <w:r>
        <w:rPr>
          <w:rFonts w:ascii="Public Sans" w:hAnsi="Public Sans"/>
          <w:b w:val="0"/>
          <w:i w:val="0"/>
          <w:color w:val="3D3E3E"/>
          <w:sz w:val="19"/>
        </w:rPr>
        <w:t xml:space="preserve"> advance GDP + MAS 14-Jul forward.</w:t>
      </w:r>
    </w:p>
    <w:p>
      <w:pPr>
        <w:spacing w:before="200" w:after="60"/>
        <w:keepNext/>
        <w:pBdr>
          <w:bottom w:val="single" w:sz="4" w:space="2" w:color="E0E9E4"/>
        </w:pBdr>
      </w:pPr>
      <w:r>
        <w:rPr>
          <w:rFonts w:ascii="Georgia" w:hAnsi="Georgia"/>
          <w:b/>
          <w:color w:val="4D806A"/>
          <w:sz w:val="23"/>
        </w:rPr>
        <w:t>Hong Kong — HKD firm on the peg, but HIBOR backed up hard on the hawkish-Fed repricing</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3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80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3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USD-HKD higher, HIBOR backs up</w:t>
            </w:r>
          </w:p>
        </w:tc>
        <w:tc>
          <w:tcPr>
            <w:tcW w:type="dxa" w:w="8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HKD, rates</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w:t>
            </w:r>
          </w:p>
        </w:tc>
        <w:tc>
          <w:tcPr>
            <w:tcW w:type="dxa" w:w="48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Weak equity sentiment + hawkish Fed repricing; HIBOR 2y +6.1bp</w:t>
            </w:r>
          </w:p>
        </w:tc>
      </w:tr>
      <w:tr>
        <w:tc>
          <w:tcPr>
            <w:tcW w:type="dxa" w:w="5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3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7.85 test a risk, not base case</w:t>
            </w:r>
          </w:p>
        </w:tc>
        <w:tc>
          <w:tcPr>
            <w:tcW w:type="dxa" w:w="8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HKD</w:t>
            </w:r>
          </w:p>
        </w:tc>
        <w:tc>
          <w:tcPr>
            <w:tcW w:type="dxa" w:w="11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w:t>
            </w:r>
          </w:p>
        </w:tc>
        <w:tc>
          <w:tcPr>
            <w:tcW w:type="dxa" w:w="48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Dividend season + cross-border scrutiny the offsets</w:t>
            </w:r>
          </w:p>
        </w:tc>
      </w:tr>
      <w:tr>
        <w:tc>
          <w:tcPr>
            <w:tcW w:type="dxa" w:w="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3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Cross-border flow scrutiny (Order 837)</w:t>
            </w:r>
          </w:p>
        </w:tc>
        <w:tc>
          <w:tcPr>
            <w:tcW w:type="dxa" w:w="8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HKD</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w:t>
            </w:r>
          </w:p>
        </w:tc>
        <w:tc>
          <w:tcPr>
            <w:tcW w:type="dxa" w:w="48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State Council outbound-investment regulation effective 1-Jul</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Hong Kong's HKD held firm on the peg (+0.03% DoD) but its rates curve backed up the second-most in the universe — </w:t>
      </w:r>
      <w:r>
        <w:rPr>
          <w:rFonts w:ascii="Public Sans" w:hAnsi="Public Sans"/>
          <w:b/>
          <w:i w:val="0"/>
          <w:color w:val="3D3E3E"/>
          <w:sz w:val="19"/>
        </w:rPr>
        <w:t>HIBOR 2y +6.1bp / 10y +4.1bp</w:t>
      </w:r>
      <w:r>
        <w:rPr>
          <w:rFonts w:ascii="Public Sans" w:hAnsi="Public Sans"/>
          <w:b w:val="0"/>
          <w:i w:val="0"/>
          <w:color w:val="3D3E3E"/>
          <w:sz w:val="19"/>
        </w:rPr>
        <w:t xml:space="preserve"> — as HSBC (17679, "Walking a fine line") documents: weaker equity-market sentiment and hawkish Fed repricing have pushed USD-HKD higher within the upper half of the band. HSBC sees dividend season (June-September) tightening HKD funding and offering some downward pressure on USD-HKD, but two complications keep it elevated: (1) Beijing's enhanced scrutiny over cross-border flows — State Council </w:t>
      </w:r>
      <w:r>
        <w:rPr>
          <w:rFonts w:ascii="Public Sans" w:hAnsi="Public Sans"/>
          <w:b/>
          <w:i w:val="0"/>
          <w:color w:val="3D3E3E"/>
          <w:sz w:val="19"/>
        </w:rPr>
        <w:t>Order No. 837 (Regulation on Outbound Investment) took effect 1 July 2026</w:t>
      </w:r>
      <w:r>
        <w:rPr>
          <w:rFonts w:ascii="Public Sans" w:hAnsi="Public Sans"/>
          <w:b w:val="0"/>
          <w:i w:val="0"/>
          <w:color w:val="3D3E3E"/>
          <w:sz w:val="19"/>
        </w:rPr>
        <w:t xml:space="preserve">, unifying oversight of resident portfolio investment; and (2) the hawkish Fed repricing keeping US-HK rate differentials wide (long USD-HKD carry). HSBC acknowledges the risk of a 7.85 test but it is </w:t>
      </w:r>
      <w:r>
        <w:rPr>
          <w:rFonts w:ascii="Public Sans" w:hAnsi="Public Sans"/>
          <w:b/>
          <w:i w:val="0"/>
          <w:color w:val="3D3E3E"/>
          <w:sz w:val="19"/>
        </w:rPr>
        <w:t>not the base case</w:t>
      </w:r>
      <w:r>
        <w:rPr>
          <w:rFonts w:ascii="Public Sans" w:hAnsi="Public Sans"/>
          <w:b w:val="0"/>
          <w:i w:val="0"/>
          <w:color w:val="3D3E3E"/>
          <w:sz w:val="19"/>
        </w:rPr>
        <w:t xml:space="preserve"> — mainland authorities are widening regulated channels (QDII, Southbound Bond Connect), HSBC economists don't expect a Fed hike, the IPO calendar is busy, and the economy is resilient; HKMA FX reserves cover 200% of the monetary base. The HSTECH rip (offshore Internet, GS "Rotation Temptation" 17671) is a separate equity-rotation story.</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Single-house dominant (HSBC) in-window on HKD mechanics; corroborated by the hawkish-Fed OIS repricing (ANZ 17658) that HSBC cites as the driver, and by GS's China/HK equity-rotation read (17671).</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w:t>
            </w:r>
          </w:p>
        </w:tc>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HKD</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USD-HKD elevated but 7.85 not the base case; dividend season + regulated-channel widening cap it</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Balances the carry/hawkish-Fed pull against the seasonal/regulatory offsets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 doesn't hike; dividend-season funding tightens; IPOs busy</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Fed hike or a sharp equity-outflow episode pushes USD-HKD to 7.85</w:t>
            </w:r>
          </w:p>
        </w:tc>
      </w:tr>
    </w:tbl>
    <w:p>
      <w:pPr>
        <w:spacing w:after="80" w:line="283" w:lineRule="auto"/>
      </w:pPr>
      <w:r>
        <w:rPr>
          <w:rFonts w:ascii="Public Sans" w:hAnsi="Public Sans"/>
          <w:b w:val="0"/>
          <w:i w:val="0"/>
          <w:color w:val="3D3E3E"/>
          <w:sz w:val="19"/>
        </w:rPr>
        <w:t xml:space="preserve">Trade rows: none direct (HKD via the peg/Fed). </w:t>
      </w:r>
      <w:r>
        <w:rPr>
          <w:rFonts w:ascii="Public Sans" w:hAnsi="Public Sans"/>
          <w:b/>
          <w:i w:val="0"/>
          <w:color w:val="3D3E3E"/>
          <w:sz w:val="19"/>
        </w:rPr>
        <w:t>DEPTH:</w:t>
      </w:r>
      <w:r>
        <w:rPr>
          <w:rFonts w:ascii="Public Sans" w:hAnsi="Public Sans"/>
          <w:b w:val="0"/>
          <w:i w:val="0"/>
          <w:color w:val="3D3E3E"/>
          <w:sz w:val="19"/>
        </w:rPr>
        <w:t xml:space="preserve"> HK econ.fact_indicator moderate. </w:t>
      </w:r>
      <w:r>
        <w:rPr>
          <w:rFonts w:ascii="Public Sans" w:hAnsi="Public Sans"/>
          <w:b/>
          <w:i w:val="0"/>
          <w:color w:val="3D3E3E"/>
          <w:sz w:val="19"/>
        </w:rPr>
        <w:t>Flags:</w:t>
      </w:r>
      <w:r>
        <w:rPr>
          <w:rFonts w:ascii="Public Sans" w:hAnsi="Public Sans"/>
          <w:b w:val="0"/>
          <w:i w:val="0"/>
          <w:color w:val="3D3E3E"/>
          <w:sz w:val="19"/>
        </w:rPr>
        <w:t xml:space="preserve"> none new.</w:t>
      </w:r>
    </w:p>
    <w:p>
      <w:pPr>
        <w:spacing w:before="200" w:after="60"/>
        <w:keepNext/>
        <w:pBdr>
          <w:bottom w:val="single" w:sz="4" w:space="2" w:color="E0E9E4"/>
        </w:pBdr>
      </w:pPr>
      <w:r>
        <w:rPr>
          <w:rFonts w:ascii="Georgia" w:hAnsi="Georgia"/>
          <w:b/>
          <w:color w:val="4D806A"/>
          <w:sz w:val="23"/>
        </w:rPr>
        <w:t>Indonesia — biggest EM FX decliner; long-end held, front richened (instrument PENDING DEEPAK)</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6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3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38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3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6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3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the biggest EM decliner DoD</w:t>
            </w:r>
          </w:p>
        </w:tc>
        <w:tc>
          <w:tcPr>
            <w:tcW w:type="dxa" w:w="9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w:t>
            </w:r>
          </w:p>
        </w:tc>
        <w:tc>
          <w:tcPr>
            <w:tcW w:type="dxa" w:w="13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3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−0.28%; front-end JIBOR richer (−2bp)</w:t>
            </w:r>
          </w:p>
        </w:tc>
      </w:tr>
      <w:tr>
        <w:tc>
          <w:tcPr>
            <w:tcW w:type="dxa" w:w="6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3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 pro-stability</w:t>
            </w:r>
          </w:p>
        </w:tc>
        <w:tc>
          <w:tcPr>
            <w:tcW w:type="dxa" w:w="9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 rates</w:t>
            </w:r>
          </w:p>
        </w:tc>
        <w:tc>
          <w:tcPr>
            <w:tcW w:type="dxa" w:w="138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w:t>
            </w:r>
          </w:p>
        </w:tc>
        <w:tc>
          <w:tcPr>
            <w:tcW w:type="dxa" w:w="43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Anchors IDR vs USD; BI 22-Jul post-window</w:t>
            </w:r>
          </w:p>
        </w:tc>
      </w:tr>
      <w:tr>
        <w:tc>
          <w:tcPr>
            <w:tcW w:type="dxa" w:w="6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3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ASEAN growth outlook</w:t>
            </w:r>
          </w:p>
        </w:tc>
        <w:tc>
          <w:tcPr>
            <w:tcW w:type="dxa" w:w="9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3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43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ASEAN 2026-27 deck (chart-only)</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IDR was the </w:t>
      </w:r>
      <w:r>
        <w:rPr>
          <w:rFonts w:ascii="Public Sans" w:hAnsi="Public Sans"/>
          <w:b/>
          <w:i w:val="0"/>
          <w:color w:val="3D3E3E"/>
          <w:sz w:val="19"/>
        </w:rPr>
        <w:t>biggest EM decliner in the universe (−0.28% DoD)</w:t>
      </w:r>
      <w:r>
        <w:rPr>
          <w:rFonts w:ascii="Public Sans" w:hAnsi="Public Sans"/>
          <w:b w:val="0"/>
          <w:i w:val="0"/>
          <w:color w:val="3D3E3E"/>
          <w:sz w:val="19"/>
        </w:rPr>
        <w:t xml:space="preserve"> on the broad-USD move, though the JIBOR curve told a different story — the </w:t>
      </w:r>
      <w:r>
        <w:rPr>
          <w:rFonts w:ascii="Public Sans" w:hAnsi="Public Sans"/>
          <w:b/>
          <w:i w:val="0"/>
          <w:color w:val="3D3E3E"/>
          <w:sz w:val="19"/>
        </w:rPr>
        <w:t>front end richened (2y −2.0bp)</w:t>
      </w:r>
      <w:r>
        <w:rPr>
          <w:rFonts w:ascii="Public Sans" w:hAnsi="Public Sans"/>
          <w:b w:val="0"/>
          <w:i w:val="0"/>
          <w:color w:val="3D3E3E"/>
          <w:sz w:val="19"/>
        </w:rPr>
        <w:t xml:space="preserve"> while the long end held (10y flat) — the reverse-bull-steepener shape that carries over from last week's equity→bond long-end bid. The dedicated fresh read is UBS's "ASEAN Economic Outlook 2026-27" (17716), an ID-tagged chart deck (image-only, noted-not-deep-read). The policy frame carries from last week's Citi (16845): BI has moved to a </w:t>
      </w:r>
      <w:r>
        <w:rPr>
          <w:rFonts w:ascii="Public Sans" w:hAnsi="Public Sans"/>
          <w:b/>
          <w:i w:val="0"/>
          <w:color w:val="3D3E3E"/>
          <w:sz w:val="19"/>
        </w:rPr>
        <w:t>pro-stability stance anchoring the rupiah vs the USD</w:t>
      </w:r>
      <w:r>
        <w:rPr>
          <w:rFonts w:ascii="Public Sans" w:hAnsi="Public Sans"/>
          <w:b w:val="0"/>
          <w:i w:val="0"/>
          <w:color w:val="3D3E3E"/>
          <w:sz w:val="19"/>
        </w:rPr>
        <w:t xml:space="preserve"> (SRBI + selective hikes rather than automatic one-for-one Fed moves), the 2026 deficit held under 3% mostly via expenditure cuts, the 2027 draft deficit 1.8-2.4%, and the long-end IndoGB bid supported by lighter H2 issuance and the equity→bond rotation — the augmented-deficit risk (Danantara) the tail. BI decides 22-Jul (post-window).</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Single-house dominant (Citi, carried) on the domestic call; UBS's ASEAN deck corroborates the growth backdrop without a fresh rates trade.</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9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16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9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3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4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Rates/FX</w:t>
            </w:r>
          </w:p>
        </w:tc>
        <w:tc>
          <w:tcPr>
            <w:tcW w:type="dxa" w:w="2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Long-end IndoGB bid continues most of 2026; BI anchors IDR vs USD</w:t>
            </w:r>
          </w:p>
        </w:tc>
        <w:tc>
          <w:tcPr>
            <w:tcW w:type="dxa" w:w="16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On-the-ground policymaker read</w:t>
            </w:r>
          </w:p>
        </w:tc>
        <w:tc>
          <w:tcPr>
            <w:tcW w:type="dxa" w:w="23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H2 issuance comes off; BI keeps IDR anchored</w:t>
            </w:r>
          </w:p>
        </w:tc>
        <w:tc>
          <w:tcPr>
            <w:tcW w:type="dxa" w:w="2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Augmented-deficit blowout or IDR pressure (−0.28% DoD) forces BI to defend</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#5 (instrument PENDING DEEPAK — FX leg as-is, rates instrument not wired).</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ID econ.fact_indicator deep. </w:t>
      </w:r>
      <w:r>
        <w:rPr>
          <w:rFonts w:ascii="Public Sans" w:hAnsi="Public Sans"/>
          <w:b/>
          <w:i w:val="0"/>
          <w:color w:val="3D3E3E"/>
          <w:sz w:val="19"/>
        </w:rPr>
        <w:t>Flags:</w:t>
      </w:r>
      <w:r>
        <w:rPr>
          <w:rFonts w:ascii="Public Sans" w:hAnsi="Public Sans"/>
          <w:b w:val="0"/>
          <w:i w:val="0"/>
          <w:color w:val="3D3E3E"/>
          <w:sz w:val="19"/>
        </w:rPr>
        <w:t xml:space="preserve"> BI 22-Jul post-window; </w:t>
      </w:r>
      <w:r>
        <w:rPr>
          <w:rFonts w:ascii="Public Sans" w:hAnsi="Public Sans"/>
          <w:b/>
          <w:i w:val="0"/>
          <w:color w:val="3D3E3E"/>
          <w:sz w:val="19"/>
        </w:rPr>
        <w:t>Indonesia instrument pending confirmation with Deepak.</w:t>
      </w:r>
    </w:p>
    <w:p>
      <w:pPr>
        <w:spacing w:before="200" w:after="60"/>
        <w:keepNext/>
        <w:pBdr>
          <w:bottom w:val="single" w:sz="4" w:space="2" w:color="E0E9E4"/>
        </w:pBdr>
      </w:pPr>
      <w:r>
        <w:rPr>
          <w:rFonts w:ascii="Georgia" w:hAnsi="Georgia"/>
          <w:b/>
          <w:color w:val="4D806A"/>
          <w:sz w:val="23"/>
        </w:rPr>
        <w:t>Philippines — front end backed up on the Aug-hike lean; Citi holds a long-USD/PHP option</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5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4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1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Front end backs up on Aug-hike lean</w:t>
            </w:r>
          </w:p>
        </w:tc>
        <w:tc>
          <w:tcPr>
            <w:tcW w:type="dxa" w:w="9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PHP</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 StanC</w:t>
            </w:r>
          </w:p>
        </w:tc>
        <w:tc>
          <w:tcPr>
            <w:tcW w:type="dxa" w:w="41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PHIREF 2y +4.85bp DoD</w:t>
            </w:r>
          </w:p>
        </w:tc>
      </w:tr>
      <w:tr>
        <w:tc>
          <w:tcPr>
            <w:tcW w:type="dxa" w:w="5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One more BSP hike to 5.00% (Aug)</w:t>
            </w:r>
          </w:p>
        </w:tc>
        <w:tc>
          <w:tcPr>
            <w:tcW w:type="dxa" w:w="9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w:t>
            </w:r>
          </w:p>
        </w:tc>
        <w:tc>
          <w:tcPr>
            <w:tcW w:type="dxa" w:w="41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Terminal 5.00%; prefer 2Y-3Y RPGB carry</w:t>
            </w:r>
          </w:p>
        </w:tc>
      </w:tr>
      <w:tr>
        <w:tc>
          <w:tcPr>
            <w:tcW w:type="dxa" w:w="5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long USD/PHP call ratio</w:t>
            </w:r>
          </w:p>
        </w:tc>
        <w:tc>
          <w:tcPr>
            <w:tcW w:type="dxa" w:w="9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PHP</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w:t>
            </w:r>
          </w:p>
        </w:tc>
        <w:tc>
          <w:tcPr>
            <w:tcW w:type="dxa" w:w="41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2m 1x1.5 (strike 62/63), ME/oil-risk hedge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peso was resilient (PHP −0.07%, one of the smallest declines) but the </w:t>
      </w:r>
      <w:r>
        <w:rPr>
          <w:rFonts w:ascii="Public Sans" w:hAnsi="Public Sans"/>
          <w:b/>
          <w:i w:val="0"/>
          <w:color w:val="3D3E3E"/>
          <w:sz w:val="19"/>
        </w:rPr>
        <w:t>PHIREF front end backed up +4.85bp (2y)</w:t>
      </w:r>
      <w:r>
        <w:rPr>
          <w:rFonts w:ascii="Public Sans" w:hAnsi="Public Sans"/>
          <w:b w:val="0"/>
          <w:i w:val="0"/>
          <w:color w:val="3D3E3E"/>
          <w:sz w:val="19"/>
        </w:rPr>
        <w:t xml:space="preserve"> while the long end was flat — exactly the "front anchored on the Aug hike, long-end steady" shape StanC's 2Y-3Y RPGB carry call keys off. The domestic frame carries from last week's StanC (16822): the Philippines is "between a rock and a hard place" — soft growth with elevated, broadening inflation (CPI 6.8% May, &gt;50% of the basket rising &gt;3%) — and StanC expects </w:t>
      </w:r>
      <w:r>
        <w:rPr>
          <w:rFonts w:ascii="Public Sans" w:hAnsi="Public Sans"/>
          <w:b/>
          <w:i w:val="0"/>
          <w:color w:val="3D3E3E"/>
          <w:sz w:val="19"/>
        </w:rPr>
        <w:t>one more 25bp BSP hike to 5.00% in August</w:t>
      </w:r>
      <w:r>
        <w:rPr>
          <w:rFonts w:ascii="Public Sans" w:hAnsi="Public Sans"/>
          <w:b w:val="0"/>
          <w:i w:val="0"/>
          <w:color w:val="3D3E3E"/>
          <w:sz w:val="19"/>
        </w:rPr>
        <w:t xml:space="preserve">, then two cuts in Q2/Q3-2027; it prefers 2Y-3Y RPGBs (~125-150bp carry over ONRRP) as supply pressure eases on lower oil. Fresh this window, </w:t>
      </w:r>
      <w:r>
        <w:rPr>
          <w:rFonts w:ascii="Public Sans" w:hAnsi="Public Sans"/>
          <w:b/>
          <w:i w:val="0"/>
          <w:color w:val="3D3E3E"/>
          <w:sz w:val="19"/>
        </w:rPr>
        <w:t>Citi (17693) holds a long-USD/PHP 2m 1x1.5 call ratio (long 1x strike 62.0 vs sell 1.5x strike 63.0, cost +20.5bp, fwd ref 61.88)</w:t>
      </w:r>
      <w:r>
        <w:rPr>
          <w:rFonts w:ascii="Public Sans" w:hAnsi="Public Sans"/>
          <w:b w:val="0"/>
          <w:i w:val="0"/>
          <w:color w:val="3D3E3E"/>
          <w:sz w:val="19"/>
        </w:rPr>
        <w:t xml:space="preserve"> as an ME/oil-risk expression, with de-escalation / sharp oil drop / CB intervention the stated risks. Sara Duterte's impeachment trial (began 6-Jul) remains the political overhang.</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Single-house dominant (StanC) on the domestic call, corroborated by the front-end back-up (PHIREF +4.85bp) and Citi's USD/PHP option (long-dollar EM-Asia tilt).</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StanC</w:t>
            </w:r>
          </w:p>
        </w:tc>
        <w:tc>
          <w:tcPr>
            <w:tcW w:type="dxa" w:w="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2Y-3Y RPGB carry into a final Aug hike then a hold</w:t>
            </w:r>
          </w:p>
        </w:tc>
        <w:tc>
          <w:tcPr>
            <w:tcW w:type="dxa" w:w="25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Ties the terminal-hike view to a specific belly-carry trade</w:t>
            </w:r>
          </w:p>
        </w:tc>
        <w:tc>
          <w:tcPr>
            <w:tcW w:type="dxa" w:w="23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BSP hikes once more then holds; RPGB supply eases</w:t>
            </w:r>
          </w:p>
        </w:tc>
        <w:tc>
          <w:tcPr>
            <w:tcW w:type="dxa" w:w="25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re-spike lifts RPGB supply/yields; delayed fiscal consolidation</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#8</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PH econ.fact_indicator moderate. </w:t>
      </w:r>
      <w:r>
        <w:rPr>
          <w:rFonts w:ascii="Public Sans" w:hAnsi="Public Sans"/>
          <w:b/>
          <w:i w:val="0"/>
          <w:color w:val="3D3E3E"/>
          <w:sz w:val="19"/>
        </w:rPr>
        <w:t>Flags:</w:t>
      </w:r>
      <w:r>
        <w:rPr>
          <w:rFonts w:ascii="Public Sans" w:hAnsi="Public Sans"/>
          <w:b w:val="0"/>
          <w:i w:val="0"/>
          <w:color w:val="3D3E3E"/>
          <w:sz w:val="19"/>
        </w:rPr>
        <w:t xml:space="preserve"> BSP decision post-window; StanC read carried, Citi USD/PHP option fresh.</w:t>
      </w:r>
    </w:p>
    <w:p>
      <w:pPr>
        <w:spacing w:before="200" w:after="60"/>
        <w:keepNext/>
        <w:pBdr>
          <w:bottom w:val="single" w:sz="4" w:space="2" w:color="E0E9E4"/>
        </w:pBdr>
      </w:pPr>
      <w:r>
        <w:rPr>
          <w:rFonts w:ascii="Georgia" w:hAnsi="Georgia"/>
          <w:b/>
          <w:color w:val="4D806A"/>
          <w:sz w:val="23"/>
        </w:rPr>
        <w:t>Thailand — THB softer, rates backed up; Citi holds a long-USD/THB EKO</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6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9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3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7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9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long USD/THB via EKO</w:t>
            </w:r>
          </w:p>
        </w:tc>
        <w:tc>
          <w:tcPr>
            <w:tcW w:type="dxa" w:w="1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w:t>
            </w:r>
          </w:p>
        </w:tc>
        <w:tc>
          <w:tcPr>
            <w:tcW w:type="dxa" w:w="13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w:t>
            </w:r>
          </w:p>
        </w:tc>
        <w:tc>
          <w:tcPr>
            <w:tcW w:type="dxa" w:w="4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2m EKO (strike 32.75 / barrier 33.5), +96.5bp</w:t>
            </w:r>
          </w:p>
        </w:tc>
      </w:tr>
      <w:tr>
        <w:tc>
          <w:tcPr>
            <w:tcW w:type="dxa" w:w="6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9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BoT on hold this year &amp; next</w:t>
            </w:r>
          </w:p>
        </w:tc>
        <w:tc>
          <w:tcPr>
            <w:tcW w:type="dxa" w:w="10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THB</w:t>
            </w:r>
          </w:p>
        </w:tc>
        <w:tc>
          <w:tcPr>
            <w:tcW w:type="dxa" w:w="13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w:t>
            </w:r>
          </w:p>
        </w:tc>
        <w:tc>
          <w:tcPr>
            <w:tcW w:type="dxa" w:w="47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 focus; fiscal H2 challenging</w:t>
            </w:r>
          </w:p>
        </w:tc>
      </w:tr>
      <w:tr>
        <w:tc>
          <w:tcPr>
            <w:tcW w:type="dxa" w:w="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9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softer, rates backed up</w:t>
            </w:r>
          </w:p>
        </w:tc>
        <w:tc>
          <w:tcPr>
            <w:tcW w:type="dxa" w:w="1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rates</w:t>
            </w:r>
          </w:p>
        </w:tc>
        <w:tc>
          <w:tcPr>
            <w:tcW w:type="dxa" w:w="13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−0.25%; THOR 2y +2.9 / 10y +3.6</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THB softened −0.25% DoD (near the bottom of the universe) and THOR backed up +2.9bp (2y) / +3.6bp (10y). Fresh this window, </w:t>
      </w:r>
      <w:r>
        <w:rPr>
          <w:rFonts w:ascii="Public Sans" w:hAnsi="Public Sans"/>
          <w:b/>
          <w:i w:val="0"/>
          <w:color w:val="3D3E3E"/>
          <w:sz w:val="19"/>
        </w:rPr>
        <w:t>Citi (17693) holds a long-USD/THB exposure via a 2m EKO (strike 32.75, barrier 33.5, +22bp premium)</w:t>
      </w:r>
      <w:r>
        <w:rPr>
          <w:rFonts w:ascii="Public Sans" w:hAnsi="Public Sans"/>
          <w:b w:val="0"/>
          <w:i w:val="0"/>
          <w:color w:val="3D3E3E"/>
          <w:sz w:val="19"/>
        </w:rPr>
        <w:t xml:space="preserve"> — an ME/oil-risk and soft-THB expression, currently +96.5bp — with de-escalation, a sharp oil drop, or strong CB intervention the stated risks. The domestic frame carries from last week's StanC (16818): the BoT stays on hold this year and next (Governor Vitai: current rate "appropriate," inflation pressure a "short-term" oil-driven situation, any hike "would risk being quickly reversed"), with the pressure point fiscal — FY27 deficit 4.3% (vs a 4.0% target), debt ~67% against a 70% ceiling, tourist arrivals soft (a 2026 C/A surplus cut to 0.2% of GDP). USD-THB 33.50 end-26 (StanC). GS still holds a cross-market short THB (17178, carried).</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Single-house dominant (StanC) on the domestic call; the cross-market short-THB (GS) and Citi's long-USD/THB option both lean the same way on the currency.</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3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19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StanC</w:t>
            </w:r>
          </w:p>
        </w:tc>
        <w:tc>
          <w:tcPr>
            <w:tcW w:type="dxa" w:w="4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Rates/THB</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BoT on hold both years; FY27 deficit 4.3%, debt-ceiling noise</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Fiscal-first read tying weak tourism + oil to a wider deficit</w:t>
            </w:r>
          </w:p>
        </w:tc>
        <w:tc>
          <w:tcPr>
            <w:tcW w:type="dxa" w:w="19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Tourism stays soft; disbursement delayed</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Tourism rebounds in peak season; fiscal room used decisively</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#8</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TH econ.fact_indicator moderate. </w:t>
      </w:r>
      <w:r>
        <w:rPr>
          <w:rFonts w:ascii="Public Sans" w:hAnsi="Public Sans"/>
          <w:b/>
          <w:i w:val="0"/>
          <w:color w:val="3D3E3E"/>
          <w:sz w:val="19"/>
        </w:rPr>
        <w:t>Flags:</w:t>
      </w:r>
      <w:r>
        <w:rPr>
          <w:rFonts w:ascii="Public Sans" w:hAnsi="Public Sans"/>
          <w:b w:val="0"/>
          <w:i w:val="0"/>
          <w:color w:val="3D3E3E"/>
          <w:sz w:val="19"/>
        </w:rPr>
        <w:t xml:space="preserve"> StanC read carried; Citi USD/THB EKO fresh.</w:t>
      </w:r>
    </w:p>
    <w:p>
      <w:pPr>
        <w:spacing w:before="200" w:after="60"/>
        <w:keepNext/>
        <w:pBdr>
          <w:bottom w:val="single" w:sz="4" w:space="2" w:color="E0E9E4"/>
        </w:pBdr>
      </w:pPr>
      <w:r>
        <w:rPr>
          <w:rFonts w:ascii="Georgia" w:hAnsi="Georgia"/>
          <w:b/>
          <w:color w:val="4D806A"/>
          <w:sz w:val="23"/>
        </w:rPr>
        <w:t>United Kingdom — hawkish SONIA-ish repricing (mkt +29bp by Dec); Burnham to become PM 20-Jul</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0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50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0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Burnham becomes PM 20-Jul</w:t>
            </w:r>
          </w:p>
        </w:tc>
        <w:tc>
          <w:tcPr>
            <w:tcW w:type="dxa" w:w="9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GBP</w:t>
            </w:r>
          </w:p>
        </w:tc>
        <w:tc>
          <w:tcPr>
            <w:tcW w:type="dxa" w:w="11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StanC</w:t>
            </w:r>
          </w:p>
        </w:tc>
        <w:tc>
          <w:tcPr>
            <w:tcW w:type="dxa" w:w="50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"China Shock 2.0" / fiscal-agenda watch; same fiscal rules</w:t>
            </w:r>
          </w:p>
        </w:tc>
      </w:tr>
      <w:tr>
        <w:tc>
          <w:tcPr>
            <w:tcW w:type="dxa" w:w="5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0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 prices BoE hikes</w:t>
            </w:r>
          </w:p>
        </w:tc>
        <w:tc>
          <w:tcPr>
            <w:tcW w:type="dxa" w:w="9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GBP</w:t>
            </w:r>
          </w:p>
        </w:tc>
        <w:tc>
          <w:tcPr>
            <w:tcW w:type="dxa" w:w="11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w:t>
            </w:r>
          </w:p>
        </w:tc>
        <w:tc>
          <w:tcPr>
            <w:tcW w:type="dxa" w:w="50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+12bp by Sep / +29bp by Dec priced</w:t>
            </w:r>
          </w:p>
        </w:tc>
      </w:tr>
      <w:tr>
        <w:tc>
          <w:tcPr>
            <w:tcW w:type="dxa" w:w="5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0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BoE hold 2026, cuts H1-27 (StanC)</w:t>
            </w:r>
          </w:p>
        </w:tc>
        <w:tc>
          <w:tcPr>
            <w:tcW w:type="dxa" w:w="9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1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StanC</w:t>
            </w:r>
          </w:p>
        </w:tc>
        <w:tc>
          <w:tcPr>
            <w:tcW w:type="dxa" w:w="50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raised to 3.1% on energy pass-through</w:t>
            </w:r>
          </w:p>
        </w:tc>
      </w:tr>
      <w:tr>
        <w:tc>
          <w:tcPr>
            <w:tcW w:type="dxa" w:w="5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0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 softer, SONIA ~flat DoD</w:t>
            </w:r>
          </w:p>
        </w:tc>
        <w:tc>
          <w:tcPr>
            <w:tcW w:type="dxa" w:w="9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 rates</w:t>
            </w:r>
          </w:p>
        </w:tc>
        <w:tc>
          <w:tcPr>
            <w:tcW w:type="dxa" w:w="11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50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 −0.17%; SONIA 2y −0.3bp</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UK is a political-fiscal story with a hawkish market overlay. </w:t>
      </w:r>
      <w:r>
        <w:rPr>
          <w:rFonts w:ascii="Public Sans" w:hAnsi="Public Sans"/>
          <w:b/>
          <w:i w:val="0"/>
          <w:color w:val="3D3E3E"/>
          <w:sz w:val="19"/>
        </w:rPr>
        <w:t>Andy Burnham is set to become the next PM on 20 July</w:t>
      </w:r>
      <w:r>
        <w:rPr>
          <w:rFonts w:ascii="Public Sans" w:hAnsi="Public Sans"/>
          <w:b w:val="0"/>
          <w:i w:val="0"/>
          <w:color w:val="3D3E3E"/>
          <w:sz w:val="19"/>
        </w:rPr>
        <w:t xml:space="preserve"> — GS's Weekend Macro Call (17620) flags his "prospective fiscal policy agenda" as a global-macro watch item alongside a European "China Shock 2.0," and StanC (referenced in 17685's UK "Never say never" note + a 15-Jul "Burnham question" webinar) has raised its 2026 UK CPI forecast to 3.1% on lagged energy pass-through while expecting the BoE to hold through 2026 and cut twice in H1-2027 to a 3.25% terminal, with only a slight narrowing of the fiscal deficit (4.2% FY26 → 3.7% FY27). The market, though, has repriced BoE </w:t>
      </w:r>
      <w:r>
        <w:rPr>
          <w:rFonts w:ascii="Public Sans" w:hAnsi="Public Sans"/>
          <w:b w:val="0"/>
          <w:i/>
          <w:color w:val="3D3E3E"/>
          <w:sz w:val="19"/>
        </w:rPr>
        <w:t>hikes</w:t>
      </w:r>
      <w:r>
        <w:rPr>
          <w:rFonts w:ascii="Public Sans" w:hAnsi="Public Sans"/>
          <w:b w:val="0"/>
          <w:i w:val="0"/>
          <w:color w:val="3D3E3E"/>
          <w:sz w:val="19"/>
        </w:rPr>
        <w:t xml:space="preserve">: ANZ's OIS read (17658) shows </w:t>
      </w:r>
      <w:r>
        <w:rPr>
          <w:rFonts w:ascii="Public Sans" w:hAnsi="Public Sans"/>
          <w:b/>
          <w:i w:val="0"/>
          <w:color w:val="3D3E3E"/>
          <w:sz w:val="19"/>
        </w:rPr>
        <w:t>+12bp by September / +29bp by December</w:t>
      </w:r>
      <w:r>
        <w:rPr>
          <w:rFonts w:ascii="Public Sans" w:hAnsi="Public Sans"/>
          <w:b w:val="0"/>
          <w:i w:val="0"/>
          <w:color w:val="3D3E3E"/>
          <w:sz w:val="19"/>
        </w:rPr>
        <w:t xml:space="preserve"> (SONIA to ~4.02% by Dec) — a hawkish move consistent with the DM-wide repricing. </w:t>
      </w:r>
      <w:r>
        <w:rPr>
          <w:rFonts w:ascii="Public Sans" w:hAnsi="Public Sans"/>
          <w:b/>
          <w:i w:val="0"/>
          <w:color w:val="3D3E3E"/>
          <w:sz w:val="19"/>
        </w:rPr>
        <w:t>GBP softened −0.17% DoD</w:t>
      </w:r>
      <w:r>
        <w:rPr>
          <w:rFonts w:ascii="Public Sans" w:hAnsi="Public Sans"/>
          <w:b w:val="0"/>
          <w:i w:val="0"/>
          <w:color w:val="3D3E3E"/>
          <w:sz w:val="19"/>
        </w:rPr>
        <w:t>, but the SONIA curve bucked the back-up and was roughly flat (2y −0.3bp / 10y −0.1bp — cash gilts are not loaded, so this is the OIS read). GDP prints 16-Jul (forward).</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Limited independent in-window UK-macro coverage; the anchor is StanC's hold-2026/cuts-H1-27 frame plus GS's Burnham-fiscal flag, against a market that prices BoE hikes.</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StanC</w:t>
            </w:r>
          </w:p>
        </w:tc>
        <w:tc>
          <w:tcPr>
            <w:tcW w:type="dxa" w:w="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Rates/GBP</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BoE holds 2026, cuts H1-27 to 3.25%; CPI 3.1%; Burnham keeps fiscal rules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Ties the political transition to a constrained-fiscal, delayed-cut path — against a market pricing +29bp of hikes</w:t>
            </w:r>
          </w:p>
        </w:tc>
        <w:tc>
          <w:tcPr>
            <w:tcW w:type="dxa" w:w="23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Wage pass-through limited; energy declines from 2027</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hot wage/CPI print (validates the market's hike pricing) or a fiscal-rule loosening</w:t>
            </w:r>
          </w:p>
        </w:tc>
      </w:tr>
    </w:tbl>
    <w:p>
      <w:pPr>
        <w:spacing w:after="80" w:line="283" w:lineRule="auto"/>
      </w:pPr>
      <w:r>
        <w:rPr>
          <w:rFonts w:ascii="Public Sans" w:hAnsi="Public Sans"/>
          <w:b w:val="0"/>
          <w:i w:val="0"/>
          <w:color w:val="3D3E3E"/>
          <w:sz w:val="19"/>
        </w:rPr>
        <w:t xml:space="preserve">Trade rows: none direct. </w:t>
      </w:r>
      <w:r>
        <w:rPr>
          <w:rFonts w:ascii="Public Sans" w:hAnsi="Public Sans"/>
          <w:b/>
          <w:i w:val="0"/>
          <w:color w:val="3D3E3E"/>
          <w:sz w:val="19"/>
        </w:rPr>
        <w:t>DEPTH:</w:t>
      </w:r>
      <w:r>
        <w:rPr>
          <w:rFonts w:ascii="Public Sans" w:hAnsi="Public Sans"/>
          <w:b w:val="0"/>
          <w:i w:val="0"/>
          <w:color w:val="3D3E3E"/>
          <w:sz w:val="19"/>
        </w:rPr>
        <w:t xml:space="preserve"> UK econ.fact_indicator thin (most macro not loaded). </w:t>
      </w:r>
      <w:r>
        <w:rPr>
          <w:rFonts w:ascii="Public Sans" w:hAnsi="Public Sans"/>
          <w:b/>
          <w:i w:val="0"/>
          <w:color w:val="3D3E3E"/>
          <w:sz w:val="19"/>
        </w:rPr>
        <w:t>Flags:</w:t>
      </w:r>
      <w:r>
        <w:rPr>
          <w:rFonts w:ascii="Public Sans" w:hAnsi="Public Sans"/>
          <w:b w:val="0"/>
          <w:i w:val="0"/>
          <w:color w:val="3D3E3E"/>
          <w:sz w:val="19"/>
        </w:rPr>
        <w:t xml:space="preserve"> Burnham PM transition 20-Jul, UK GDP 16-Jul forward; StanC vs market-priced-hikes unreconciled (both shown).</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10. Grounding ledger</w:t>
      </w:r>
      <w:r>
        <w:rPr>
          <w:rFonts w:ascii="Public Sans" w:hAnsi="Public Sans"/>
          <w:i/>
          <w:color w:val="7A7C7C"/>
          <w:sz w:val="16"/>
        </w:rPr>
        <w:t xml:space="preserve">   SYN</w:t>
      </w:r>
    </w:p>
    <w:p>
      <w:pPr>
        <w:spacing w:before="120" w:after="40"/>
        <w:keepNext/>
      </w:pPr>
      <w:r>
        <w:rPr>
          <w:rFonts w:ascii="Public Sans" w:hAnsi="Public Sans"/>
          <w:b/>
          <w:i w:val="0"/>
          <w:color w:val="001830"/>
          <w:sz w:val="19"/>
        </w:rPr>
        <w:t>Sources by layer: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calendar.cb_events (FACT):</w:t>
      </w:r>
      <w:r>
        <w:rPr>
          <w:rFonts w:ascii="Public Sans" w:hAnsi="Public Sans"/>
          <w:b w:val="0"/>
          <w:i w:val="0"/>
          <w:color w:val="3D3E3E"/>
          <w:sz w:val="19"/>
        </w:rPr>
        <w:t xml:space="preserve"> </w:t>
      </w:r>
      <w:r>
        <w:rPr>
          <w:rFonts w:ascii="Public Sans" w:hAnsi="Public Sans"/>
          <w:b/>
          <w:i w:val="0"/>
          <w:color w:val="3D3E3E"/>
          <w:sz w:val="19"/>
        </w:rPr>
        <w:t>No 07-10→07-13 macro actual has booked at compile</w:t>
      </w:r>
      <w:r>
        <w:rPr>
          <w:rFonts w:ascii="Public Sans" w:hAnsi="Public Sans"/>
          <w:b w:val="0"/>
          <w:i w:val="0"/>
          <w:color w:val="3D3E3E"/>
          <w:sz w:val="19"/>
        </w:rPr>
        <w:t xml:space="preserve"> — Canada June jobs, Singapore advance Q2 GDP, Japan PPI and India June CPI all show pre-print (null) despite the sell-side flow carrying figures (India CPI 4.2% per Citi/UBS/StanC; Canada U-rate 6.5% per GS 17674 — both flagged VIEW/flow, not FACT). The prior run's five 07-09 actuals (BNM 2.75% held, US claims 215K, US existing home sales 4.09M, MY IP +8.4%, JP machine-tool orders +52.8%) remain FACT. No universe CB decided in-window; forward decisions (SG MAS 14-Jul, BoC 15-Jul, ID BI 22-Jul; BoK 16-Jul outside universe) verified against real rows. Policy-rate dashboard carried from the 07-10 verified decision rows (RBNZ 2.50% hiked 08-Jul; no change since).</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Market layers — RATES/FX DoD, sign re-checked, direction FLIPPED vs last run.</w:t>
      </w:r>
      <w:r>
        <w:rPr>
          <w:rFonts w:ascii="Public Sans" w:hAnsi="Public Sans"/>
          <w:b w:val="0"/>
          <w:i w:val="0"/>
          <w:color w:val="3D3E3E"/>
          <w:sz w:val="19"/>
        </w:rPr>
        <w:t xml:space="preserve"> DoD computed strictly as (07-13 last-tick) − (07-10 last-tick), last tick = max ts per calendar day, rates.fact_observation quote='par'. The universe </w:t>
      </w:r>
      <w:r>
        <w:rPr>
          <w:rFonts w:ascii="Public Sans" w:hAnsi="Public Sans"/>
          <w:b/>
          <w:i w:val="0"/>
          <w:color w:val="3D3E3E"/>
          <w:sz w:val="19"/>
        </w:rPr>
        <w:t>backed up</w:t>
      </w:r>
      <w:r>
        <w:rPr>
          <w:rFonts w:ascii="Public Sans" w:hAnsi="Public Sans"/>
          <w:b w:val="0"/>
          <w:i w:val="0"/>
          <w:color w:val="3D3E3E"/>
          <w:sz w:val="19"/>
        </w:rPr>
        <w:t xml:space="preserve">: SOFR 2y +2.1 / 10y +2.2, NZIONA 2y +7.1 / 10y +6.6, HIBOR 2y +6.1 / 10y +4.1, PHIREF 2y +4.85, SORA 2y +3.0 / 10y +3.75, THOR 2y +2.9 / 10y +3.6, AONIA 2y +2.3 / 10y +2.3, TONAR 2y +2.2 / 10y +4.0, KLIBOR 2y +1.25 / 10y +1.75; GBP SONIA 2y −0.3, MIBOR 2y −0.35 / 10y −0.6, JIBOR 2y −2.0 (front richer), CNH ~flat, CORRA 2y +0.1. FX.fact_fx_rate (SPOT) runs to </w:t>
      </w:r>
      <w:r>
        <w:rPr>
          <w:rFonts w:ascii="Public Sans" w:hAnsi="Public Sans"/>
          <w:b/>
          <w:i w:val="0"/>
          <w:color w:val="3D3E3E"/>
          <w:sz w:val="19"/>
        </w:rPr>
        <w:t>07-13</w:t>
      </w:r>
      <w:r>
        <w:rPr>
          <w:rFonts w:ascii="Public Sans" w:hAnsi="Public Sans"/>
          <w:b w:val="0"/>
          <w:i w:val="0"/>
          <w:color w:val="3D3E3E"/>
          <w:sz w:val="19"/>
        </w:rPr>
        <w:t xml:space="preserve"> — every universe currency weaker vs USD DoD (AUD −0.31, IDR −0.28, THB −0.25, JPY −0.25, INR −0.20, EUR/SGD −0.19, MYR −0.18, GBP −0.17, CAD −0.15, PHP −0.07, CNH −0.06; NZD −0.02 flat, HKD +0.03 peg), fully consistent with the DM-wide curve back-up. equities.fact_index_level refreshed to </w:t>
      </w:r>
      <w:r>
        <w:rPr>
          <w:rFonts w:ascii="Public Sans" w:hAnsi="Public Sans"/>
          <w:b/>
          <w:i w:val="0"/>
          <w:color w:val="3D3E3E"/>
          <w:sz w:val="19"/>
        </w:rPr>
        <w:t>07-10</w:t>
      </w:r>
      <w:r>
        <w:rPr>
          <w:rFonts w:ascii="Public Sans" w:hAnsi="Public Sans"/>
          <w:b w:val="0"/>
          <w:i w:val="0"/>
          <w:color w:val="3D3E3E"/>
          <w:sz w:val="19"/>
        </w:rPr>
        <w:t xml:space="preserve"> (one session behind Mon; broadly up — Nikkei +1.20, Nifty +1.02, SIMSCI +0.73, SET +0.70, HSI +0.60, ASX +0.50, SPX +0.42; RUT −0.49, HSTECH −0.21) — flagged stale. commodities.fact_spot refreshed to </w:t>
      </w:r>
      <w:r>
        <w:rPr>
          <w:rFonts w:ascii="Public Sans" w:hAnsi="Public Sans"/>
          <w:b/>
          <w:i w:val="0"/>
          <w:color w:val="3D3E3E"/>
          <w:sz w:val="19"/>
        </w:rPr>
        <w:t>07-10</w:t>
      </w:r>
      <w:r>
        <w:rPr>
          <w:rFonts w:ascii="Public Sans" w:hAnsi="Public Sans"/>
          <w:b w:val="0"/>
          <w:i w:val="0"/>
          <w:color w:val="3D3E3E"/>
          <w:sz w:val="19"/>
        </w:rPr>
        <w:t xml:space="preserve"> (WTI 72.27, gold 4121.08, silver 59.50); Brent ~$76 + US 10yr 4.56% are DB-reported (sell-side). fact_bond_yield EMPTY — no cash govt yields loaded. Credit spreads not in IMDR.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research.fact_chunk + Qdrant (VIEW):</w:t>
      </w:r>
      <w:r>
        <w:rPr>
          <w:rFonts w:ascii="Public Sans" w:hAnsi="Public Sans"/>
          <w:b w:val="0"/>
          <w:i w:val="0"/>
          <w:color w:val="3D3E3E"/>
          <w:sz w:val="19"/>
        </w:rPr>
        <w:t xml:space="preserve"> in-window corpus (07-10 late → 07-13) with the fresh flow (07-11 to 07-13 = ~89 reports) retrieved two ways and unioned — structured SQL over research.dim_report/fact_chunk across all vendors (07-11: goldman 7, jpm 5, +5 others; 07-12: goldman 13, jpm 5, db 4, ms 4, barclays/citi 3, stanc/bnp 2; 07-13: goldman 11, hsbc 7, anz 5, ubs 4, +6 others) plus per-theme Qdrant sweeps. The 07-10 bulk (466 reports) was deep-read in the prior run and is carried where unchanged.</w:t>
      </w:r>
    </w:p>
    <w:p>
      <w:pPr>
        <w:spacing w:after="80" w:line="283" w:lineRule="auto"/>
      </w:pPr>
      <w:r>
        <w:rPr>
          <w:rFonts w:ascii="Public Sans" w:hAnsi="Public Sans"/>
          <w:b/>
          <w:i w:val="0"/>
          <w:color w:val="3D3E3E"/>
          <w:sz w:val="19"/>
        </w:rPr>
        <w:t>Qdrant / structured semantic sweeps run this window</w:t>
      </w:r>
      <w:r>
        <w:rPr>
          <w:rFonts w:ascii="Public Sans" w:hAnsi="Public Sans"/>
          <w:b w:val="0"/>
          <w:i w:val="0"/>
          <w:color w:val="3D3E3E"/>
          <w:sz w:val="19"/>
        </w:rPr>
        <w:t xml:space="preserve"> (window 07-10→07-13, group-by-report; full chunks read via the scratchpad reader — imdr-db MCP truncates cell display):</w:t>
      </w:r>
    </w:p>
    <w:p>
      <w:pPr>
        <w:spacing w:after="80" w:line="283" w:lineRule="auto"/>
      </w:pPr>
      <w:r>
        <w:rPr>
          <w:rFonts w:ascii="Public Sans" w:hAnsi="Public Sans"/>
          <w:b w:val="0"/>
          <w:i w:val="0"/>
          <w:color w:val="3D3E3E"/>
          <w:sz w:val="19"/>
        </w:rPr>
        <w:t>1. "US June CPI core inflation sticky vs cooling; USD bull; Fed hike pricing" → GS 17620/17669/17700, Barclays 17692, BNP 17655, HSBC 17678, DB 17668, StanC 17644/17685, ANZ 17658.</w:t>
      </w:r>
    </w:p>
    <w:p>
      <w:pPr>
        <w:spacing w:after="80" w:line="283" w:lineRule="auto"/>
      </w:pPr>
      <w:r>
        <w:rPr>
          <w:rFonts w:ascii="Public Sans" w:hAnsi="Public Sans"/>
          <w:b w:val="0"/>
          <w:i w:val="0"/>
          <w:color w:val="3D3E3E"/>
          <w:sz w:val="19"/>
        </w:rPr>
        <w:t>2. "Malaysia Johor state election BN Anwar fiscal ringgit BNM hike" → GS 17670, Barclays 17691.</w:t>
      </w:r>
    </w:p>
    <w:p>
      <w:pPr>
        <w:spacing w:after="80" w:line="283" w:lineRule="auto"/>
      </w:pPr>
      <w:r>
        <w:rPr>
          <w:rFonts w:ascii="Public Sans" w:hAnsi="Public Sans"/>
          <w:b w:val="0"/>
          <w:i w:val="0"/>
          <w:color w:val="3D3E3E"/>
          <w:sz w:val="19"/>
        </w:rPr>
        <w:t>3. "Australia house prices consumption wealth effect RBA peaked" → GS 17645, JPM 17681.</w:t>
      </w:r>
    </w:p>
    <w:p>
      <w:pPr>
        <w:spacing w:after="80" w:line="283" w:lineRule="auto"/>
      </w:pPr>
      <w:r>
        <w:rPr>
          <w:rFonts w:ascii="Public Sans" w:hAnsi="Public Sans"/>
          <w:b w:val="0"/>
          <w:i w:val="0"/>
          <w:color w:val="3D3E3E"/>
          <w:sz w:val="19"/>
        </w:rPr>
        <w:t>4. "RBNZ hike path OCR inflation peak New Zealand" → JPM 17681, Westpac 17687, ANZ 17658.</w:t>
      </w:r>
    </w:p>
    <w:p>
      <w:pPr>
        <w:spacing w:after="80" w:line="283" w:lineRule="auto"/>
      </w:pPr>
      <w:r>
        <w:rPr>
          <w:rFonts w:ascii="Public Sans" w:hAnsi="Public Sans"/>
          <w:b w:val="0"/>
          <w:i w:val="0"/>
          <w:color w:val="3D3E3E"/>
          <w:sz w:val="19"/>
        </w:rPr>
        <w:t>5. "China PPI peaked CPI Q2 GDP RRR cut RMB internationalization" → GS 17650/17671/17657, MS 17665, UBS 17686, DB 17696.</w:t>
      </w:r>
    </w:p>
    <w:p>
      <w:pPr>
        <w:spacing w:after="80" w:line="283" w:lineRule="auto"/>
      </w:pPr>
      <w:r>
        <w:rPr>
          <w:rFonts w:ascii="Public Sans" w:hAnsi="Public Sans"/>
          <w:b w:val="0"/>
          <w:i w:val="0"/>
          <w:color w:val="3D3E3E"/>
          <w:sz w:val="19"/>
        </w:rPr>
        <w:t>6. "Canada BoC July preview hold cut jobs USMCA oil" → GS 17674, ANZ 17658.</w:t>
      </w:r>
    </w:p>
    <w:p>
      <w:pPr>
        <w:spacing w:after="80" w:line="283" w:lineRule="auto"/>
      </w:pPr>
      <w:r>
        <w:rPr>
          <w:rFonts w:ascii="Public Sans" w:hAnsi="Public Sans"/>
          <w:b w:val="0"/>
          <w:i w:val="0"/>
          <w:color w:val="3D3E3E"/>
          <w:sz w:val="19"/>
        </w:rPr>
        <w:t>7. "India CPI inflation INR basket steepener FCNR payer El Nino" → Citi 17693, UBS 17686, GS 17621.</w:t>
      </w:r>
    </w:p>
    <w:p>
      <w:pPr>
        <w:spacing w:after="80" w:line="283" w:lineRule="auto"/>
      </w:pPr>
      <w:r>
        <w:rPr>
          <w:rFonts w:ascii="Public Sans" w:hAnsi="Public Sans"/>
          <w:b w:val="0"/>
          <w:i w:val="0"/>
          <w:color w:val="3D3E3E"/>
          <w:sz w:val="19"/>
        </w:rPr>
        <w:t>8. "HKD USD-HKD band HIBOR dividend season cross-border scrutiny" → HSBC 17679/17678.</w:t>
      </w:r>
    </w:p>
    <w:p>
      <w:pPr>
        <w:spacing w:after="80" w:line="283" w:lineRule="auto"/>
      </w:pPr>
      <w:r>
        <w:rPr>
          <w:rFonts w:ascii="Public Sans" w:hAnsi="Public Sans"/>
          <w:b w:val="0"/>
          <w:i w:val="0"/>
          <w:color w:val="3D3E3E"/>
          <w:sz w:val="19"/>
        </w:rPr>
        <w:t>9. "Japan JGB GPIF reallocation yen carry BoJ yield" → BNP 17655, DB 17668, Citi 17660, GS 17676.</w:t>
      </w:r>
    </w:p>
    <w:p>
      <w:pPr>
        <w:spacing w:after="80" w:line="283" w:lineRule="auto"/>
      </w:pPr>
      <w:r>
        <w:rPr>
          <w:rFonts w:ascii="Public Sans" w:hAnsi="Public Sans"/>
          <w:b w:val="0"/>
          <w:i w:val="0"/>
          <w:color w:val="3D3E3E"/>
          <w:sz w:val="19"/>
        </w:rPr>
        <w:t>10. "oil Strait of Hormuz US Iran re-escalation Brent crack spreads" → GS 17700, Barclays 17692, BNP 17655, Nomura 17715, JPM 17682, DB 17668.</w:t>
      </w:r>
    </w:p>
    <w:p>
      <w:pPr>
        <w:spacing w:after="80" w:line="283" w:lineRule="auto"/>
      </w:pPr>
      <w:r>
        <w:rPr>
          <w:rFonts w:ascii="Public Sans" w:hAnsi="Public Sans"/>
          <w:b/>
          <w:i w:val="0"/>
          <w:color w:val="3D3E3E"/>
          <w:sz w:val="19"/>
        </w:rPr>
        <w:t>Per-country coverage — corpus (fresh-flow union) · deep-read · noted-not-read (reason):</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8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9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Fresh corpus</w:t>
            </w:r>
          </w:p>
        </w:tc>
        <w:tc>
          <w:tcPr>
            <w:tcW w:type="dxa" w:w="67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Deep-read</w:t>
            </w:r>
          </w:p>
        </w:tc>
        <w:tc>
          <w:tcPr>
            <w:tcW w:type="dxa" w:w="41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Noted-not-read (reason)</w:t>
            </w:r>
          </w:p>
        </w:tc>
        <w:tc>
          <w:tcPr>
            <w:tcW w:type="dxa" w:w="41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Top publishers — views read?</w:t>
            </w:r>
          </w:p>
        </w:tc>
      </w:tr>
      <w:tr>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~12</w:t>
            </w:r>
          </w:p>
        </w:tc>
        <w:tc>
          <w:tcPr>
            <w:tcW w:type="dxa" w:w="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9</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 (JPM US futures/options/basis packages 17612/17618/17619/17624; BNP US equity-flow 17649; Citi 2Q-outlook equity 17694)</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 (17620/17669/17700), Barclays ✅ (17692/17648), BNP ✅ (17655), StanC ✅ (17644), DB ✅ (17668), HSBC ✅ (17678)</w:t>
            </w:r>
          </w:p>
        </w:tc>
      </w:tr>
      <w:tr>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Japan</w:t>
            </w:r>
          </w:p>
        </w:tc>
        <w:tc>
          <w:tcPr>
            <w:tcW w:type="dxa" w:w="9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w:t>
            </w:r>
          </w:p>
        </w:tc>
        <w:tc>
          <w:tcPr>
            <w:tcW w:type="dxa" w:w="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 (Citi Point Japan 17660 + GS Tokyo Daily 17676 = single-name equity, read for the read-through only; Nomura Japan Research Pack 17684 equity)</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BNP ✅ (17655), DB ✅ (17668), Citi/GS ✅ (equity read-through)</w:t>
            </w:r>
          </w:p>
        </w:tc>
      </w:tr>
      <w:tr>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China(+HK)</w:t>
            </w:r>
          </w:p>
        </w:tc>
        <w:tc>
          <w:tcPr>
            <w:tcW w:type="dxa" w:w="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~8</w:t>
            </w:r>
          </w:p>
        </w:tc>
        <w:tc>
          <w:tcPr>
            <w:tcW w:type="dxa" w:w="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 (GS "New Funding Source High-Tech" 17657 + "Rotation Temptation" 17671 equity strategy read for macro; GS Gulf Exports 17701 commodity)</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 (17650), MS ✅ (17665), UBS ✅ (17686), DB ✅ (17696), HSBC ✅ (17679)</w:t>
            </w:r>
          </w:p>
        </w:tc>
      </w:tr>
      <w:tr>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9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w:t>
            </w:r>
          </w:p>
        </w:tc>
        <w:tc>
          <w:tcPr>
            <w:tcW w:type="dxa" w:w="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 (ANZ AUD Rates Weekly/Daily RV Packs 17666/17689 data; Westpac commodity forecasts 17719; Citi Point AUS/NZ 17659 single-name)</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 (17645), JPM ✅ (17681), ANZ ✅ (17658)</w:t>
            </w:r>
          </w:p>
        </w:tc>
      </w:tr>
      <w:tr>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w:t>
            </w:r>
          </w:p>
        </w:tc>
        <w:tc>
          <w:tcPr>
            <w:tcW w:type="dxa" w:w="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 (NZIER/PSI/PCI data pre-print)</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 (17681), Westpac ✅ (17687), ANZ ✅ (17658)</w:t>
            </w:r>
          </w:p>
        </w:tc>
      </w:tr>
      <w:tr>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Malaysia</w:t>
            </w:r>
          </w:p>
        </w:tc>
        <w:tc>
          <w:tcPr>
            <w:tcW w:type="dxa" w:w="9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w:t>
            </w:r>
          </w:p>
        </w:tc>
        <w:tc>
          <w:tcPr>
            <w:tcW w:type="dxa" w:w="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 (17670), Barclays ✅ (17691)</w:t>
            </w:r>
          </w:p>
        </w:tc>
      </w:tr>
      <w:tr>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India</w:t>
            </w:r>
          </w:p>
        </w:tc>
        <w:tc>
          <w:tcPr>
            <w:tcW w:type="dxa" w:w="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w:t>
            </w:r>
          </w:p>
        </w:tc>
        <w:tc>
          <w:tcPr>
            <w:tcW w:type="dxa" w:w="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 (RBI filing 17509 press-release skimmed)</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 (17693), UBS ✅ (17686), GS ✅ (17621)</w:t>
            </w:r>
          </w:p>
        </w:tc>
      </w:tr>
      <w:tr>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Canada</w:t>
            </w:r>
          </w:p>
        </w:tc>
        <w:tc>
          <w:tcPr>
            <w:tcW w:type="dxa" w:w="9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w:t>
            </w:r>
          </w:p>
        </w:tc>
        <w:tc>
          <w:tcPr>
            <w:tcW w:type="dxa" w:w="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 (17674)</w:t>
            </w:r>
          </w:p>
        </w:tc>
      </w:tr>
      <w:tr>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w:t>
            </w:r>
          </w:p>
        </w:tc>
        <w:tc>
          <w:tcPr>
            <w:tcW w:type="dxa" w:w="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 (UBS "Asia three things" 17686 SG-section light; StanC 17685 SG data)</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GS/ANZ/StanC ✅ (carried + StanC 17685)</w:t>
            </w:r>
          </w:p>
        </w:tc>
      </w:tr>
      <w:tr>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Hong Kong</w:t>
            </w:r>
          </w:p>
        </w:tc>
        <w:tc>
          <w:tcPr>
            <w:tcW w:type="dxa" w:w="9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w:t>
            </w:r>
          </w:p>
        </w:tc>
        <w:tc>
          <w:tcPr>
            <w:tcW w:type="dxa" w:w="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 (17679/17678)</w:t>
            </w:r>
          </w:p>
        </w:tc>
      </w:tr>
      <w:tr>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Indonesia</w:t>
            </w:r>
          </w:p>
        </w:tc>
        <w:tc>
          <w:tcPr>
            <w:tcW w:type="dxa" w:w="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w:t>
            </w:r>
          </w:p>
        </w:tc>
        <w:tc>
          <w:tcPr>
            <w:tcW w:type="dxa" w:w="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 (UBS ASEAN Outlook deck 17716 image-only)</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 (carried)</w:t>
            </w:r>
          </w:p>
        </w:tc>
      </w:tr>
      <w:tr>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9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w:t>
            </w:r>
          </w:p>
        </w:tc>
        <w:tc>
          <w:tcPr>
            <w:tcW w:type="dxa" w:w="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 (17693), StanC ✅ (carried)</w:t>
            </w:r>
          </w:p>
        </w:tc>
      </w:tr>
      <w:tr>
        <w:tc>
          <w:tcPr>
            <w:tcW w:type="dxa" w:w="8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Thailand</w:t>
            </w:r>
          </w:p>
        </w:tc>
        <w:tc>
          <w:tcPr>
            <w:tcW w:type="dxa" w:w="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w:t>
            </w:r>
          </w:p>
        </w:tc>
        <w:tc>
          <w:tcPr>
            <w:tcW w:type="dxa" w:w="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w:t>
            </w:r>
          </w:p>
        </w:tc>
        <w:tc>
          <w:tcPr>
            <w:tcW w:type="dxa" w:w="41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 (17693), StanC ✅ (carried)</w:t>
            </w:r>
          </w:p>
        </w:tc>
      </w:tr>
      <w:tr>
        <w:tc>
          <w:tcPr>
            <w:tcW w:type="dxa" w:w="8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UK</w:t>
            </w:r>
          </w:p>
        </w:tc>
        <w:tc>
          <w:tcPr>
            <w:tcW w:type="dxa" w:w="9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w:t>
            </w:r>
          </w:p>
        </w:tc>
        <w:tc>
          <w:tcPr>
            <w:tcW w:type="dxa" w:w="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 (JPM UK Money Market Report 17612 data)</w:t>
            </w:r>
          </w:p>
        </w:tc>
        <w:tc>
          <w:tcPr>
            <w:tcW w:type="dxa" w:w="41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 (17620), StanC ✅ (17685), ANZ ✅ (17658)</w:t>
            </w:r>
          </w:p>
        </w:tc>
      </w:tr>
    </w:tbl>
    <w:p>
      <w:pPr>
        <w:spacing w:after="80" w:line="283" w:lineRule="auto"/>
      </w:pPr>
      <w:r>
        <w:rPr>
          <w:rFonts w:ascii="Public Sans" w:hAnsi="Public Sans"/>
          <w:b/>
          <w:i w:val="0"/>
          <w:color w:val="3D3E3E"/>
          <w:sz w:val="19"/>
        </w:rPr>
        <w:t>Confirmation — no top publisher reduced to data-points-only:</w:t>
      </w:r>
      <w:r>
        <w:rPr>
          <w:rFonts w:ascii="Public Sans" w:hAnsi="Public Sans"/>
          <w:b w:val="0"/>
          <w:i w:val="0"/>
          <w:color w:val="3D3E3E"/>
          <w:sz w:val="19"/>
        </w:rPr>
        <w:t xml:space="preserve"> every country's top in-window publishers had their opinion/forecast notes deep-read. Beyond the universe, non-scope reports (Korea, frontier Asia, Euro/France OAT, CEEMEA/South Africa, single-name/sector equity, credit CDS-index/covered-bond/basis plumbing, quant/factor decks) were noted-not-read by design. Two chart-only decks (UBS ASEAN 17716, UBS APAC Sustainability 17718) and image-heavy presentations could not be text-mined — noted.</w:t>
      </w:r>
    </w:p>
    <w:p>
      <w:pPr>
        <w:spacing w:after="80" w:line="283" w:lineRule="auto"/>
      </w:pPr>
      <w:r>
        <w:rPr>
          <w:rFonts w:ascii="Public Sans" w:hAnsi="Public Sans"/>
          <w:b/>
          <w:i w:val="0"/>
          <w:color w:val="3D3E3E"/>
          <w:sz w:val="19"/>
        </w:rPr>
        <w:t>Source-of-record notes:</w:t>
      </w:r>
      <w:r>
        <w:rPr>
          <w:rFonts w:ascii="Public Sans" w:hAnsi="Public Sans"/>
          <w:b w:val="0"/>
          <w:i w:val="0"/>
          <w:color w:val="3D3E3E"/>
          <w:sz w:val="19"/>
        </w:rPr>
        <w:t xml:space="preserve"> for the pre-print window events (Canada jobs, SG GDP, JP PPI, IN CPI), both TE and BQL are null in cb_events — the figures are carried from the sell-side flow (VIEW/flow), flagged. US core-CPI consensus is itself split in the data (Bloomberg survey 0.3% core vs the forecast field 0.2%); both shown, and GS reports "consensus +0.2%."</w:t>
      </w:r>
    </w:p>
    <w:p>
      <w:pPr>
        <w:spacing w:before="120" w:after="40"/>
        <w:keepNext/>
      </w:pPr>
      <w:r>
        <w:rPr>
          <w:rFonts w:ascii="Public Sans" w:hAnsi="Public Sans"/>
          <w:b/>
          <w:i w:val="0"/>
          <w:color w:val="001830"/>
          <w:sz w:val="19"/>
        </w:rPr>
        <w:t>Unreconciled / both-shown: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June core CPI:</w:t>
      </w:r>
      <w:r>
        <w:rPr>
          <w:rFonts w:ascii="Public Sans" w:hAnsi="Public Sans"/>
          <w:b w:val="0"/>
          <w:i w:val="0"/>
          <w:color w:val="3D3E3E"/>
          <w:sz w:val="19"/>
        </w:rPr>
        <w:t xml:space="preserve"> GS 0.17% / cons 0.2-0.3% / BNP 0.37% / Barclays 3.8% y/y headline / GS core PCE +0.24% vs Barclays core PCE 3.3% Q4/Q4 — full spread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rate direction:</w:t>
      </w:r>
      <w:r>
        <w:rPr>
          <w:rFonts w:ascii="Public Sans" w:hAnsi="Public Sans"/>
          <w:b w:val="0"/>
          <w:i w:val="0"/>
          <w:color w:val="3D3E3E"/>
          <w:sz w:val="19"/>
        </w:rPr>
        <w:t xml:space="preserve"> the market prices a hiking Fed (+22bp by 16-Sep, ANZ) while GS econ holds Fed-on-hold-2026 —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w:t>
      </w:r>
      <w:r>
        <w:rPr>
          <w:rFonts w:ascii="Public Sans" w:hAnsi="Public Sans"/>
          <w:b w:val="0"/>
          <w:i w:val="0"/>
          <w:color w:val="3D3E3E"/>
          <w:sz w:val="19"/>
        </w:rPr>
        <w:t xml:space="preserve"> Citi (long INR + NDOIS steepener) vs UBS (INR-swap payer) vs GS (repo 5.75% eop, hikes embedded) — three views,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Canada:</w:t>
      </w:r>
      <w:r>
        <w:rPr>
          <w:rFonts w:ascii="Public Sans" w:hAnsi="Public Sans"/>
          <w:b w:val="0"/>
          <w:i w:val="0"/>
          <w:color w:val="3D3E3E"/>
          <w:sz w:val="19"/>
        </w:rPr>
        <w:t xml:space="preserve"> GS (dovish hold, 2027 cuts) vs UBS (hold, dilemma) vs StanC (cut by year-end) vs market (+54bp to Jul-27) —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policy:</w:t>
      </w:r>
      <w:r>
        <w:rPr>
          <w:rFonts w:ascii="Public Sans" w:hAnsi="Public Sans"/>
          <w:b w:val="0"/>
          <w:i w:val="0"/>
          <w:color w:val="3D3E3E"/>
          <w:sz w:val="19"/>
        </w:rPr>
        <w:t xml:space="preserve"> GS (no rate/RRR cut 2026) vs StanC (RRR −25bp Q3, last week) vs the targeted-support camp —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Malaysia Johor:</w:t>
      </w:r>
      <w:r>
        <w:rPr>
          <w:rFonts w:ascii="Public Sans" w:hAnsi="Public Sans"/>
          <w:b w:val="0"/>
          <w:i w:val="0"/>
          <w:color w:val="3D3E3E"/>
          <w:sz w:val="19"/>
        </w:rPr>
        <w:t xml:space="preserve"> GS (continuity) vs Barclays (Anwar losing ground) — both shown; Barclays keeps the Sep BNM hike.</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RBNZ path:</w:t>
      </w:r>
      <w:r>
        <w:rPr>
          <w:rFonts w:ascii="Public Sans" w:hAnsi="Public Sans"/>
          <w:b w:val="0"/>
          <w:i w:val="0"/>
          <w:color w:val="3D3E3E"/>
          <w:sz w:val="19"/>
        </w:rPr>
        <w:t xml:space="preserve"> JPM (75bp more) vs market/ANZ (~2 hikes) —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UK:</w:t>
      </w:r>
      <w:r>
        <w:rPr>
          <w:rFonts w:ascii="Public Sans" w:hAnsi="Public Sans"/>
          <w:b w:val="0"/>
          <w:i w:val="0"/>
          <w:color w:val="3D3E3E"/>
          <w:sz w:val="19"/>
        </w:rPr>
        <w:t xml:space="preserve"> StanC (hold-2026/cuts-H1-27) vs the market's priced BoE hikes (+29bp by Dec) — both shown.</w:t>
      </w:r>
    </w:p>
    <w:p>
      <w:pPr>
        <w:spacing w:after="80" w:line="283" w:lineRule="auto"/>
      </w:pPr>
      <w:r>
        <w:rPr>
          <w:rFonts w:ascii="Public Sans" w:hAnsi="Public Sans"/>
          <w:b/>
          <w:i w:val="0"/>
          <w:color w:val="3D3E3E"/>
          <w:sz w:val="19"/>
        </w:rPr>
        <w:t>Reconciled vs prior day (07-10):</w:t>
      </w:r>
      <w:r>
        <w:rPr>
          <w:rFonts w:ascii="Public Sans" w:hAnsi="Public Sans"/>
          <w:b w:val="0"/>
          <w:i w:val="0"/>
          <w:color w:val="3D3E3E"/>
          <w:sz w:val="19"/>
        </w:rPr>
        <w:t xml:space="preserve"> (1) </w:t>
      </w:r>
      <w:r>
        <w:rPr>
          <w:rFonts w:ascii="Public Sans" w:hAnsi="Public Sans"/>
          <w:b/>
          <w:i w:val="0"/>
          <w:color w:val="3D3E3E"/>
          <w:sz w:val="19"/>
        </w:rPr>
        <w:t>market direction FLIPPED</w:t>
      </w:r>
      <w:r>
        <w:rPr>
          <w:rFonts w:ascii="Public Sans" w:hAnsi="Public Sans"/>
          <w:b w:val="0"/>
          <w:i w:val="0"/>
          <w:color w:val="3D3E3E"/>
          <w:sz w:val="19"/>
        </w:rPr>
        <w:t xml:space="preserve"> — the front end/belly backed up (SOFR 2y +2.1bp etc.) and the USD firmed against the whole universe, reversing the 07-10 richer-curve/softer-USD spine; (2) the CPI </w:t>
      </w:r>
      <w:r>
        <w:rPr>
          <w:rFonts w:ascii="Public Sans" w:hAnsi="Public Sans"/>
          <w:b w:val="0"/>
          <w:i/>
          <w:color w:val="3D3E3E"/>
          <w:sz w:val="19"/>
        </w:rPr>
        <w:t>lean</w:t>
      </w:r>
      <w:r>
        <w:rPr>
          <w:rFonts w:ascii="Public Sans" w:hAnsi="Public Sans"/>
          <w:b w:val="0"/>
          <w:i w:val="0"/>
          <w:color w:val="3D3E3E"/>
          <w:sz w:val="19"/>
        </w:rPr>
        <w:t xml:space="preserve"> flipped — the market now prices a hiking Fed into the print, with the stickiness camp (Barclays core PCE 3.3%, BNP 0.37%, GS USD-bull, DB) gaining voice; (3) NEW Johor state election (11-Jul) added, read two ways (GS/Barclays); (4) India gains three fresh reads (Citi long-INR, UBS payer, GS equity/repo-5.75); (5) Canada gains GS's dovish third view; (6) Australia gains GS's quantified wealth-effect drag; (7) China deepened (GS no-cut, UBS Q2-2%-saar, DB RMB ecosystem); (8) equities + commodities refreshed one day to 07-10.</w:t>
      </w:r>
    </w:p>
    <w:p>
      <w:pPr>
        <w:spacing w:after="80" w:line="283" w:lineRule="auto"/>
      </w:pPr>
      <w:r>
        <w:rPr>
          <w:rFonts w:ascii="Public Sans" w:hAnsi="Public Sans"/>
          <w:b/>
          <w:i w:val="0"/>
          <w:color w:val="3D3E3E"/>
          <w:sz w:val="19"/>
        </w:rPr>
        <w:t>Not loaded / pre-print (flagged):</w:t>
      </w:r>
      <w:r>
        <w:rPr>
          <w:rFonts w:ascii="Public Sans" w:hAnsi="Public Sans"/>
          <w:b w:val="0"/>
          <w:i w:val="0"/>
          <w:color w:val="3D3E3E"/>
          <w:sz w:val="19"/>
        </w:rPr>
        <w:t xml:space="preserve"> Canada June jobs / SG advance GDP / JP PPI / </w:t>
      </w:r>
      <w:r>
        <w:rPr>
          <w:rFonts w:ascii="Public Sans" w:hAnsi="Public Sans"/>
          <w:b/>
          <w:i w:val="0"/>
          <w:color w:val="3D3E3E"/>
          <w:sz w:val="19"/>
        </w:rPr>
        <w:t>India June CPI (today)</w:t>
      </w:r>
      <w:r>
        <w:rPr>
          <w:rFonts w:ascii="Public Sans" w:hAnsi="Public Sans"/>
          <w:b w:val="0"/>
          <w:i w:val="0"/>
          <w:color w:val="3D3E3E"/>
          <w:sz w:val="19"/>
        </w:rPr>
        <w:t xml:space="preserve"> — all pre-print (null) in cb_events; figures carried from flow (India 4.2%, Canada U-rate 6.5%), flagged VIEW. Equities + commodities refreshed only to 07-10 (equity column one session behind the Monday FX/rates). Brent + US 10yr cash from DB (sell-side). DXY not loaded (agent proxy via crosses). fact_bond_yield EMPTY. Credit spreads not in IMDR (PH RPGB carry, Citi option strikes — sell-side, labelled). JP/CA/UK econ.fact_indicator thin/absent. </w:t>
      </w:r>
      <w:r>
        <w:rPr>
          <w:rFonts w:ascii="Public Sans" w:hAnsi="Public Sans"/>
          <w:b/>
          <w:i w:val="0"/>
          <w:color w:val="3D3E3E"/>
          <w:sz w:val="19"/>
        </w:rPr>
        <w:t>No BBG chat transcript exists for 2026-07-13.</w:t>
      </w:r>
    </w:p>
    <w:p>
      <w:pPr>
        <w:spacing w:after="80" w:line="283" w:lineRule="auto"/>
      </w:pPr>
      <w:r>
        <w:rPr>
          <w:rFonts w:ascii="Public Sans" w:hAnsi="Public Sans"/>
          <w:b/>
          <w:i w:val="0"/>
          <w:color w:val="3D3E3E"/>
          <w:sz w:val="19"/>
        </w:rPr>
        <w:t>Differentiated-view count (§9.D):</w:t>
      </w:r>
      <w:r>
        <w:rPr>
          <w:rFonts w:ascii="Public Sans" w:hAnsi="Public Sans"/>
          <w:b w:val="0"/>
          <w:i w:val="0"/>
          <w:color w:val="3D3E3E"/>
          <w:sz w:val="19"/>
        </w:rPr>
        <w:t xml:space="preserve"> US 3 · JP 2 · CN 2 · AU 2 · NZ 2 · MY 2 · IN 3 · CA 2 · SG 1 · HK 1 · ID 1 · PH 1 · TH 1 · UK 1 = </w:t>
      </w:r>
      <w:r>
        <w:rPr>
          <w:rFonts w:ascii="Public Sans" w:hAnsi="Public Sans"/>
          <w:b/>
          <w:i w:val="0"/>
          <w:color w:val="3D3E3E"/>
          <w:sz w:val="19"/>
        </w:rPr>
        <w:t>24 differentiated rows across 13 countries</w:t>
      </w:r>
      <w:r>
        <w:rPr>
          <w:rFonts w:ascii="Public Sans" w:hAnsi="Public Sans"/>
          <w:b w:val="0"/>
          <w:i w:val="0"/>
          <w:color w:val="3D3E3E"/>
          <w:sz w:val="19"/>
        </w:rPr>
        <w:t xml:space="preserve"> (every covered country carries at least one).</w:t>
      </w:r>
    </w:p>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48"/>
        <w:gridCol w:w="8208"/>
      </w:tblGrid>
      <w:tr>
        <w:tc>
          <w:tcPr>
            <w:tcW w:type="dxa" w:w="2448"/>
            <w:shd w:val="clear" w:color="auto" w:fill="001830"/>
            <w:tcMar>
              <w:top w:w="150" w:type="dxa"/>
              <w:bottom w:w="150" w:type="dxa"/>
              <w:start w:w="170" w:type="dxa"/>
              <w:end w:w="170" w:type="dxa"/>
              <w:left w:w="170" w:type="dxa"/>
              <w:right w:w="170" w:type="dxa"/>
            </w:tcMar>
            <w:vAlign w:val="center"/>
          </w:tcPr>
          <w:p>
            <w:r>
              <w:drawing>
                <wp:inline xmlns:a="http://schemas.openxmlformats.org/drawingml/2006/main" xmlns:pic="http://schemas.openxmlformats.org/drawingml/2006/picture">
                  <wp:extent cx="1280160" cy="428712"/>
                  <wp:docPr id="2" name="Picture 2"/>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280160" cy="428712"/>
                          </a:xfrm>
                          <a:prstGeom prst="rect"/>
                        </pic:spPr>
                      </pic:pic>
                    </a:graphicData>
                  </a:graphic>
                </wp:inline>
              </w:drawing>
            </w:r>
          </w:p>
        </w:tc>
        <w:tc>
          <w:tcPr>
            <w:tcW w:type="dxa" w:w="8208"/>
            <w:shd w:val="clear" w:color="auto" w:fill="001830"/>
            <w:tcMar>
              <w:top w:w="150" w:type="dxa"/>
              <w:bottom w:w="150" w:type="dxa"/>
              <w:start w:w="170" w:type="dxa"/>
              <w:end w:w="170" w:type="dxa"/>
              <w:left w:w="170" w:type="dxa"/>
              <w:right w:w="170" w:type="dxa"/>
            </w:tcMar>
            <w:vAlign w:val="center"/>
          </w:tcPr>
          <w:p>
            <w:pPr>
              <w:jc w:val="right"/>
            </w:pPr>
            <w:r>
              <w:rPr>
                <w:rFonts w:ascii="Public Sans" w:hAnsi="Public Sans"/>
                <w:b/>
                <w:color w:val="FFFFFF"/>
                <w:sz w:val="18"/>
              </w:rPr>
              <w:t>RV Capital  ·  Daily Macro Research Digest (Spider · demo)</w:t>
            </w:r>
          </w:p>
          <w:p>
            <w:pPr>
              <w:spacing w:before="40"/>
              <w:jc w:val="right"/>
            </w:pPr>
            <w:r>
              <w:rPr>
                <w:rFonts w:ascii="Public Sans" w:hAnsi="Public Sans"/>
                <w:color w:val="85A2BE"/>
                <w:sz w:val="15"/>
              </w:rPr>
              <w:t>Opinion &amp; trade-extraction tool, not a clipping service. Internal use only — not investment advice.</w:t>
            </w:r>
          </w:p>
        </w:tc>
      </w:tr>
    </w:tbl>
    <w:sectPr w:rsidR="00FC693F" w:rsidRPr="0006063C" w:rsidSect="00034616">
      <w:footerReference w:type="default" r:id="rId10"/>
      <w:pgSz w:w="12240" w:h="15840"/>
      <w:pgMar w:top="792"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color w:val="7A7C7C"/>
        <w:sz w:val="15"/>
      </w:rPr>
      <w:t xml:space="preserve">RV Capital  ·  Daily Macro Research Digest (Spider · demo)  ·  page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