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736"/>
        <w:gridCol w:w="7920"/>
      </w:tblGrid>
      <w:tr>
        <w:tc>
          <w:tcPr>
            <w:tcW w:type="dxa" w:w="2736"/>
            <w:shd w:val="clear" w:color="auto" w:fill="004527"/>
            <w:tcMar>
              <w:top w:w="140" w:type="dxa"/>
              <w:bottom w:w="140" w:type="dxa"/>
              <w:start w:w="170" w:type="dxa"/>
              <w:end w:w="170" w:type="dxa"/>
              <w:left w:w="170" w:type="dxa"/>
              <w:right w:w="170" w:type="dxa"/>
            </w:tcMar>
            <w:vAlign w:val="center"/>
          </w:tcPr>
          <w:p>
            <w:r>
              <w:drawing>
                <wp:inline xmlns:a="http://schemas.openxmlformats.org/drawingml/2006/main" xmlns:pic="http://schemas.openxmlformats.org/drawingml/2006/picture">
                  <wp:extent cx="1417320" cy="474645"/>
                  <wp:docPr id="1" name="Picture 1"/>
                  <wp:cNvGraphicFramePr>
                    <a:graphicFrameLocks noChangeAspect="1"/>
                  </wp:cNvGraphicFramePr>
                  <a:graphic>
                    <a:graphicData uri="http://schemas.openxmlformats.org/drawingml/2006/picture">
                      <pic:pic>
                        <pic:nvPicPr>
                          <pic:cNvPr id="0" name="rv-logo-negative.png"/>
                          <pic:cNvPicPr/>
                        </pic:nvPicPr>
                        <pic:blipFill>
                          <a:blip r:embed="rId9"/>
                          <a:stretch>
                            <a:fillRect/>
                          </a:stretch>
                        </pic:blipFill>
                        <pic:spPr>
                          <a:xfrm>
                            <a:off x="0" y="0"/>
                            <a:ext cx="1417320" cy="474645"/>
                          </a:xfrm>
                          <a:prstGeom prst="rect"/>
                        </pic:spPr>
                      </pic:pic>
                    </a:graphicData>
                  </a:graphic>
                </wp:inline>
              </w:drawing>
            </w:r>
          </w:p>
        </w:tc>
        <w:tc>
          <w:tcPr>
            <w:tcW w:type="dxa" w:w="7920"/>
            <w:shd w:val="clear" w:color="auto" w:fill="004527"/>
            <w:tcMar>
              <w:top w:w="140" w:type="dxa"/>
              <w:bottom w:w="140" w:type="dxa"/>
              <w:start w:w="170" w:type="dxa"/>
              <w:end w:w="170" w:type="dxa"/>
              <w:left w:w="170" w:type="dxa"/>
              <w:right w:w="170" w:type="dxa"/>
            </w:tcMar>
            <w:vAlign w:val="center"/>
          </w:tcPr>
          <w:p>
            <w:pPr>
              <w:spacing w:after="0"/>
              <w:jc w:val="right"/>
            </w:pPr>
            <w:r>
              <w:rPr>
                <w:rFonts w:ascii="Georgia" w:hAnsi="Georgia"/>
                <w:b/>
                <w:color w:val="FFFFFF"/>
                <w:sz w:val="38"/>
              </w:rPr>
              <w:t>RV CAPITAL · RATES &amp; FX DESK — DAILY MACRO PULSE</w:t>
            </w:r>
          </w:p>
          <w:p>
            <w:pPr>
              <w:spacing w:before="40" w:after="0"/>
              <w:jc w:val="right"/>
            </w:pPr>
            <w:r>
              <w:rPr>
                <w:rFonts w:ascii="Public Sans" w:hAnsi="Public Sans"/>
                <w:color w:val="B2D0B9"/>
                <w:sz w:val="20"/>
              </w:rPr>
              <w:t>Rates / FX desk  ·  2026-07-15  ·  Daily</w:t>
            </w:r>
          </w:p>
        </w:tc>
      </w:tr>
    </w:tbl>
    <w:p>
      <w:pPr>
        <w:spacing w:before="120" w:after="160"/>
        <w:pBdr>
          <w:bottom w:val="single" w:sz="12" w:space="2" w:color="004527"/>
        </w:pBdr>
      </w:pPr>
    </w:p>
    <w:p>
      <w:pPr>
        <w:spacing w:before="240" w:after="100"/>
        <w:keepNext/>
        <w:pBdr>
          <w:bottom w:val="single" w:sz="6" w:space="2" w:color="D9DCD8"/>
        </w:pBdr>
      </w:pPr>
      <w:r>
        <w:rPr>
          <w:rFonts w:ascii="Georgia" w:hAnsi="Georgia"/>
          <w:b/>
          <w:color w:val="004527"/>
          <w:sz w:val="30"/>
        </w:rPr>
        <w:t>The soft print resolves the hike scare: June core CPI lands at 0.0% m/m / 2.6% y/y, well under the hot number Waller needed, so the dollar sags and front-ends rally — while a mixed China Q2 GDP and the Bank of Canada carry the day in Asia and North America</w:t>
      </w:r>
    </w:p>
    <w:p>
      <w:pPr>
        <w:spacing w:before="200" w:after="60"/>
        <w:keepNext/>
        <w:pBdr>
          <w:bottom w:val="single" w:sz="4" w:space="2" w:color="E0E9E4"/>
        </w:pBdr>
      </w:pPr>
      <w:r>
        <w:rPr>
          <w:rFonts w:ascii="Georgia" w:hAnsi="Georgia"/>
          <w:b/>
          <w:color w:val="4D806A"/>
          <w:sz w:val="23"/>
        </w:rPr>
        <w:t>The adjudicator resolved dovish. June core CPI printed **flat on the month (0.0% vs 0.2% survey)** and decelerated to **2.6% y/y (from 2.9%)**; headline fell **−0.4% m/m** on a 5.7% energy drop. That is exactly the "surprisingly soft" outcome the hawks did not get: US front-end rallied (SOFR 2y −8.8bp, bull steepener), the dollar broadly weakened (NZD +0.85%, AUD +0.82%, CAD +0.64%, KRW +0.55%), gold +1.3%, Nasdaq +1.1%, VIX back to 16.5. The houses read the Fed as bought time to stay on hold. In Asia, **China's Q2 GDP** paints a mixed, stabilising-on-stimulus picture — headline 4.3% y/y misses (the weakest sequential quarter since 2022) but June industrial production (5.3%) and retail sales (+1.0%) beat — while the **Bank of Canada** decides later today (survey hold 2.25% + MPR + press conference). Singapore's advance Q2 GDP printed strong at 5.7%, China's June trade set a record surplus, and India's CPI/WPI ran hot into a widening trade deficit — the one universe currency that fell.</w:t>
      </w:r>
    </w:p>
    <w:p>
      <w:pPr>
        <w:spacing w:after="80" w:line="283" w:lineRule="auto"/>
      </w:pPr>
      <w:r>
        <w:rPr>
          <w:rFonts w:ascii="Public Sans" w:hAnsi="Public Sans"/>
          <w:b/>
          <w:i w:val="0"/>
          <w:color w:val="3D3E3E"/>
          <w:sz w:val="19"/>
        </w:rPr>
        <w:t>Window:</w:t>
      </w:r>
      <w:r>
        <w:rPr>
          <w:rFonts w:ascii="Public Sans" w:hAnsi="Public Sans"/>
          <w:b w:val="0"/>
          <w:i w:val="0"/>
          <w:color w:val="3D3E3E"/>
          <w:sz w:val="19"/>
        </w:rPr>
        <w:t xml:space="preserve"> flow 2026-07-14 → 2026-07-15 · Tuesday US-session close (post-CPI) + Wednesday Asian open · </w:t>
      </w:r>
      <w:r>
        <w:rPr>
          <w:rFonts w:ascii="Public Sans" w:hAnsi="Public Sans"/>
          <w:b/>
          <w:i w:val="0"/>
          <w:color w:val="3D3E3E"/>
          <w:sz w:val="19"/>
        </w:rPr>
        <w:t>Compiled</w:t>
      </w:r>
      <w:r>
        <w:rPr>
          <w:rFonts w:ascii="Public Sans" w:hAnsi="Public Sans"/>
          <w:b w:val="0"/>
          <w:i w:val="0"/>
          <w:color w:val="3D3E3E"/>
          <w:sz w:val="19"/>
        </w:rPr>
        <w:t xml:space="preserve"> 15 Jul 2026 (Wednesday) · </w:t>
      </w:r>
      <w:r>
        <w:rPr>
          <w:rFonts w:ascii="Public Sans" w:hAnsi="Public Sans"/>
          <w:b/>
          <w:i w:val="0"/>
          <w:color w:val="3D3E3E"/>
          <w:sz w:val="19"/>
        </w:rPr>
        <w:t>Edition:</w:t>
      </w:r>
      <w:r>
        <w:rPr>
          <w:rFonts w:ascii="Public Sans" w:hAnsi="Public Sans"/>
          <w:b w:val="0"/>
          <w:i w:val="0"/>
          <w:color w:val="3D3E3E"/>
          <w:sz w:val="19"/>
        </w:rPr>
        <w:t xml:space="preserve"> Daily</w:t>
      </w:r>
    </w:p>
    <w:p>
      <w:pPr>
        <w:spacing w:after="80" w:line="283" w:lineRule="auto"/>
      </w:pPr>
      <w:r>
        <w:rPr>
          <w:rFonts w:ascii="Public Sans" w:hAnsi="Public Sans"/>
          <w:b/>
          <w:i w:val="0"/>
          <w:color w:val="3D3E3E"/>
          <w:sz w:val="19"/>
        </w:rPr>
        <w:t>Universe:</w:t>
      </w:r>
      <w:r>
        <w:rPr>
          <w:rFonts w:ascii="Public Sans" w:hAnsi="Public Sans"/>
          <w:b w:val="0"/>
          <w:i w:val="0"/>
          <w:color w:val="3D3E3E"/>
          <w:sz w:val="19"/>
        </w:rPr>
        <w:t xml:space="preserve"> AU · NZ · JP · IN · TH · ID · MY · SG · HK · PH · US · CA · UK</w:t>
      </w:r>
    </w:p>
    <w:p>
      <w:pPr>
        <w:spacing w:after="80" w:line="283" w:lineRule="auto"/>
      </w:pPr>
      <w:r>
        <w:rPr>
          <w:rFonts w:ascii="Public Sans" w:hAnsi="Public Sans"/>
          <w:b w:val="0"/>
          <w:i w:val="0"/>
          <w:color w:val="3D3E3E"/>
          <w:sz w:val="19"/>
        </w:rPr>
        <w:t>&gt; FX/rates PM lens. Number-first, low-opinion, neutral — the daily does not judge. Sell-side is treated as motivated until the numbers say otherwise. Trades are surfaced with assumption + falsifier — never rated. Every table row is explained in the prose beneath it.</w:t>
      </w:r>
    </w:p>
    <w:p>
      <w:pPr>
        <w:spacing w:after="80" w:line="283" w:lineRule="auto"/>
      </w:pPr>
      <w:r>
        <w:rPr>
          <w:rFonts w:ascii="Public Sans" w:hAnsi="Public Sans"/>
          <w:b w:val="0"/>
          <w:i w:val="0"/>
          <w:color w:val="3D3E3E"/>
          <w:sz w:val="19"/>
        </w:rPr>
        <w:t>&gt;</w:t>
      </w:r>
    </w:p>
    <w:p>
      <w:pPr>
        <w:spacing w:after="80" w:line="283" w:lineRule="auto"/>
      </w:pPr>
      <w:r>
        <w:rPr>
          <w:rFonts w:ascii="Public Sans" w:hAnsi="Public Sans"/>
          <w:b w:val="0"/>
          <w:i w:val="0"/>
          <w:color w:val="3D3E3E"/>
          <w:sz w:val="19"/>
        </w:rPr>
        <w:t xml:space="preserve">&gt; </w:t>
      </w:r>
      <w:r>
        <w:rPr>
          <w:rFonts w:ascii="Public Sans" w:hAnsi="Public Sans"/>
          <w:b/>
          <w:i w:val="0"/>
          <w:color w:val="3D3E3E"/>
          <w:sz w:val="19"/>
        </w:rPr>
        <w:t>Grounding legend:</w:t>
      </w:r>
      <w:r>
        <w:rPr>
          <w:rFonts w:ascii="Public Sans" w:hAnsi="Public Sans"/>
          <w:b w:val="0"/>
          <w:i w:val="0"/>
          <w:color w:val="3D3E3E"/>
          <w:sz w:val="19"/>
        </w:rPr>
        <w:t xml:space="preserve"> FACT = printed/decision (calendar.cb_events, econ.fact_indicator) · DEPTH = component series (econ.fact_indicator) · VIEW = sell-side interpretation (research.fact_chunk + Qdrant) · PRICING = market-implied · SYN = synthesis. Where a marquee number has not booked to the DB, it is labelled </w:t>
      </w:r>
      <w:r>
        <w:rPr>
          <w:rFonts w:ascii="Public Sans" w:hAnsi="Public Sans"/>
          <w:b/>
          <w:i w:val="0"/>
          <w:color w:val="3D3E3E"/>
          <w:sz w:val="19"/>
        </w:rPr>
        <w:t>per flow</w:t>
      </w:r>
      <w:r>
        <w:rPr>
          <w:rFonts w:ascii="Public Sans" w:hAnsi="Public Sans"/>
          <w:b w:val="0"/>
          <w:i w:val="0"/>
          <w:color w:val="3D3E3E"/>
          <w:sz w:val="19"/>
        </w:rPr>
        <w:t xml:space="preserve"> (sell-side) or </w:t>
      </w:r>
      <w:r>
        <w:rPr>
          <w:rFonts w:ascii="Public Sans" w:hAnsi="Public Sans"/>
          <w:b/>
          <w:i w:val="0"/>
          <w:color w:val="3D3E3E"/>
          <w:sz w:val="19"/>
        </w:rPr>
        <w:t>official release</w:t>
      </w:r>
      <w:r>
        <w:rPr>
          <w:rFonts w:ascii="Public Sans" w:hAnsi="Public Sans"/>
          <w:b w:val="0"/>
          <w:i w:val="0"/>
          <w:color w:val="3D3E3E"/>
          <w:sz w:val="19"/>
        </w:rPr>
        <w:t>.</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Hero stat band</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3552"/>
        <w:gridCol w:w="3552"/>
        <w:gridCol w:w="3552"/>
      </w:tblGrid>
      <w:tr>
        <w:trPr>
          <w:tblHeader w:val="true"/>
        </w:trPr>
        <w:tc>
          <w:tcPr>
            <w:tcW w:type="dxa" w:w="262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Number</w:t>
            </w:r>
          </w:p>
        </w:tc>
        <w:tc>
          <w:tcPr>
            <w:tcW w:type="dxa" w:w="401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it is</w:t>
            </w:r>
          </w:p>
        </w:tc>
        <w:tc>
          <w:tcPr>
            <w:tcW w:type="dxa" w:w="401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Memory / context</w:t>
            </w:r>
          </w:p>
        </w:tc>
      </w:tr>
      <w:tr>
        <w:tc>
          <w:tcPr>
            <w:tcW w:type="dxa" w:w="262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0.0% m/m · 2.6% y/y</w:t>
            </w:r>
          </w:p>
        </w:tc>
        <w:tc>
          <w:tcPr>
            <w:tcW w:type="dxa" w:w="401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US June </w:t>
            </w:r>
            <w:r>
              <w:rPr>
                <w:rFonts w:ascii="Public Sans" w:hAnsi="Public Sans"/>
                <w:b/>
                <w:i w:val="0"/>
                <w:color w:val="3D3E3E"/>
                <w:sz w:val="16"/>
              </w:rPr>
              <w:t>core</w:t>
            </w:r>
            <w:r>
              <w:rPr>
                <w:rFonts w:ascii="Public Sans" w:hAnsi="Public Sans"/>
                <w:b w:val="0"/>
                <w:i w:val="0"/>
                <w:color w:val="3D3E3E"/>
                <w:sz w:val="16"/>
              </w:rPr>
              <w:t xml:space="preserve"> CPI — PRINTED (cb_events, both lanes)</w:t>
            </w:r>
          </w:p>
        </w:tc>
        <w:tc>
          <w:tcPr>
            <w:tcW w:type="dxa" w:w="401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The marquee resolved SOFT. Core fell −0.02% m/m (survey +0.2%, prior +0.2%); YoY dipped from 2.9% to 2.6% (survey 2.8%). GS/JPM had ~0.2%; the print undershot everyone. Broad-based declines — auto insurance −2.0%, wireless −3.1%, hotels −2.8% (World Cup payback). </w:t>
            </w:r>
            <w:r>
              <w:rPr>
                <w:rFonts w:ascii="Public Sans" w:hAnsi="Public Sans"/>
                <w:b/>
                <w:i w:val="0"/>
                <w:color w:val="3D3E3E"/>
                <w:sz w:val="16"/>
              </w:rPr>
              <w:t>This is the hot-core reading Waller warned would put a July hike on the table — and it did not come.</w:t>
            </w:r>
            <w:r>
              <w:rPr>
                <w:rFonts w:ascii="Public Sans" w:hAnsi="Public Sans"/>
                <w:b w:val="0"/>
                <w:i w:val="0"/>
                <w:color w:val="3D3E3E"/>
                <w:sz w:val="16"/>
              </w:rPr>
              <w:t xml:space="preserve"> Confirmed on both the TE (60904/60905) and BQL (41362 core YoY 2.6, 41360 CPI YoY 3.5; core-CPI index SA 336.065 vs 336.121) lanes.</w:t>
            </w:r>
          </w:p>
        </w:tc>
      </w:tr>
      <w:tr>
        <w:tc>
          <w:tcPr>
            <w:tcW w:type="dxa" w:w="262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−0.4% m/m · 3.5% y/y</w:t>
            </w:r>
          </w:p>
        </w:tc>
        <w:tc>
          <w:tcPr>
            <w:tcW w:type="dxa" w:w="401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US June </w:t>
            </w:r>
            <w:r>
              <w:rPr>
                <w:rFonts w:ascii="Public Sans" w:hAnsi="Public Sans"/>
                <w:b/>
                <w:i w:val="0"/>
                <w:color w:val="3D3E3E"/>
                <w:sz w:val="16"/>
              </w:rPr>
              <w:t>headline</w:t>
            </w:r>
            <w:r>
              <w:rPr>
                <w:rFonts w:ascii="Public Sans" w:hAnsi="Public Sans"/>
                <w:b w:val="0"/>
                <w:i w:val="0"/>
                <w:color w:val="3D3E3E"/>
                <w:sz w:val="16"/>
              </w:rPr>
              <w:t xml:space="preserve"> CPI — PRINTED (cb_events 60906/60907; index 333.95 vs 334.70 survey, 60908)</w:t>
            </w:r>
          </w:p>
        </w:tc>
        <w:tc>
          <w:tcPr>
            <w:tcW w:type="dxa" w:w="401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Headline −0.42% m/m (survey −0.1%), YoY 4.2%→3.5%, on a 5.7% energy drop (motor fuel −9.6% as retail gas fell from its peak). GS estimates core PCE at just </w:t>
            </w:r>
            <w:r>
              <w:rPr>
                <w:rFonts w:ascii="Public Sans" w:hAnsi="Public Sans"/>
                <w:b/>
                <w:i w:val="0"/>
                <w:color w:val="3D3E3E"/>
                <w:sz w:val="16"/>
              </w:rPr>
              <w:t>0.18% m/m</w:t>
            </w:r>
            <w:r>
              <w:rPr>
                <w:rFonts w:ascii="Public Sans" w:hAnsi="Public Sans"/>
                <w:b w:val="0"/>
                <w:i w:val="0"/>
                <w:color w:val="3D3E3E"/>
                <w:sz w:val="16"/>
              </w:rPr>
              <w:t>; JPM 0.168%. Every house calls it disinflationary and "buys the Fed time" (Barclays 18267).</w:t>
            </w:r>
          </w:p>
        </w:tc>
      </w:tr>
      <w:tr>
        <w:tc>
          <w:tcPr>
            <w:tcW w:type="dxa" w:w="262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SOFR 2y −8.8bp</w:t>
            </w:r>
          </w:p>
        </w:tc>
        <w:tc>
          <w:tcPr>
            <w:tcW w:type="dxa" w:w="401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 2y OIS DoD, 07-13→07-14 (rates.fact_observation, par)</w:t>
            </w:r>
          </w:p>
        </w:tc>
        <w:tc>
          <w:tcPr>
            <w:tcW w:type="dxa" w:w="401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Front-end rallied hard on the soft print — a bull steepener (10y −2.6bp). The ~50% July-hike odds and the ~10-11bp priced into 29-Jul deflated. Citi (18317): "one print does not constitute momentum, but softer-than-consensus June data can allow the Fed to remain on hold for the summer."</w:t>
            </w:r>
          </w:p>
        </w:tc>
      </w:tr>
      <w:tr>
        <w:tc>
          <w:tcPr>
            <w:tcW w:type="dxa" w:w="262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NZD +0.85% · AUD +0.82% · CAD +0.64%</w:t>
            </w:r>
          </w:p>
        </w:tc>
        <w:tc>
          <w:tcPr>
            <w:tcW w:type="dxa" w:w="401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FX vs USD DoD, 07-13→07-14 (FX.fact_fx_rate, last-tick)</w:t>
            </w:r>
          </w:p>
        </w:tc>
        <w:tc>
          <w:tcPr>
            <w:tcW w:type="dxa" w:w="401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Broad dollar weakness on the soft CPI — KRW +0.55%, EUR +0.36%, GBP +0.35%, SGD +0.28%, IDR +0.27%. Citi (18316) flags DXY recovered "a majority" of its intraday losses by the US close, so the fade is partial. </w:t>
            </w:r>
            <w:r>
              <w:rPr>
                <w:rFonts w:ascii="Public Sans" w:hAnsi="Public Sans"/>
                <w:b/>
                <w:i w:val="0"/>
                <w:color w:val="3D3E3E"/>
                <w:sz w:val="16"/>
              </w:rPr>
              <w:t>INR −0.45% is the sole universe FX lower</w:t>
            </w:r>
            <w:r>
              <w:rPr>
                <w:rFonts w:ascii="Public Sans" w:hAnsi="Public Sans"/>
                <w:b w:val="0"/>
                <w:i w:val="0"/>
                <w:color w:val="3D3E3E"/>
                <w:sz w:val="16"/>
              </w:rPr>
              <w:t xml:space="preserve"> — hot India CPI/WPI + oil + a wider trade deficit.</w:t>
            </w:r>
          </w:p>
        </w:tc>
      </w:tr>
      <w:tr>
        <w:tc>
          <w:tcPr>
            <w:tcW w:type="dxa" w:w="262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$125.6bn record surplus</w:t>
            </w:r>
          </w:p>
        </w:tc>
        <w:tc>
          <w:tcPr>
            <w:tcW w:type="dxa" w:w="401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China June trade — PRINTED (cb_events 60864; exports +27% yoy, imports +36% yoy)</w:t>
            </w:r>
          </w:p>
        </w:tc>
        <w:tc>
          <w:tcPr>
            <w:tcW w:type="dxa" w:w="401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new record, well above consensus (surplus survey $121bn; exports survey +18.2%). AI/semis (semiconductor export value +121.9% yoy, but volume −0.5% — price, not units) and autos (+69.6%) led. GS (18092): price-driven. The export machine is the growth engine offsetting a soft headline Q2 GDP (4.3%).</w:t>
            </w:r>
          </w:p>
        </w:tc>
      </w:tr>
      <w:tr>
        <w:tc>
          <w:tcPr>
            <w:tcW w:type="dxa" w:w="262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5.7% y/y</w:t>
            </w:r>
          </w:p>
        </w:tc>
        <w:tc>
          <w:tcPr>
            <w:tcW w:type="dxa" w:w="401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Singapore advance Q2 GDP — PRINTED (cb_events 60857; qoq 1.1%)</w:t>
            </w:r>
          </w:p>
        </w:tc>
        <w:tc>
          <w:tcPr>
            <w:tcW w:type="dxa" w:w="401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Beat survey 5.5%; 1Q revised UP to 6.3% (from 6.0%). JPM (18103) "unbowed, unbent, unbroken" — manufacturing rebounded 23.1% ar; keeps FY at an above-consensus 4.6%. Citi (18125) reiterates its July S$NEER steepening call on above-trend growth. The MAS MPS is the </w:t>
            </w:r>
            <w:r>
              <w:rPr>
                <w:rFonts w:ascii="Public Sans" w:hAnsi="Public Sans"/>
                <w:b/>
                <w:i w:val="0"/>
                <w:color w:val="3D3E3E"/>
                <w:sz w:val="16"/>
              </w:rPr>
              <w:t>late-July (24–31 Jul) window — not today.</w:t>
            </w:r>
          </w:p>
        </w:tc>
      </w:tr>
      <w:tr>
        <w:tc>
          <w:tcPr>
            <w:tcW w:type="dxa" w:w="262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Nasdaq +1.1% · gold +1.3% · VIX 16.5</w:t>
            </w:r>
          </w:p>
        </w:tc>
        <w:tc>
          <w:tcPr>
            <w:tcW w:type="dxa" w:w="401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 equity / gold DoD (07-14, fact_index_level/fact_spot); VIX (07-14, fact_vix)</w:t>
            </w:r>
          </w:p>
        </w:tc>
        <w:tc>
          <w:tcPr>
            <w:tcW w:type="dxa" w:w="401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Risk-on relief on the soft print: S&amp;P 500 +0.38%, Nasdaq 100 +1.10%, gold 4,055 (+1.3%), silver +1.9%; VIX −0.66 to 16.5, VVIX −1.75 to 93.5. Strong bank earnings (JPM/BAC) added to the tape. Asia rebounded from Monday's rout (KOSPI 200 +1.25%, Nikkei +0.75%).</w:t>
            </w:r>
          </w:p>
        </w:tc>
      </w:tr>
      <w:tr>
        <w:tc>
          <w:tcPr>
            <w:tcW w:type="dxa" w:w="262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GDP 4.3% · IP 5.3% · retail +1.0%</w:t>
            </w:r>
          </w:p>
        </w:tc>
        <w:tc>
          <w:tcPr>
            <w:tcW w:type="dxa" w:w="401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China Q2 GDP + June activity — PRINTED (cb_events 60929/60930/60931)</w:t>
            </w:r>
          </w:p>
        </w:tc>
        <w:tc>
          <w:tcPr>
            <w:tcW w:type="dxa" w:w="401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A mixed, stabilising-on-stimulus print. Headline GDP 4.3% y/y </w:t>
            </w:r>
            <w:r>
              <w:rPr>
                <w:rFonts w:ascii="Public Sans" w:hAnsi="Public Sans"/>
                <w:b/>
                <w:i w:val="0"/>
                <w:color w:val="3D3E3E"/>
                <w:sz w:val="16"/>
              </w:rPr>
              <w:t>missed</w:t>
            </w:r>
            <w:r>
              <w:rPr>
                <w:rFonts w:ascii="Public Sans" w:hAnsi="Public Sans"/>
                <w:b w:val="0"/>
                <w:i w:val="0"/>
                <w:color w:val="3D3E3E"/>
                <w:sz w:val="16"/>
              </w:rPr>
              <w:t xml:space="preserve"> (survey 4.5% / prior 5.0%) — the weakest sequential quarter since 2022 (qoq 0.9%, in line with survey) — and fixed-asset investment stayed weak (−5.7% ytd). But June activity </w:t>
            </w:r>
            <w:r>
              <w:rPr>
                <w:rFonts w:ascii="Public Sans" w:hAnsi="Public Sans"/>
                <w:b/>
                <w:i w:val="0"/>
                <w:color w:val="3D3E3E"/>
                <w:sz w:val="16"/>
              </w:rPr>
              <w:t>beat</w:t>
            </w:r>
            <w:r>
              <w:rPr>
                <w:rFonts w:ascii="Public Sans" w:hAnsi="Public Sans"/>
                <w:b w:val="0"/>
                <w:i w:val="0"/>
                <w:color w:val="3D3E3E"/>
                <w:sz w:val="16"/>
              </w:rPr>
              <w:t>: industrial production 5.3% (survey 4.6%) and retail sales turned positive at +1.0% (survey −0.1%, prior −0.6%); unemployment eased to 5.0%. The 07-15 market reaction is still forming. Li Qiang (Nomura 18156) has urged "countercyclical" H2 support.</w:t>
            </w:r>
          </w:p>
        </w:tc>
      </w:tr>
    </w:tbl>
    <w:p>
      <w:pPr>
        <w:spacing w:after="80" w:line="283" w:lineRule="auto"/>
      </w:pPr>
      <w:r>
        <w:rPr>
          <w:rFonts w:ascii="Public Sans" w:hAnsi="Public Sans"/>
          <w:b w:val="0"/>
          <w:i w:val="0"/>
          <w:color w:val="3D3E3E"/>
          <w:sz w:val="19"/>
        </w:rPr>
        <w:t>spiderchart</w:t>
      </w:r>
    </w:p>
    <w:p>
      <w:pPr>
        <w:spacing w:after="80" w:line="283" w:lineRule="auto"/>
      </w:pPr>
      <w:r>
        <w:rPr>
          <w:rFonts w:ascii="Public Sans" w:hAnsi="Public Sans"/>
          <w:b w:val="0"/>
          <w:i w:val="0"/>
          <w:color w:val="3D3E3E"/>
          <w:sz w:val="19"/>
        </w:rPr>
        <w:t>{"type":"bar","title":"US June CPI — actual undershot survey across the board","caption":"Grounded: calendar.cb_events TE lane (ids 60904-60907), printed actual vs survey. Core CPI flat m/m and 2.6% y/y both undershot; headline fell on energy. The soft print deflated the July-hike setup Governor Waller had made conditional on a hot core.","series":[{"name":"Actual","color":"#2b5a86","points":[["Core m/m",0.0],["Core y/y",2.6],["Headline m/m",-0.4],["Headline y/y",3.5]]},{"name":"Survey","color":"#b5761f","points":[["Core m/m",0.2],["Core y/y",2.8],["Headline m/m",-0.1],["Headline y/y",3.8]]}]}</w:t>
      </w:r>
    </w:p>
    <w:p>
      <w:pPr>
        <w:spacing w:after="80" w:line="283" w:lineRule="auto"/>
      </w:pPr>
    </w:p>
    <w:p>
      <w:pPr>
        <w:spacing w:after="80" w:line="283" w:lineRule="auto"/>
      </w:pPr>
      <w:r>
        <w:rPr>
          <w:rFonts w:ascii="Public Sans" w:hAnsi="Public Sans"/>
          <w:b w:val="0"/>
          <w:i w:val="0"/>
          <w:color w:val="3D3E3E"/>
          <w:sz w:val="19"/>
        </w:rPr>
        <w:t>spiderchart</w:t>
      </w:r>
    </w:p>
    <w:p>
      <w:pPr>
        <w:spacing w:after="80" w:line="283" w:lineRule="auto"/>
      </w:pPr>
      <w:r>
        <w:rPr>
          <w:rFonts w:ascii="Public Sans" w:hAnsi="Public Sans"/>
          <w:b w:val="0"/>
          <w:i w:val="0"/>
          <w:color w:val="3D3E3E"/>
          <w:sz w:val="19"/>
        </w:rPr>
        <w:t>{"type":"bar","title":"FX vs USD — day-over-day % (07-13 → 07-14, the soft-CPI session)","caption":"Grounded: FX.fact_fx_rate SPOT last-tick per day. Positive = local currency stronger vs USD. The soft CPI weakened the dollar broadly — NZD/AUD/CAD/KRW led. INR is the sole universe currency lower (hot CPI/WPI + oil + wider trade deficit). Per Citi 18316, DXY recovered part of the drop into the US close.","series":[{"name":"DoD %","color":"#1f6b4f","points":[["NZD",0.85],["AUD",0.82],["CAD",0.64],["KRW",0.55],["EUR",0.36],["GBP",0.35],["SGD",0.28],["IDR",0.27],["MYR",0.25],["TWD",0.23],["CNH",0.18],["THB",0.14],["JPY",0.14],["PHP",0.10],["HKD",0.00],["INR",-0.45]]}]}</w:t>
      </w:r>
    </w:p>
    <w:p>
      <w:pPr>
        <w:spacing w:after="80" w:line="283" w:lineRule="auto"/>
      </w:pPr>
    </w:p>
    <w:p>
      <w:pPr>
        <w:spacing w:after="80" w:line="283" w:lineRule="auto"/>
      </w:pPr>
      <w:r>
        <w:rPr>
          <w:rFonts w:ascii="Public Sans" w:hAnsi="Public Sans"/>
          <w:b w:val="0"/>
          <w:i w:val="0"/>
          <w:color w:val="3D3E3E"/>
          <w:sz w:val="19"/>
        </w:rPr>
        <w:t>spiderchart</w:t>
      </w:r>
    </w:p>
    <w:p>
      <w:pPr>
        <w:spacing w:after="80" w:line="283" w:lineRule="auto"/>
      </w:pPr>
      <w:r>
        <w:rPr>
          <w:rFonts w:ascii="Public Sans" w:hAnsi="Public Sans"/>
          <w:b w:val="0"/>
          <w:i w:val="0"/>
          <w:color w:val="3D3E3E"/>
          <w:sz w:val="19"/>
        </w:rPr>
        <w:t>{"type":"bar","title":"2y OIS/swap — day-over-day bp (07-13 → 07-14)","caption":"Grounded: rates.fact_observation par, 2y, last-tick per day. US front-end rallied 8.8bp on the soft CPI (US EOD = post-print), dragging UK/CA/AU/NZ lower. Asia-Pacific EM curves' 07-14 last tick is the Asian close = BEFORE the US CPI, so they still carry the pre-print hawkish/oil/strong-local-data tape (INR/PHP/SGD/THB/HKD backed up); their soft-CPI relief lands on 07-15. EUR is the divergent DM mover (oil/ECB read).","series":[{"name":"DoD bp","color":"#a1382f","points":[["IN",14.1],["PH",11.5],["EUR",8.5],["SG",4.8],["TH",4.3],["HK",6.3],["ID",0.9],["MY",2.3],["NZ",-2.1],["CA",-1.9],["JP",-2.3],["AU",-2.7],["UK",-2.7],["US",-8.8]]}]}</w:t>
      </w:r>
    </w:p>
    <w:p>
      <w:pPr>
        <w:spacing w:after="80" w:line="283" w:lineRule="auto"/>
      </w:pP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The day in brief</w:t>
      </w:r>
    </w:p>
    <w:p>
      <w:pPr>
        <w:spacing w:after="80" w:line="283" w:lineRule="auto"/>
      </w:pPr>
      <w:r>
        <w:rPr>
          <w:rFonts w:ascii="Public Sans" w:hAnsi="Public Sans"/>
          <w:b w:val="0"/>
          <w:i w:val="0"/>
          <w:color w:val="3D3E3E"/>
          <w:sz w:val="19"/>
        </w:rPr>
        <w:t xml:space="preserve">The number that had the whole book coiled came soft, and it came soft everywhere. </w:t>
      </w:r>
      <w:r>
        <w:rPr>
          <w:rFonts w:ascii="Public Sans" w:hAnsi="Public Sans"/>
          <w:b/>
          <w:i w:val="0"/>
          <w:color w:val="3D3E3E"/>
          <w:sz w:val="19"/>
        </w:rPr>
        <w:t>US June core CPI fell −0.02% on the month — flat to one decimal, 0.0% m/m against a 0.2% survey — and the year-over-year rate dipped from 2.9% to 2.6%</w:t>
      </w:r>
      <w:r>
        <w:rPr>
          <w:rFonts w:ascii="Public Sans" w:hAnsi="Public Sans"/>
          <w:b w:val="0"/>
          <w:i w:val="0"/>
          <w:color w:val="3D3E3E"/>
          <w:sz w:val="19"/>
        </w:rPr>
        <w:t xml:space="preserve"> (cb_events TE lane 60904/60905). Headline dropped −0.42% m/m (survey −0.1%; YoY 4.2%→3.5%) on a 5.7% fall in energy (cb_events 60906/60907). The internals were broad, not a single-line fluke: auto insurance −2.0% (second big monthly decline), wireless services −3.1%, hotels −2.8% (World Cup payback), apparel −0.6% (GS 18251). GS and JPM had penciled ~0.2% core; the print undershot the entire desk. GS now marks </w:t>
      </w:r>
      <w:r>
        <w:rPr>
          <w:rFonts w:ascii="Public Sans" w:hAnsi="Public Sans"/>
          <w:b/>
          <w:i w:val="0"/>
          <w:color w:val="3D3E3E"/>
          <w:sz w:val="19"/>
        </w:rPr>
        <w:t>core PCE at just 0.18% m/m</w:t>
      </w:r>
      <w:r>
        <w:rPr>
          <w:rFonts w:ascii="Public Sans" w:hAnsi="Public Sans"/>
          <w:b w:val="0"/>
          <w:i w:val="0"/>
          <w:color w:val="3D3E3E"/>
          <w:sz w:val="19"/>
        </w:rPr>
        <w:t xml:space="preserve"> (JPM 0.168%, 3-month annualised 3.0%). Twenty-four hours after Governor Waller told the market a hot core "this week" would put a near-term hike on the table, the reading that would have triggered him did not arrive. Every house drew the same conclusion — the print "buys time for the FOMC to remain on hold" (Barclays 18267), takes "near-term pressure off the Fed" (JPM 18282), and lets the Fed "remain on hold for the summer" (Citi 18317).</w:t>
      </w:r>
    </w:p>
    <w:p>
      <w:pPr>
        <w:spacing w:after="80" w:line="283" w:lineRule="auto"/>
      </w:pPr>
      <w:r>
        <w:rPr>
          <w:rFonts w:ascii="Public Sans" w:hAnsi="Public Sans"/>
          <w:b w:val="0"/>
          <w:i w:val="0"/>
          <w:color w:val="3D3E3E"/>
          <w:sz w:val="19"/>
        </w:rPr>
        <w:t xml:space="preserve">The tape did what a dovish surprise does. US front-end OIS rallied hard — SOFR 2y −8.8bp into a bull steepener (10y −2.6bp) — the dollar weakened across the board (NZD +0.85%, AUD +0.82%, CAD +0.64%, KRW +0.55%, EUR +0.36%), gold rose +1.3% to 4,055, the Nasdaq 100 added +1.1% and VIX slipped to 16.5. Two nuances keep it from being a clean one-way move: Citi (18316) notes the DXY recovered </w:t>
      </w:r>
      <w:r>
        <w:rPr>
          <w:rFonts w:ascii="Public Sans" w:hAnsi="Public Sans"/>
          <w:b w:val="0"/>
          <w:i/>
          <w:color w:val="3D3E3E"/>
          <w:sz w:val="19"/>
        </w:rPr>
        <w:t>a majority</w:t>
      </w:r>
      <w:r>
        <w:rPr>
          <w:rFonts w:ascii="Public Sans" w:hAnsi="Public Sans"/>
          <w:b w:val="0"/>
          <w:i w:val="0"/>
          <w:color w:val="3D3E3E"/>
          <w:sz w:val="19"/>
        </w:rPr>
        <w:t xml:space="preserve"> of its intraday CPI losses by the US close and still leans USD-asymmetric on Middle-East risk, and the oil blockade sits unresolved in the background (WTI booked at $78.78 in IMDR, +9% off the pre-spike level). In Asia, </w:t>
      </w:r>
      <w:r>
        <w:rPr>
          <w:rFonts w:ascii="Public Sans" w:hAnsi="Public Sans"/>
          <w:b/>
          <w:i w:val="0"/>
          <w:color w:val="3D3E3E"/>
          <w:sz w:val="19"/>
        </w:rPr>
        <w:t>China's Q2 GDP</w:t>
      </w:r>
      <w:r>
        <w:rPr>
          <w:rFonts w:ascii="Public Sans" w:hAnsi="Public Sans"/>
          <w:b w:val="0"/>
          <w:i w:val="0"/>
          <w:color w:val="3D3E3E"/>
          <w:sz w:val="19"/>
        </w:rPr>
        <w:t xml:space="preserve"> delivers a mixed read: headline growth </w:t>
      </w:r>
      <w:r>
        <w:rPr>
          <w:rFonts w:ascii="Public Sans" w:hAnsi="Public Sans"/>
          <w:b/>
          <w:i w:val="0"/>
          <w:color w:val="3D3E3E"/>
          <w:sz w:val="19"/>
        </w:rPr>
        <w:t>misses at 4.3% y/y</w:t>
      </w:r>
      <w:r>
        <w:rPr>
          <w:rFonts w:ascii="Public Sans" w:hAnsi="Public Sans"/>
          <w:b w:val="0"/>
          <w:i w:val="0"/>
          <w:color w:val="3D3E3E"/>
          <w:sz w:val="19"/>
        </w:rPr>
        <w:t xml:space="preserve"> (survey 4.5%, from 5.0%) with the weakest sequential quarter since 2022 (0.9% qoq), and fixed-asset investment stays weak (−5.7% ytd) — but June activity </w:t>
      </w:r>
      <w:r>
        <w:rPr>
          <w:rFonts w:ascii="Public Sans" w:hAnsi="Public Sans"/>
          <w:b/>
          <w:i w:val="0"/>
          <w:color w:val="3D3E3E"/>
          <w:sz w:val="19"/>
        </w:rPr>
        <w:t>beats</w:t>
      </w:r>
      <w:r>
        <w:rPr>
          <w:rFonts w:ascii="Public Sans" w:hAnsi="Public Sans"/>
          <w:b w:val="0"/>
          <w:i w:val="0"/>
          <w:color w:val="3D3E3E"/>
          <w:sz w:val="19"/>
        </w:rPr>
        <w:t xml:space="preserve">, with industrial production 5.3% (survey 4.6%) and retail sales turning positive at +1.0% (survey −0.1%), on top of a record June trade surplus; the 07-15 market reaction is still forming. The remaining live event is the </w:t>
      </w:r>
      <w:r>
        <w:rPr>
          <w:rFonts w:ascii="Public Sans" w:hAnsi="Public Sans"/>
          <w:b/>
          <w:i w:val="0"/>
          <w:color w:val="3D3E3E"/>
          <w:sz w:val="19"/>
        </w:rPr>
        <w:t>Bank of Canada</w:t>
      </w:r>
      <w:r>
        <w:rPr>
          <w:rFonts w:ascii="Public Sans" w:hAnsi="Public Sans"/>
          <w:b w:val="0"/>
          <w:i w:val="0"/>
          <w:color w:val="3D3E3E"/>
          <w:sz w:val="19"/>
        </w:rPr>
        <w:t xml:space="preserve"> (survey hold 2.25%, with MPR and press conference later today). Around them, Singapore's advance Q2 GDP printed strong (5.7%), New Zealand's QSBO showed acute pricing that keeps the RBNZ hiking, India's CPI (4.38%) and WPI (9.87%) both ran hot into a widening trade deficit, and Japan's long end kept rallying on the GPIF/Katayama repatriation theme.</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Deltas</w:t>
      </w:r>
      <w:r>
        <w:rPr>
          <w:rFonts w:ascii="Public Sans" w:hAnsi="Public Sans"/>
          <w:i/>
          <w:color w:val="7A7C7C"/>
          <w:sz w:val="16"/>
        </w:rPr>
        <w:t xml:space="preserve">   SYN — lead with what changed</w:t>
      </w:r>
    </w:p>
    <w:p>
      <w:pPr>
        <w:spacing w:after="80" w:line="283" w:lineRule="auto"/>
      </w:pPr>
      <w:r>
        <w:rPr>
          <w:rFonts w:ascii="Public Sans" w:hAnsi="Public Sans"/>
          <w:b w:val="0"/>
          <w:i w:val="0"/>
          <w:color w:val="3D3E3E"/>
          <w:sz w:val="19"/>
        </w:rPr>
        <w:t xml:space="preserve">The Tuesday US-session (post-CPI) repricing and the fresh 07-14/07-15 flow drive today's read (~334 reports swept — 316 on 07-14, ~18 early-07-15 — deep-read and unioned with structured dim_report window filters, the Outlook 13-folder taxonomy, and a targeted China-GDP Qdrant sweep). </w:t>
      </w:r>
      <w:r>
        <w:rPr>
          <w:rFonts w:ascii="Public Sans" w:hAnsi="Public Sans"/>
          <w:b/>
          <w:i w:val="0"/>
          <w:color w:val="3D3E3E"/>
          <w:sz w:val="19"/>
        </w:rPr>
        <w:t>US June CPI (both TE and BQL lanes), China Q2 GDP + June activity, SG advance Q2 GDP, China June trade, India June WPI and the Australia NAB/Westpac surveys are all PRINTED</w:t>
      </w:r>
      <w:r>
        <w:rPr>
          <w:rFonts w:ascii="Public Sans" w:hAnsi="Public Sans"/>
          <w:b w:val="0"/>
          <w:i w:val="0"/>
          <w:color w:val="3D3E3E"/>
          <w:sz w:val="19"/>
        </w:rPr>
        <w:t xml:space="preserve"> and grounded to cb_events rows. </w:t>
      </w:r>
      <w:r>
        <w:rPr>
          <w:rFonts w:ascii="Public Sans" w:hAnsi="Public Sans"/>
          <w:b/>
          <w:i w:val="0"/>
          <w:color w:val="3D3E3E"/>
          <w:sz w:val="19"/>
        </w:rPr>
        <w:t>The Bank of Canada is the day's remaining forward decision</w:t>
      </w:r>
      <w:r>
        <w:rPr>
          <w:rFonts w:ascii="Public Sans" w:hAnsi="Public Sans"/>
          <w:b w:val="0"/>
          <w:i w:val="0"/>
          <w:color w:val="3D3E3E"/>
          <w:sz w:val="19"/>
        </w:rPr>
        <w:t xml:space="preserve"> (survey hold 2.25%, MPR + presser later today). There is </w:t>
      </w:r>
      <w:r>
        <w:rPr>
          <w:rFonts w:ascii="Public Sans" w:hAnsi="Public Sans"/>
          <w:b/>
          <w:i w:val="0"/>
          <w:color w:val="3D3E3E"/>
          <w:sz w:val="19"/>
        </w:rPr>
        <w:t>no BBG chat transcript for 2026-07-15</w:t>
      </w:r>
      <w:r>
        <w:rPr>
          <w:rFonts w:ascii="Public Sans" w:hAnsi="Public Sans"/>
          <w:b w:val="0"/>
          <w:i w:val="0"/>
          <w:color w:val="3D3E3E"/>
          <w:sz w:val="19"/>
        </w:rPr>
        <w:t xml:space="preserve"> (none exists for the date) — noted, not blocking.</w:t>
      </w:r>
    </w:p>
    <w:p>
      <w:pPr>
        <w:spacing w:after="80" w:line="283" w:lineRule="auto"/>
      </w:pPr>
      <w:r>
        <w:rPr>
          <w:rFonts w:ascii="Public Sans" w:hAnsi="Public Sans"/>
          <w:b w:val="0"/>
          <w:i w:val="0"/>
          <w:color w:val="3D3E3E"/>
          <w:sz w:val="19"/>
        </w:rPr>
        <w:t xml:space="preserve">1. </w:t>
      </w:r>
      <w:r>
        <w:rPr>
          <w:rFonts w:ascii="Public Sans" w:hAnsi="Public Sans"/>
          <w:b/>
          <w:i w:val="0"/>
          <w:color w:val="3D3E3E"/>
          <w:sz w:val="19"/>
        </w:rPr>
        <w:t>US June core CPI prints SOFT — 0.0% m/m / 2.6% y/y — and the July-hike scare deflates (GS 18251, JPM 18282, Citi 18239/18317, DB 18349, MS 18265, Nomura 18292, Barclays 18267, SocGen 18293, UBS 18295).</w:t>
      </w:r>
      <w:r>
        <w:rPr>
          <w:rFonts w:ascii="Public Sans" w:hAnsi="Public Sans"/>
          <w:b w:val="0"/>
          <w:i w:val="0"/>
          <w:color w:val="3D3E3E"/>
          <w:sz w:val="19"/>
        </w:rPr>
        <w:t xml:space="preserve"> Core −0.02% m/m (survey +0.2%), YoY 2.9%→2.6%; headline −0.42% m/m / 3.5% y/y on energy −5.7%. Core PCE tracking ~0.17-0.18% (GS/JPM). Unanimous read: disinflation resumed, the Fed can stay on hold. </w:t>
      </w:r>
      <w:r>
        <w:rPr>
          <w:rFonts w:ascii="Public Sans" w:hAnsi="Public Sans"/>
          <w:b/>
          <w:i w:val="0"/>
          <w:color w:val="3D3E3E"/>
          <w:sz w:val="19"/>
        </w:rPr>
        <w:t>Supersedes the 07-14 "Waller opens the door to a hike" hawkish setup</w:t>
      </w:r>
      <w:r>
        <w:rPr>
          <w:rFonts w:ascii="Public Sans" w:hAnsi="Public Sans"/>
          <w:b w:val="0"/>
          <w:i w:val="0"/>
          <w:color w:val="3D3E3E"/>
          <w:sz w:val="19"/>
        </w:rPr>
        <w:t xml:space="preserve"> — the hot core that was the trigger did not print. (FACT print + VIEW — 60904-60908 / house cluster)</w:t>
      </w:r>
    </w:p>
    <w:p>
      <w:pPr>
        <w:spacing w:after="80" w:line="283" w:lineRule="auto"/>
      </w:pPr>
      <w:r>
        <w:rPr>
          <w:rFonts w:ascii="Public Sans" w:hAnsi="Public Sans"/>
          <w:b w:val="0"/>
          <w:i w:val="0"/>
          <w:color w:val="3D3E3E"/>
          <w:sz w:val="19"/>
        </w:rPr>
        <w:t xml:space="preserve">2. </w:t>
      </w:r>
      <w:r>
        <w:rPr>
          <w:rFonts w:ascii="Public Sans" w:hAnsi="Public Sans"/>
          <w:b/>
          <w:i w:val="0"/>
          <w:color w:val="3D3E3E"/>
          <w:sz w:val="19"/>
        </w:rPr>
        <w:t>The dollar weakened and front-ends rallied on the print (rates.fact_observation / FX.fact_fx_rate).</w:t>
      </w:r>
      <w:r>
        <w:rPr>
          <w:rFonts w:ascii="Public Sans" w:hAnsi="Public Sans"/>
          <w:b w:val="0"/>
          <w:i w:val="0"/>
          <w:color w:val="3D3E3E"/>
          <w:sz w:val="19"/>
        </w:rPr>
        <w:t xml:space="preserve"> SOFR 2y −8.8bp (bull steepener), UK/CA front-ends lower; USD broadly softer (NZD +0.85%, AUD +0.82%, CAD +0.64%, KRW +0.55%). Nasdaq +1.1%, gold +1.3%, VIX −0.66 to 16.5. </w:t>
      </w:r>
      <w:r>
        <w:rPr>
          <w:rFonts w:ascii="Public Sans" w:hAnsi="Public Sans"/>
          <w:b/>
          <w:i w:val="0"/>
          <w:color w:val="3D3E3E"/>
          <w:sz w:val="19"/>
        </w:rPr>
        <w:t>Nuance:</w:t>
      </w:r>
      <w:r>
        <w:rPr>
          <w:rFonts w:ascii="Public Sans" w:hAnsi="Public Sans"/>
          <w:b w:val="0"/>
          <w:i w:val="0"/>
          <w:color w:val="3D3E3E"/>
          <w:sz w:val="19"/>
        </w:rPr>
        <w:t xml:space="preserve"> Citi (18316) — DXY recouped most of the intraday drop into the close; Nomura (18221) — the USD "struggled to make gains" even on hawkish Waller + oil, so spec positioning is leaning long USD and the bar to further USD upside is higher. (PRICING — IMDR market layers + house colour)</w:t>
      </w:r>
    </w:p>
    <w:p>
      <w:pPr>
        <w:spacing w:after="80" w:line="283" w:lineRule="auto"/>
      </w:pPr>
      <w:r>
        <w:rPr>
          <w:rFonts w:ascii="Public Sans" w:hAnsi="Public Sans"/>
          <w:b w:val="0"/>
          <w:i w:val="0"/>
          <w:color w:val="3D3E3E"/>
          <w:sz w:val="19"/>
        </w:rPr>
        <w:t xml:space="preserve">3. </w:t>
      </w:r>
      <w:r>
        <w:rPr>
          <w:rFonts w:ascii="Public Sans" w:hAnsi="Public Sans"/>
          <w:b/>
          <w:i w:val="0"/>
          <w:color w:val="3D3E3E"/>
          <w:sz w:val="19"/>
        </w:rPr>
        <w:t>China Q2 GDP prints a mixed, stabilising-on-stimulus read; June trade set a record surplus (GS 18092, JPM 18216, Barclays 18117, UBS 18231, Nomura 18156/18161, DB 18091, HSBC 18098).</w:t>
      </w:r>
      <w:r>
        <w:rPr>
          <w:rFonts w:ascii="Public Sans" w:hAnsi="Public Sans"/>
          <w:b w:val="0"/>
          <w:i w:val="0"/>
          <w:color w:val="3D3E3E"/>
          <w:sz w:val="19"/>
        </w:rPr>
        <w:t xml:space="preserve"> Headline GDP </w:t>
      </w:r>
      <w:r>
        <w:rPr>
          <w:rFonts w:ascii="Public Sans" w:hAnsi="Public Sans"/>
          <w:b/>
          <w:i w:val="0"/>
          <w:color w:val="3D3E3E"/>
          <w:sz w:val="19"/>
        </w:rPr>
        <w:t>4.3% y/y misses</w:t>
      </w:r>
      <w:r>
        <w:rPr>
          <w:rFonts w:ascii="Public Sans" w:hAnsi="Public Sans"/>
          <w:b w:val="0"/>
          <w:i w:val="0"/>
          <w:color w:val="3D3E3E"/>
          <w:sz w:val="19"/>
        </w:rPr>
        <w:t xml:space="preserve"> (survey 4.5%, prior 5.0%) — the weakest sequential quarter since 2022 (0.9% qoq, in line with survey) — and fixed-asset investment stays weak (−5.7% ytd). But June activity </w:t>
      </w:r>
      <w:r>
        <w:rPr>
          <w:rFonts w:ascii="Public Sans" w:hAnsi="Public Sans"/>
          <w:b/>
          <w:i w:val="0"/>
          <w:color w:val="3D3E3E"/>
          <w:sz w:val="19"/>
        </w:rPr>
        <w:t>beats</w:t>
      </w:r>
      <w:r>
        <w:rPr>
          <w:rFonts w:ascii="Public Sans" w:hAnsi="Public Sans"/>
          <w:b w:val="0"/>
          <w:i w:val="0"/>
          <w:color w:val="3D3E3E"/>
          <w:sz w:val="19"/>
        </w:rPr>
        <w:t>: industrial production 5.3% (survey 4.6%) and retail sales turn positive at +1.0% (survey −0.1%, prior −0.6%); unemployment eases to 5.0%. June trade set a record surplus ($125.6bn; exports +27%, imports +36%, semis/autos-led, "booming yet bifurcated," Barclays). Nomura (18156): Li Qiang urged "countercyclical" policy be stepped up in H2. The 07-15 market reaction is still forming. (FACT print + VIEW — 60929/60930/60931/60932/60864 / house cluster)</w:t>
      </w:r>
    </w:p>
    <w:p>
      <w:pPr>
        <w:spacing w:after="80" w:line="283" w:lineRule="auto"/>
      </w:pPr>
      <w:r>
        <w:rPr>
          <w:rFonts w:ascii="Public Sans" w:hAnsi="Public Sans"/>
          <w:b w:val="0"/>
          <w:i w:val="0"/>
          <w:color w:val="3D3E3E"/>
          <w:sz w:val="19"/>
        </w:rPr>
        <w:t xml:space="preserve">4. </w:t>
      </w:r>
      <w:r>
        <w:rPr>
          <w:rFonts w:ascii="Public Sans" w:hAnsi="Public Sans"/>
          <w:b/>
          <w:i w:val="0"/>
          <w:color w:val="3D3E3E"/>
          <w:sz w:val="19"/>
        </w:rPr>
        <w:t>Singapore advance Q2 GDP beats at 5.7% y/y; Citi reiterates its July S$NEER steepening call (JPM 18103, Citi 18125, Nomura 18157, GS 18096).</w:t>
      </w:r>
      <w:r>
        <w:rPr>
          <w:rFonts w:ascii="Public Sans" w:hAnsi="Public Sans"/>
          <w:b w:val="0"/>
          <w:i w:val="0"/>
          <w:color w:val="3D3E3E"/>
          <w:sz w:val="19"/>
        </w:rPr>
        <w:t xml:space="preserve"> 5.7% vs 5.5% survey; 1Q revised up to 6.3%; manufacturing rebounded 23.1% ar. JPM keeps FY at an above-consensus 4.6%. Citi (18125): above-trend 2Q supports its July MAS steepening. </w:t>
      </w:r>
      <w:r>
        <w:rPr>
          <w:rFonts w:ascii="Public Sans" w:hAnsi="Public Sans"/>
          <w:b/>
          <w:i w:val="0"/>
          <w:color w:val="3D3E3E"/>
          <w:sz w:val="19"/>
        </w:rPr>
        <w:t>The MAS MPS is the 24–31 Jul window — not today.</w:t>
      </w:r>
      <w:r>
        <w:rPr>
          <w:rFonts w:ascii="Public Sans" w:hAnsi="Public Sans"/>
          <w:b w:val="0"/>
          <w:i w:val="0"/>
          <w:color w:val="3D3E3E"/>
          <w:sz w:val="19"/>
        </w:rPr>
        <w:t xml:space="preserve"> SORA 2y +4.8bp (Asian close, pre-US-CPI). (FACT print + VIEW — 60856/60857 / house cluster)</w:t>
      </w:r>
    </w:p>
    <w:p>
      <w:pPr>
        <w:spacing w:after="80" w:line="283" w:lineRule="auto"/>
      </w:pPr>
      <w:r>
        <w:rPr>
          <w:rFonts w:ascii="Public Sans" w:hAnsi="Public Sans"/>
          <w:b w:val="0"/>
          <w:i w:val="0"/>
          <w:color w:val="3D3E3E"/>
          <w:sz w:val="19"/>
        </w:rPr>
        <w:t xml:space="preserve">5. </w:t>
      </w:r>
      <w:r>
        <w:rPr>
          <w:rFonts w:ascii="Public Sans" w:hAnsi="Public Sans"/>
          <w:b/>
          <w:i w:val="0"/>
          <w:color w:val="3D3E3E"/>
          <w:sz w:val="19"/>
        </w:rPr>
        <w:t>New Zealand QSBO shows acute pricing; ANZ and UBS both keep the RBNZ hiking (ANZ 18030, UBS 18107, JPM 18078, GS 18068/18070, DB 18067, Westpac 18059).</w:t>
      </w:r>
      <w:r>
        <w:rPr>
          <w:rFonts w:ascii="Public Sans" w:hAnsi="Public Sans"/>
          <w:b w:val="0"/>
          <w:i w:val="0"/>
          <w:color w:val="3D3E3E"/>
          <w:sz w:val="19"/>
        </w:rPr>
        <w:t xml:space="preserve"> Selling-price gauge jumped 22→41; business confidence rebounded to +12 (sa). ANZ keeps +25bp in </w:t>
      </w:r>
      <w:r>
        <w:rPr>
          <w:rFonts w:ascii="Public Sans" w:hAnsi="Public Sans"/>
          <w:b/>
          <w:i w:val="0"/>
          <w:color w:val="3D3E3E"/>
          <w:sz w:val="19"/>
        </w:rPr>
        <w:t>both September and October</w:t>
      </w:r>
      <w:r>
        <w:rPr>
          <w:rFonts w:ascii="Public Sans" w:hAnsi="Public Sans"/>
          <w:b w:val="0"/>
          <w:i w:val="0"/>
          <w:color w:val="3D3E3E"/>
          <w:sz w:val="19"/>
        </w:rPr>
        <w:t xml:space="preserve">; UBS keeps +25bp in </w:t>
      </w:r>
      <w:r>
        <w:rPr>
          <w:rFonts w:ascii="Public Sans" w:hAnsi="Public Sans"/>
          <w:b/>
          <w:i w:val="0"/>
          <w:color w:val="3D3E3E"/>
          <w:sz w:val="19"/>
        </w:rPr>
        <w:t>Sep and Dec</w:t>
      </w:r>
      <w:r>
        <w:rPr>
          <w:rFonts w:ascii="Public Sans" w:hAnsi="Public Sans"/>
          <w:b w:val="0"/>
          <w:i w:val="0"/>
          <w:color w:val="3D3E3E"/>
          <w:sz w:val="19"/>
        </w:rPr>
        <w:t xml:space="preserve"> to 3.00%. Conway (RBNZ Chief Economist) flagged "unhelpful asymmetry" in price-setting. NZD firmest in the universe (+0.85%). (Survey print + VIEW — 18030/18107)</w:t>
      </w:r>
    </w:p>
    <w:p>
      <w:pPr>
        <w:spacing w:after="80" w:line="283" w:lineRule="auto"/>
      </w:pPr>
      <w:r>
        <w:rPr>
          <w:rFonts w:ascii="Public Sans" w:hAnsi="Public Sans"/>
          <w:b w:val="0"/>
          <w:i w:val="0"/>
          <w:color w:val="3D3E3E"/>
          <w:sz w:val="19"/>
        </w:rPr>
        <w:t xml:space="preserve">6. </w:t>
      </w:r>
      <w:r>
        <w:rPr>
          <w:rFonts w:ascii="Public Sans" w:hAnsi="Public Sans"/>
          <w:b/>
          <w:i w:val="0"/>
          <w:color w:val="3D3E3E"/>
          <w:sz w:val="19"/>
        </w:rPr>
        <w:t>India CPI (4.38%) and WPI (9.87%) both run hot; June trade deficit widens to $30.4bn (MS 18152, Barclays 18171, JPM 18260, Nomura 18160, SocGen 18227).</w:t>
      </w:r>
      <w:r>
        <w:rPr>
          <w:rFonts w:ascii="Public Sans" w:hAnsi="Public Sans"/>
          <w:b w:val="0"/>
          <w:i w:val="0"/>
          <w:color w:val="3D3E3E"/>
          <w:sz w:val="19"/>
        </w:rPr>
        <w:t xml:space="preserve"> WPI 9.87% (survey 9.15%; food 6.14%, fuel 27.41%, manufacturing 7.48% — "relentless rise," Barclays); trade deficit above the $26.5bn consensus on oil imports. INR −0.45% (sole universe FX down); MIBOR 2y +14bp / 10y +15bp (pre-CPI Asian tape). </w:t>
      </w:r>
      <w:r>
        <w:rPr>
          <w:rFonts w:ascii="Public Sans" w:hAnsi="Public Sans"/>
          <w:b/>
          <w:i w:val="0"/>
          <w:color w:val="3D3E3E"/>
          <w:sz w:val="19"/>
        </w:rPr>
        <w:t>SocGen takes profit on short EUR/INR "as headwinds rise" (18227).</w:t>
      </w:r>
      <w:r>
        <w:rPr>
          <w:rFonts w:ascii="Public Sans" w:hAnsi="Public Sans"/>
          <w:b w:val="0"/>
          <w:i w:val="0"/>
          <w:color w:val="3D3E3E"/>
          <w:sz w:val="19"/>
        </w:rPr>
        <w:t xml:space="preserve"> (FACT print + VIEW — 60882-60885 / 90517 / house cluster)</w:t>
      </w:r>
    </w:p>
    <w:p>
      <w:pPr>
        <w:spacing w:after="80" w:line="283" w:lineRule="auto"/>
      </w:pPr>
      <w:r>
        <w:rPr>
          <w:rFonts w:ascii="Public Sans" w:hAnsi="Public Sans"/>
          <w:b w:val="0"/>
          <w:i w:val="0"/>
          <w:color w:val="3D3E3E"/>
          <w:sz w:val="19"/>
        </w:rPr>
        <w:t xml:space="preserve">7. </w:t>
      </w:r>
      <w:r>
        <w:rPr>
          <w:rFonts w:ascii="Public Sans" w:hAnsi="Public Sans"/>
          <w:b/>
          <w:i w:val="0"/>
          <w:color w:val="3D3E3E"/>
          <w:sz w:val="19"/>
        </w:rPr>
        <w:t>Japan's long end keeps rallying on the GPIF/Katayama repatriation theme (Citi 18123, Nomura 18291, BNP 18063, Barclays 18062, MS 18288).</w:t>
      </w:r>
      <w:r>
        <w:rPr>
          <w:rFonts w:ascii="Public Sans" w:hAnsi="Public Sans"/>
          <w:b w:val="0"/>
          <w:i w:val="0"/>
          <w:color w:val="3D3E3E"/>
          <w:sz w:val="19"/>
        </w:rPr>
        <w:t xml:space="preserve"> Citi: FM Katayama's push for GPIF/pension repatriation is likely "incremental" (the basic-portfolio review is not due until 2029), but corporate pension funds could add JGBs — JPY-supportive. TONAR 10y −9.5bp DoD (richer). Nomura (18291): the government is revising Basic Policy wording on monetary policy after the long-end rise. (VIEW — 18123/18291/18063)</w:t>
      </w:r>
    </w:p>
    <w:p>
      <w:pPr>
        <w:spacing w:after="80" w:line="283" w:lineRule="auto"/>
      </w:pPr>
      <w:r>
        <w:rPr>
          <w:rFonts w:ascii="Public Sans" w:hAnsi="Public Sans"/>
          <w:b w:val="0"/>
          <w:i w:val="0"/>
          <w:color w:val="3D3E3E"/>
          <w:sz w:val="19"/>
        </w:rPr>
        <w:t xml:space="preserve">8. </w:t>
      </w:r>
      <w:r>
        <w:rPr>
          <w:rFonts w:ascii="Public Sans" w:hAnsi="Public Sans"/>
          <w:b/>
          <w:i w:val="0"/>
          <w:color w:val="3D3E3E"/>
          <w:sz w:val="19"/>
        </w:rPr>
        <w:t>Bank of Canada decides today — benign-core hold the base case; Nomura books its long USD/CAD (Nomura 18221).</w:t>
      </w:r>
      <w:r>
        <w:rPr>
          <w:rFonts w:ascii="Public Sans" w:hAnsi="Public Sans"/>
          <w:b w:val="0"/>
          <w:i w:val="0"/>
          <w:color w:val="3D3E3E"/>
          <w:sz w:val="19"/>
        </w:rPr>
        <w:t xml:space="preserve"> BoC survey hold 2.25% + MPR + press conference (all forward). Nomura took profit on long USD/CAD at 1.4090 (+2.1% from 1.38), flagging stretched short-CAD positioning and the risk the BoC can't meet the market's hike pricing. CORRA 2y −1.9bp into the meeting. (Forward + VIEW — 41366/60980 / 18221)</w:t>
      </w:r>
    </w:p>
    <w:p>
      <w:pPr>
        <w:spacing w:after="80" w:line="283" w:lineRule="auto"/>
      </w:pPr>
      <w:r>
        <w:rPr>
          <w:rFonts w:ascii="Public Sans" w:hAnsi="Public Sans"/>
          <w:b w:val="0"/>
          <w:i w:val="0"/>
          <w:color w:val="3D3E3E"/>
          <w:sz w:val="19"/>
        </w:rPr>
        <w:t xml:space="preserve">9. </w:t>
      </w:r>
      <w:r>
        <w:rPr>
          <w:rFonts w:ascii="Public Sans" w:hAnsi="Public Sans"/>
          <w:b/>
          <w:i w:val="0"/>
          <w:color w:val="3D3E3E"/>
          <w:sz w:val="19"/>
        </w:rPr>
        <w:t>Australia data improved; ANZ stays short AUD rates (GS 18072/18073, JPM 18076, UBS 18164, Westpac 18084/18112, ANZ 18342).</w:t>
      </w:r>
      <w:r>
        <w:rPr>
          <w:rFonts w:ascii="Public Sans" w:hAnsi="Public Sans"/>
          <w:b w:val="0"/>
          <w:i w:val="0"/>
          <w:color w:val="3D3E3E"/>
          <w:sz w:val="19"/>
        </w:rPr>
        <w:t xml:space="preserve"> NAB business confidence −5 (from −14), Westpac consumer confidence +4.1% — both beat. ANZ (18342): RBA reaction function "heavily skewed" to inflation; holds paid Dec-26 RBA OIS, favours being short AUD rates as supply shocks keep long-end yields higher. AONIA 2y −2.7bp (Asian close). (FACT print + VIEW — 60858/60860 / house cluster)</w:t>
      </w:r>
    </w:p>
    <w:p>
      <w:pPr>
        <w:spacing w:after="80" w:line="283" w:lineRule="auto"/>
      </w:pPr>
      <w:r>
        <w:rPr>
          <w:rFonts w:ascii="Public Sans" w:hAnsi="Public Sans"/>
          <w:b w:val="0"/>
          <w:i w:val="0"/>
          <w:color w:val="3D3E3E"/>
          <w:sz w:val="19"/>
        </w:rPr>
        <w:t xml:space="preserve">10. </w:t>
      </w:r>
      <w:r>
        <w:rPr>
          <w:rFonts w:ascii="Public Sans" w:hAnsi="Public Sans"/>
          <w:b/>
          <w:i w:val="0"/>
          <w:color w:val="3D3E3E"/>
          <w:sz w:val="19"/>
        </w:rPr>
        <w:t>UK: HSBC opens a receive-GBP-1Y1Y-OIS trade fading the Middle-East-driven hike repricing; Burnham budget in focus (HSBC 18254, JPM 18264, UBS 18109).</w:t>
      </w:r>
      <w:r>
        <w:rPr>
          <w:rFonts w:ascii="Public Sans" w:hAnsi="Public Sans"/>
          <w:b w:val="0"/>
          <w:i w:val="0"/>
          <w:color w:val="3D3E3E"/>
          <w:sz w:val="19"/>
        </w:rPr>
        <w:t xml:space="preserve"> HSBC: ~60bp of hikes and an 80% Sep-hike probability are priced after the oil-led front-end sell-off; it sees the BoE staying on hold (only 2 MPC hike votes in June) and receives GBP 1Y1Y at 4.35% (target 4.00%, stop 4.60%). JPM (18264): Burnham's Budget brings "significant policy announcements," no large net stimulus. (VIEW — 18254/18264)</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4. Cross-asset moves matrix (DoD)</w:t>
      </w:r>
    </w:p>
    <w:p>
      <w:pPr>
        <w:spacing w:after="80" w:line="283" w:lineRule="auto"/>
      </w:pPr>
      <w:r>
        <w:rPr>
          <w:rFonts w:ascii="Public Sans" w:hAnsi="Public Sans"/>
          <w:b w:val="0"/>
          <w:i w:val="0"/>
          <w:color w:val="3D3E3E"/>
          <w:sz w:val="19"/>
        </w:rPr>
        <w:t xml:space="preserve">Day-over-day = </w:t>
      </w:r>
      <w:r>
        <w:rPr>
          <w:rFonts w:ascii="Public Sans" w:hAnsi="Public Sans"/>
          <w:b/>
          <w:i w:val="0"/>
          <w:color w:val="3D3E3E"/>
          <w:sz w:val="19"/>
        </w:rPr>
        <w:t>(07-14 last-tick) − (07-13 last-tick)</w:t>
      </w:r>
      <w:r>
        <w:rPr>
          <w:rFonts w:ascii="Public Sans" w:hAnsi="Public Sans"/>
          <w:b w:val="0"/>
          <w:i w:val="0"/>
          <w:color w:val="3D3E3E"/>
          <w:sz w:val="19"/>
        </w:rPr>
        <w:t xml:space="preserve">, last tick = max ts within the calendar day, for </w:t>
      </w:r>
      <w:r>
        <w:rPr>
          <w:rFonts w:ascii="Public Sans" w:hAnsi="Public Sans"/>
          <w:b/>
          <w:i w:val="0"/>
          <w:color w:val="3D3E3E"/>
          <w:sz w:val="19"/>
        </w:rPr>
        <w:t>FX (spot, FX.fact_fx_rate)</w:t>
      </w:r>
      <w:r>
        <w:rPr>
          <w:rFonts w:ascii="Public Sans" w:hAnsi="Public Sans"/>
          <w:b w:val="0"/>
          <w:i w:val="0"/>
          <w:color w:val="3D3E3E"/>
          <w:sz w:val="19"/>
        </w:rPr>
        <w:t xml:space="preserve">, </w:t>
      </w:r>
      <w:r>
        <w:rPr>
          <w:rFonts w:ascii="Public Sans" w:hAnsi="Public Sans"/>
          <w:b/>
          <w:i w:val="0"/>
          <w:color w:val="3D3E3E"/>
          <w:sz w:val="19"/>
        </w:rPr>
        <w:t>2y/10y swap/OIS par (rates.fact_observation)</w:t>
      </w:r>
      <w:r>
        <w:rPr>
          <w:rFonts w:ascii="Public Sans" w:hAnsi="Public Sans"/>
          <w:b w:val="0"/>
          <w:i w:val="0"/>
          <w:color w:val="3D3E3E"/>
          <w:sz w:val="19"/>
        </w:rPr>
        <w:t xml:space="preserve"> and </w:t>
      </w:r>
      <w:r>
        <w:rPr>
          <w:rFonts w:ascii="Public Sans" w:hAnsi="Public Sans"/>
          <w:b/>
          <w:i w:val="0"/>
          <w:color w:val="3D3E3E"/>
          <w:sz w:val="19"/>
        </w:rPr>
        <w:t>equity close (fact_index_level)</w:t>
      </w:r>
      <w:r>
        <w:rPr>
          <w:rFonts w:ascii="Public Sans" w:hAnsi="Public Sans"/>
          <w:b w:val="0"/>
          <w:i w:val="0"/>
          <w:color w:val="3D3E3E"/>
          <w:sz w:val="19"/>
        </w:rPr>
        <w:t xml:space="preserve">. </w:t>
      </w:r>
      <w:r>
        <w:rPr>
          <w:rFonts w:ascii="Public Sans" w:hAnsi="Public Sans"/>
          <w:b/>
          <w:i w:val="0"/>
          <w:color w:val="3D3E3E"/>
          <w:sz w:val="19"/>
        </w:rPr>
        <w:t>07-14 is the last complete session</w:t>
      </w:r>
      <w:r>
        <w:rPr>
          <w:rFonts w:ascii="Public Sans" w:hAnsi="Public Sans"/>
          <w:b w:val="0"/>
          <w:i w:val="0"/>
          <w:color w:val="3D3E3E"/>
          <w:sz w:val="19"/>
        </w:rPr>
        <w:t xml:space="preserve"> — the Tuesday US-CPI-reaction day; the 07-15 (Wednesday) Asian session is unpopulated / stale in the rates &amp; FX layers at compile, so DoD uses 07-13→07-14. </w:t>
      </w:r>
      <w:r>
        <w:rPr>
          <w:rFonts w:ascii="Public Sans" w:hAnsi="Public Sans"/>
          <w:b/>
          <w:i w:val="0"/>
          <w:color w:val="3D3E3E"/>
          <w:sz w:val="19"/>
        </w:rPr>
        <w:t>Timing caveat:</w:t>
      </w:r>
      <w:r>
        <w:rPr>
          <w:rFonts w:ascii="Public Sans" w:hAnsi="Public Sans"/>
          <w:b w:val="0"/>
          <w:i w:val="0"/>
          <w:color w:val="3D3E3E"/>
          <w:sz w:val="19"/>
        </w:rPr>
        <w:t xml:space="preserve"> US/UK/CA/EU curves' 07-14 last tick is their EOD, </w:t>
      </w:r>
      <w:r>
        <w:rPr>
          <w:rFonts w:ascii="Public Sans" w:hAnsi="Public Sans"/>
          <w:b w:val="0"/>
          <w:i/>
          <w:color w:val="3D3E3E"/>
          <w:sz w:val="19"/>
        </w:rPr>
        <w:t>after</w:t>
      </w:r>
      <w:r>
        <w:rPr>
          <w:rFonts w:ascii="Public Sans" w:hAnsi="Public Sans"/>
          <w:b w:val="0"/>
          <w:i w:val="0"/>
          <w:color w:val="3D3E3E"/>
          <w:sz w:val="19"/>
        </w:rPr>
        <w:t xml:space="preserve"> the 12:30 GMT CPI (so SOFR/SONIA/CORRA capture the reaction); Asia-Pacific curves &amp; equities' 07-14 last tick is the Asian close, </w:t>
      </w:r>
      <w:r>
        <w:rPr>
          <w:rFonts w:ascii="Public Sans" w:hAnsi="Public Sans"/>
          <w:b w:val="0"/>
          <w:i/>
          <w:color w:val="3D3E3E"/>
          <w:sz w:val="19"/>
        </w:rPr>
        <w:t>before</w:t>
      </w:r>
      <w:r>
        <w:rPr>
          <w:rFonts w:ascii="Public Sans" w:hAnsi="Public Sans"/>
          <w:b w:val="0"/>
          <w:i w:val="0"/>
          <w:color w:val="3D3E3E"/>
          <w:sz w:val="19"/>
        </w:rPr>
        <w:t xml:space="preserve"> the CPI, so they still carry the pre-print tape. FX % is </w:t>
      </w:r>
      <w:r>
        <w:rPr>
          <w:rFonts w:ascii="Public Sans" w:hAnsi="Public Sans"/>
          <w:b/>
          <w:i w:val="0"/>
          <w:color w:val="3D3E3E"/>
          <w:sz w:val="19"/>
        </w:rPr>
        <w:t>local vs USD</w:t>
      </w:r>
      <w:r>
        <w:rPr>
          <w:rFonts w:ascii="Public Sans" w:hAnsi="Public Sans"/>
          <w:b w:val="0"/>
          <w:i w:val="0"/>
          <w:color w:val="3D3E3E"/>
          <w:sz w:val="19"/>
        </w:rPr>
        <w:t xml:space="preserve"> (positive = local stronger). fact_bond_yield is EMPTY — rates are swap/OIS.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114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Country</w:t>
            </w:r>
          </w:p>
        </w:tc>
        <w:tc>
          <w:tcPr>
            <w:tcW w:type="dxa" w:w="148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FX vs USD (DoD %)</w:t>
            </w:r>
          </w:p>
        </w:tc>
        <w:tc>
          <w:tcPr>
            <w:tcW w:type="dxa" w:w="80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2y (DoD bp)</w:t>
            </w:r>
          </w:p>
        </w:tc>
        <w:tc>
          <w:tcPr>
            <w:tcW w:type="dxa" w:w="80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10y (DoD bp)</w:t>
            </w:r>
          </w:p>
        </w:tc>
        <w:tc>
          <w:tcPr>
            <w:tcW w:type="dxa" w:w="269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Equity (07-14)</w:t>
            </w:r>
          </w:p>
        </w:tc>
        <w:tc>
          <w:tcPr>
            <w:tcW w:type="dxa" w:w="370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One-line read</w:t>
            </w:r>
          </w:p>
        </w:tc>
      </w:tr>
      <w:tr>
        <w:tc>
          <w:tcPr>
            <w:tcW w:type="dxa" w:w="11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United States</w:t>
            </w:r>
          </w:p>
        </w:tc>
        <w:tc>
          <w:tcPr>
            <w:tcW w:type="dxa" w:w="148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EUR </w:t>
            </w:r>
            <w:r>
              <w:rPr>
                <w:rFonts w:ascii="Public Sans" w:hAnsi="Public Sans"/>
                <w:b/>
                <w:i w:val="0"/>
                <w:color w:val="3D3E3E"/>
                <w:sz w:val="16"/>
              </w:rPr>
              <w:t>+0.36%</w:t>
            </w:r>
          </w:p>
        </w:tc>
        <w:tc>
          <w:tcPr>
            <w:tcW w:type="dxa" w:w="8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SOFR </w:t>
            </w:r>
            <w:r>
              <w:rPr>
                <w:rFonts w:ascii="Public Sans" w:hAnsi="Public Sans"/>
                <w:b/>
                <w:i w:val="0"/>
                <w:color w:val="3D3E3E"/>
                <w:sz w:val="16"/>
              </w:rPr>
              <w:t>−8.8</w:t>
            </w:r>
          </w:p>
        </w:tc>
        <w:tc>
          <w:tcPr>
            <w:tcW w:type="dxa" w:w="8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SOFR </w:t>
            </w:r>
            <w:r>
              <w:rPr>
                <w:rFonts w:ascii="Public Sans" w:hAnsi="Public Sans"/>
                <w:b/>
                <w:i w:val="0"/>
                <w:color w:val="3D3E3E"/>
                <w:sz w:val="16"/>
              </w:rPr>
              <w:t>−2.6</w:t>
            </w:r>
          </w:p>
        </w:tc>
        <w:tc>
          <w:tcPr>
            <w:tcW w:type="dxa" w:w="269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S&amp;P 500 +0.38% / Nasdaq 100 +1.10%</w:t>
            </w:r>
          </w:p>
        </w:tc>
        <w:tc>
          <w:tcPr>
            <w:tcW w:type="dxa" w:w="37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Soft CPI = the move.</w:t>
            </w:r>
            <w:r>
              <w:rPr>
                <w:rFonts w:ascii="Public Sans" w:hAnsi="Public Sans"/>
                <w:b w:val="0"/>
                <w:i w:val="0"/>
                <w:color w:val="3D3E3E"/>
                <w:sz w:val="16"/>
              </w:rPr>
              <w:t xml:space="preserve"> Front-end rallied hard (bull steepener); July-hike scare priced out; USD broadly weaker; tech + gold +1.3% rallied; VIX −0.66 to 16.5.</w:t>
            </w:r>
          </w:p>
        </w:tc>
      </w:tr>
      <w:tr>
        <w:tc>
          <w:tcPr>
            <w:tcW w:type="dxa" w:w="11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China / Hong Kong</w:t>
            </w:r>
          </w:p>
        </w:tc>
        <w:tc>
          <w:tcPr>
            <w:tcW w:type="dxa" w:w="148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CNH </w:t>
            </w:r>
            <w:r>
              <w:rPr>
                <w:rFonts w:ascii="Public Sans" w:hAnsi="Public Sans"/>
                <w:b/>
                <w:i w:val="0"/>
                <w:color w:val="3D3E3E"/>
                <w:sz w:val="16"/>
              </w:rPr>
              <w:t>+0.18%</w:t>
            </w:r>
            <w:r>
              <w:rPr>
                <w:rFonts w:ascii="Public Sans" w:hAnsi="Public Sans"/>
                <w:b w:val="0"/>
                <w:i w:val="0"/>
                <w:color w:val="3D3E3E"/>
                <w:sz w:val="16"/>
              </w:rPr>
              <w:t xml:space="preserve"> / HKD </w:t>
            </w:r>
            <w:r>
              <w:rPr>
                <w:rFonts w:ascii="Public Sans" w:hAnsi="Public Sans"/>
                <w:b/>
                <w:i w:val="0"/>
                <w:color w:val="3D3E3E"/>
                <w:sz w:val="16"/>
              </w:rPr>
              <w:t>0.00%</w:t>
            </w:r>
          </w:p>
        </w:tc>
        <w:tc>
          <w:tcPr>
            <w:tcW w:type="dxa" w:w="8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HIBOR </w:t>
            </w:r>
            <w:r>
              <w:rPr>
                <w:rFonts w:ascii="Public Sans" w:hAnsi="Public Sans"/>
                <w:b/>
                <w:i w:val="0"/>
                <w:color w:val="3D3E3E"/>
                <w:sz w:val="16"/>
              </w:rPr>
              <w:t>+6.3</w:t>
            </w:r>
          </w:p>
        </w:tc>
        <w:tc>
          <w:tcPr>
            <w:tcW w:type="dxa" w:w="8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HIBOR </w:t>
            </w:r>
            <w:r>
              <w:rPr>
                <w:rFonts w:ascii="Public Sans" w:hAnsi="Public Sans"/>
                <w:b/>
                <w:i w:val="0"/>
                <w:color w:val="3D3E3E"/>
                <w:sz w:val="16"/>
              </w:rPr>
              <w:t>+4.3</w:t>
            </w:r>
          </w:p>
        </w:tc>
        <w:tc>
          <w:tcPr>
            <w:tcW w:type="dxa" w:w="269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HSI +0.52% / HSCE +0.46% / HSTECH +0.07%</w:t>
            </w:r>
          </w:p>
        </w:tc>
        <w:tc>
          <w:tcPr>
            <w:tcW w:type="dxa" w:w="37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Q2 GDP mixed</w:t>
            </w:r>
            <w:r>
              <w:rPr>
                <w:rFonts w:ascii="Public Sans" w:hAnsi="Public Sans"/>
                <w:b w:val="0"/>
                <w:i w:val="0"/>
                <w:color w:val="3D3E3E"/>
                <w:sz w:val="16"/>
              </w:rPr>
              <w:t xml:space="preserve"> — headline 4.3% misses, but IP (5.3%) + retail (+1.0%) beat; June trade record surplus $125.6bn. CNH firmer; HK curve backed up (pre-CPI Asian close); 07-15 reaction still forming.</w:t>
            </w:r>
          </w:p>
        </w:tc>
      </w:tr>
      <w:tr>
        <w:tc>
          <w:tcPr>
            <w:tcW w:type="dxa" w:w="11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Singapore</w:t>
            </w:r>
          </w:p>
        </w:tc>
        <w:tc>
          <w:tcPr>
            <w:tcW w:type="dxa" w:w="148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SGD </w:t>
            </w:r>
            <w:r>
              <w:rPr>
                <w:rFonts w:ascii="Public Sans" w:hAnsi="Public Sans"/>
                <w:b/>
                <w:i w:val="0"/>
                <w:color w:val="3D3E3E"/>
                <w:sz w:val="16"/>
              </w:rPr>
              <w:t>+0.28%</w:t>
            </w:r>
          </w:p>
        </w:tc>
        <w:tc>
          <w:tcPr>
            <w:tcW w:type="dxa" w:w="8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SORA </w:t>
            </w:r>
            <w:r>
              <w:rPr>
                <w:rFonts w:ascii="Public Sans" w:hAnsi="Public Sans"/>
                <w:b/>
                <w:i w:val="0"/>
                <w:color w:val="3D3E3E"/>
                <w:sz w:val="16"/>
              </w:rPr>
              <w:t>+4.8</w:t>
            </w:r>
          </w:p>
        </w:tc>
        <w:tc>
          <w:tcPr>
            <w:tcW w:type="dxa" w:w="8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SORA </w:t>
            </w:r>
            <w:r>
              <w:rPr>
                <w:rFonts w:ascii="Public Sans" w:hAnsi="Public Sans"/>
                <w:b/>
                <w:i w:val="0"/>
                <w:color w:val="3D3E3E"/>
                <w:sz w:val="16"/>
              </w:rPr>
              <w:t>+5.8</w:t>
            </w:r>
          </w:p>
        </w:tc>
        <w:tc>
          <w:tcPr>
            <w:tcW w:type="dxa" w:w="269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SIMSCI +0.31%</w:t>
            </w:r>
          </w:p>
        </w:tc>
        <w:tc>
          <w:tcPr>
            <w:tcW w:type="dxa" w:w="37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Advance Q2 GDP beat 5.7%.</w:t>
            </w:r>
            <w:r>
              <w:rPr>
                <w:rFonts w:ascii="Public Sans" w:hAnsi="Public Sans"/>
                <w:b w:val="0"/>
                <w:i w:val="0"/>
                <w:color w:val="3D3E3E"/>
                <w:sz w:val="16"/>
              </w:rPr>
              <w:t xml:space="preserve"> SORA backed up on the strong print (pre-CPI close); Citi reiterates July S$NEER steepening. MAS MPS is late-Jul, not today.</w:t>
            </w:r>
          </w:p>
        </w:tc>
      </w:tr>
      <w:tr>
        <w:tc>
          <w:tcPr>
            <w:tcW w:type="dxa" w:w="11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Canada</w:t>
            </w:r>
          </w:p>
        </w:tc>
        <w:tc>
          <w:tcPr>
            <w:tcW w:type="dxa" w:w="148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CAD </w:t>
            </w:r>
            <w:r>
              <w:rPr>
                <w:rFonts w:ascii="Public Sans" w:hAnsi="Public Sans"/>
                <w:b/>
                <w:i w:val="0"/>
                <w:color w:val="3D3E3E"/>
                <w:sz w:val="16"/>
              </w:rPr>
              <w:t>+0.64%</w:t>
            </w:r>
          </w:p>
        </w:tc>
        <w:tc>
          <w:tcPr>
            <w:tcW w:type="dxa" w:w="8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CORRA </w:t>
            </w:r>
            <w:r>
              <w:rPr>
                <w:rFonts w:ascii="Public Sans" w:hAnsi="Public Sans"/>
                <w:b/>
                <w:i w:val="0"/>
                <w:color w:val="3D3E3E"/>
                <w:sz w:val="16"/>
              </w:rPr>
              <w:t>−1.9</w:t>
            </w:r>
          </w:p>
        </w:tc>
        <w:tc>
          <w:tcPr>
            <w:tcW w:type="dxa" w:w="8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CORRA </w:t>
            </w:r>
            <w:r>
              <w:rPr>
                <w:rFonts w:ascii="Public Sans" w:hAnsi="Public Sans"/>
                <w:b/>
                <w:i w:val="0"/>
                <w:color w:val="3D3E3E"/>
                <w:sz w:val="16"/>
              </w:rPr>
              <w:t>+1.1</w:t>
            </w:r>
          </w:p>
        </w:tc>
        <w:tc>
          <w:tcPr>
            <w:tcW w:type="dxa" w:w="269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n/l</w:t>
            </w:r>
          </w:p>
        </w:tc>
        <w:tc>
          <w:tcPr>
            <w:tcW w:type="dxa" w:w="37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BoC + MPR + presser today</w:t>
            </w:r>
            <w:r>
              <w:rPr>
                <w:rFonts w:ascii="Public Sans" w:hAnsi="Public Sans"/>
                <w:b w:val="0"/>
                <w:i w:val="0"/>
                <w:color w:val="3D3E3E"/>
                <w:sz w:val="16"/>
              </w:rPr>
              <w:t xml:space="preserve"> (hold 2.25% base case). CAD firmed on soft US CPI; front nudged lower. Nomura booked long USD/CAD (+2.1%); MS "1.42 too rich."</w:t>
            </w:r>
          </w:p>
        </w:tc>
      </w:tr>
      <w:tr>
        <w:tc>
          <w:tcPr>
            <w:tcW w:type="dxa" w:w="11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New Zealand</w:t>
            </w:r>
          </w:p>
        </w:tc>
        <w:tc>
          <w:tcPr>
            <w:tcW w:type="dxa" w:w="148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NZD </w:t>
            </w:r>
            <w:r>
              <w:rPr>
                <w:rFonts w:ascii="Public Sans" w:hAnsi="Public Sans"/>
                <w:b/>
                <w:i w:val="0"/>
                <w:color w:val="3D3E3E"/>
                <w:sz w:val="16"/>
              </w:rPr>
              <w:t>+0.85%</w:t>
            </w:r>
          </w:p>
        </w:tc>
        <w:tc>
          <w:tcPr>
            <w:tcW w:type="dxa" w:w="8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NZIONA </w:t>
            </w:r>
            <w:r>
              <w:rPr>
                <w:rFonts w:ascii="Public Sans" w:hAnsi="Public Sans"/>
                <w:b/>
                <w:i w:val="0"/>
                <w:color w:val="3D3E3E"/>
                <w:sz w:val="16"/>
              </w:rPr>
              <w:t>−2.1</w:t>
            </w:r>
          </w:p>
        </w:tc>
        <w:tc>
          <w:tcPr>
            <w:tcW w:type="dxa" w:w="8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NZIONA </w:t>
            </w:r>
            <w:r>
              <w:rPr>
                <w:rFonts w:ascii="Public Sans" w:hAnsi="Public Sans"/>
                <w:b/>
                <w:i w:val="0"/>
                <w:color w:val="3D3E3E"/>
                <w:sz w:val="16"/>
              </w:rPr>
              <w:t>−1.3</w:t>
            </w:r>
          </w:p>
        </w:tc>
        <w:tc>
          <w:tcPr>
            <w:tcW w:type="dxa" w:w="269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n/l</w:t>
            </w:r>
          </w:p>
        </w:tc>
        <w:tc>
          <w:tcPr>
            <w:tcW w:type="dxa" w:w="37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Kiwi firmest in the universe. QSBO acute pricing (selling price 22→41); ANZ Sep+Oct, UBS Sep+Dec hikes; Q2 CPI 21-Jul the fork.</w:t>
            </w:r>
          </w:p>
        </w:tc>
      </w:tr>
      <w:tr>
        <w:tc>
          <w:tcPr>
            <w:tcW w:type="dxa" w:w="11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India</w:t>
            </w:r>
          </w:p>
        </w:tc>
        <w:tc>
          <w:tcPr>
            <w:tcW w:type="dxa" w:w="148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INR </w:t>
            </w:r>
            <w:r>
              <w:rPr>
                <w:rFonts w:ascii="Public Sans" w:hAnsi="Public Sans"/>
                <w:b/>
                <w:i w:val="0"/>
                <w:color w:val="3D3E3E"/>
                <w:sz w:val="16"/>
              </w:rPr>
              <w:t>−0.45%</w:t>
            </w:r>
          </w:p>
        </w:tc>
        <w:tc>
          <w:tcPr>
            <w:tcW w:type="dxa" w:w="8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MIBOR </w:t>
            </w:r>
            <w:r>
              <w:rPr>
                <w:rFonts w:ascii="Public Sans" w:hAnsi="Public Sans"/>
                <w:b/>
                <w:i w:val="0"/>
                <w:color w:val="3D3E3E"/>
                <w:sz w:val="16"/>
              </w:rPr>
              <w:t>+14.1</w:t>
            </w:r>
          </w:p>
        </w:tc>
        <w:tc>
          <w:tcPr>
            <w:tcW w:type="dxa" w:w="8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MIBOR </w:t>
            </w:r>
            <w:r>
              <w:rPr>
                <w:rFonts w:ascii="Public Sans" w:hAnsi="Public Sans"/>
                <w:b/>
                <w:i w:val="0"/>
                <w:color w:val="3D3E3E"/>
                <w:sz w:val="16"/>
              </w:rPr>
              <w:t>+15.0</w:t>
            </w:r>
          </w:p>
        </w:tc>
        <w:tc>
          <w:tcPr>
            <w:tcW w:type="dxa" w:w="269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Nifty 50 −0.66%</w:t>
            </w:r>
          </w:p>
        </w:tc>
        <w:tc>
          <w:tcPr>
            <w:tcW w:type="dxa" w:w="37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Only universe FX lower.</w:t>
            </w:r>
            <w:r>
              <w:rPr>
                <w:rFonts w:ascii="Public Sans" w:hAnsi="Public Sans"/>
                <w:b w:val="0"/>
                <w:i w:val="0"/>
                <w:color w:val="3D3E3E"/>
                <w:sz w:val="16"/>
              </w:rPr>
              <w:t xml:space="preserve"> Hot CPI (4.38%) + WPI (9.87%) + oil + trade deficit $30.4bn; rates backed up most in the universe (pre-CPI Asian tape); equities off. SocGen booked short EUR/INR.</w:t>
            </w:r>
          </w:p>
        </w:tc>
      </w:tr>
      <w:tr>
        <w:tc>
          <w:tcPr>
            <w:tcW w:type="dxa" w:w="11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Japan</w:t>
            </w:r>
          </w:p>
        </w:tc>
        <w:tc>
          <w:tcPr>
            <w:tcW w:type="dxa" w:w="148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JPY </w:t>
            </w:r>
            <w:r>
              <w:rPr>
                <w:rFonts w:ascii="Public Sans" w:hAnsi="Public Sans"/>
                <w:b/>
                <w:i w:val="0"/>
                <w:color w:val="3D3E3E"/>
                <w:sz w:val="16"/>
              </w:rPr>
              <w:t>+0.14%</w:t>
            </w:r>
          </w:p>
        </w:tc>
        <w:tc>
          <w:tcPr>
            <w:tcW w:type="dxa" w:w="8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TONAR </w:t>
            </w:r>
            <w:r>
              <w:rPr>
                <w:rFonts w:ascii="Public Sans" w:hAnsi="Public Sans"/>
                <w:b/>
                <w:i w:val="0"/>
                <w:color w:val="3D3E3E"/>
                <w:sz w:val="16"/>
              </w:rPr>
              <w:t>−2.3</w:t>
            </w:r>
          </w:p>
        </w:tc>
        <w:tc>
          <w:tcPr>
            <w:tcW w:type="dxa" w:w="8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TONAR </w:t>
            </w:r>
            <w:r>
              <w:rPr>
                <w:rFonts w:ascii="Public Sans" w:hAnsi="Public Sans"/>
                <w:b/>
                <w:i w:val="0"/>
                <w:color w:val="3D3E3E"/>
                <w:sz w:val="16"/>
              </w:rPr>
              <w:t>−9.5</w:t>
            </w:r>
          </w:p>
        </w:tc>
        <w:tc>
          <w:tcPr>
            <w:tcW w:type="dxa" w:w="269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Nikkei +0.75% / TOPIX +0.79%</w:t>
            </w:r>
          </w:p>
        </w:tc>
        <w:tc>
          <w:tcPr>
            <w:tcW w:type="dxa" w:w="37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Long end rallied hard on GPIF/Katayama repatriation (Citi: incremental); equities rebounded from Monday's rout; JPY ~flat. IP final soft (0.1% m/m).</w:t>
            </w:r>
          </w:p>
        </w:tc>
      </w:tr>
      <w:tr>
        <w:tc>
          <w:tcPr>
            <w:tcW w:type="dxa" w:w="11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Australia</w:t>
            </w:r>
          </w:p>
        </w:tc>
        <w:tc>
          <w:tcPr>
            <w:tcW w:type="dxa" w:w="148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AUD </w:t>
            </w:r>
            <w:r>
              <w:rPr>
                <w:rFonts w:ascii="Public Sans" w:hAnsi="Public Sans"/>
                <w:b/>
                <w:i w:val="0"/>
                <w:color w:val="3D3E3E"/>
                <w:sz w:val="16"/>
              </w:rPr>
              <w:t>+0.82%</w:t>
            </w:r>
          </w:p>
        </w:tc>
        <w:tc>
          <w:tcPr>
            <w:tcW w:type="dxa" w:w="8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AONIA </w:t>
            </w:r>
            <w:r>
              <w:rPr>
                <w:rFonts w:ascii="Public Sans" w:hAnsi="Public Sans"/>
                <w:b/>
                <w:i w:val="0"/>
                <w:color w:val="3D3E3E"/>
                <w:sz w:val="16"/>
              </w:rPr>
              <w:t>−2.7</w:t>
            </w:r>
          </w:p>
        </w:tc>
        <w:tc>
          <w:tcPr>
            <w:tcW w:type="dxa" w:w="8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AONIA </w:t>
            </w:r>
            <w:r>
              <w:rPr>
                <w:rFonts w:ascii="Public Sans" w:hAnsi="Public Sans"/>
                <w:b/>
                <w:i w:val="0"/>
                <w:color w:val="3D3E3E"/>
                <w:sz w:val="16"/>
              </w:rPr>
              <w:t>−2.6</w:t>
            </w:r>
          </w:p>
        </w:tc>
        <w:tc>
          <w:tcPr>
            <w:tcW w:type="dxa" w:w="269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ASX 200 flat (stale)</w:t>
            </w:r>
          </w:p>
        </w:tc>
        <w:tc>
          <w:tcPr>
            <w:tcW w:type="dxa" w:w="37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AUD strong on soft US CPI. NAB confidence −5, Westpac consumer +4.1% (both beat); ANZ stays short AUD rates (paid Dec-26 RBA OIS); Q2 CPI 29-Jul.</w:t>
            </w:r>
          </w:p>
        </w:tc>
      </w:tr>
      <w:tr>
        <w:tc>
          <w:tcPr>
            <w:tcW w:type="dxa" w:w="11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Euro area</w:t>
            </w:r>
          </w:p>
        </w:tc>
        <w:tc>
          <w:tcPr>
            <w:tcW w:type="dxa" w:w="148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EUR </w:t>
            </w:r>
            <w:r>
              <w:rPr>
                <w:rFonts w:ascii="Public Sans" w:hAnsi="Public Sans"/>
                <w:b/>
                <w:i w:val="0"/>
                <w:color w:val="3D3E3E"/>
                <w:sz w:val="16"/>
              </w:rPr>
              <w:t>+0.36%</w:t>
            </w:r>
          </w:p>
        </w:tc>
        <w:tc>
          <w:tcPr>
            <w:tcW w:type="dxa" w:w="8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ESTR </w:t>
            </w:r>
            <w:r>
              <w:rPr>
                <w:rFonts w:ascii="Public Sans" w:hAnsi="Public Sans"/>
                <w:b/>
                <w:i w:val="0"/>
                <w:color w:val="3D3E3E"/>
                <w:sz w:val="16"/>
              </w:rPr>
              <w:t>+8.5</w:t>
            </w:r>
          </w:p>
        </w:tc>
        <w:tc>
          <w:tcPr>
            <w:tcW w:type="dxa" w:w="8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ESTR </w:t>
            </w:r>
            <w:r>
              <w:rPr>
                <w:rFonts w:ascii="Public Sans" w:hAnsi="Public Sans"/>
                <w:b/>
                <w:i w:val="0"/>
                <w:color w:val="3D3E3E"/>
                <w:sz w:val="16"/>
              </w:rPr>
              <w:t>+3.6</w:t>
            </w:r>
          </w:p>
        </w:tc>
        <w:tc>
          <w:tcPr>
            <w:tcW w:type="dxa" w:w="269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Euro Stoxx 50 +0.15% / Banks +0.51%</w:t>
            </w:r>
          </w:p>
        </w:tc>
        <w:tc>
          <w:tcPr>
            <w:tcW w:type="dxa" w:w="37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Divergent DM mover:</w:t>
            </w:r>
            <w:r>
              <w:rPr>
                <w:rFonts w:ascii="Public Sans" w:hAnsi="Public Sans"/>
                <w:b w:val="0"/>
                <w:i w:val="0"/>
                <w:color w:val="3D3E3E"/>
                <w:sz w:val="16"/>
              </w:rPr>
              <w:t xml:space="preserve"> ESTR backed up (oil / "too hot to hike" ECB read); EUR firmer vs USD. Context row for the US book.</w:t>
            </w:r>
          </w:p>
        </w:tc>
      </w:tr>
      <w:tr>
        <w:tc>
          <w:tcPr>
            <w:tcW w:type="dxa" w:w="11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Philippines</w:t>
            </w:r>
          </w:p>
        </w:tc>
        <w:tc>
          <w:tcPr>
            <w:tcW w:type="dxa" w:w="148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PHP </w:t>
            </w:r>
            <w:r>
              <w:rPr>
                <w:rFonts w:ascii="Public Sans" w:hAnsi="Public Sans"/>
                <w:b/>
                <w:i w:val="0"/>
                <w:color w:val="3D3E3E"/>
                <w:sz w:val="16"/>
              </w:rPr>
              <w:t>+0.10%</w:t>
            </w:r>
          </w:p>
        </w:tc>
        <w:tc>
          <w:tcPr>
            <w:tcW w:type="dxa" w:w="8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PHIREF </w:t>
            </w:r>
            <w:r>
              <w:rPr>
                <w:rFonts w:ascii="Public Sans" w:hAnsi="Public Sans"/>
                <w:b/>
                <w:i w:val="0"/>
                <w:color w:val="3D3E3E"/>
                <w:sz w:val="16"/>
              </w:rPr>
              <w:t>+11.5</w:t>
            </w:r>
          </w:p>
        </w:tc>
        <w:tc>
          <w:tcPr>
            <w:tcW w:type="dxa" w:w="8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PHIREF </w:t>
            </w:r>
            <w:r>
              <w:rPr>
                <w:rFonts w:ascii="Public Sans" w:hAnsi="Public Sans"/>
                <w:b/>
                <w:i w:val="0"/>
                <w:color w:val="3D3E3E"/>
                <w:sz w:val="16"/>
              </w:rPr>
              <w:t>+3.7</w:t>
            </w:r>
          </w:p>
        </w:tc>
        <w:tc>
          <w:tcPr>
            <w:tcW w:type="dxa" w:w="269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n/l</w:t>
            </w:r>
          </w:p>
        </w:tc>
        <w:tc>
          <w:tcPr>
            <w:tcW w:type="dxa" w:w="37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Peso firmer modestly; front backed up hard (pre-CPI Asian tape); UBS local-conviction equity note; StanC 5.00% Aug + RPGB carry (carried).</w:t>
            </w:r>
          </w:p>
        </w:tc>
      </w:tr>
      <w:tr>
        <w:tc>
          <w:tcPr>
            <w:tcW w:type="dxa" w:w="11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Thailand</w:t>
            </w:r>
          </w:p>
        </w:tc>
        <w:tc>
          <w:tcPr>
            <w:tcW w:type="dxa" w:w="148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THB </w:t>
            </w:r>
            <w:r>
              <w:rPr>
                <w:rFonts w:ascii="Public Sans" w:hAnsi="Public Sans"/>
                <w:b/>
                <w:i w:val="0"/>
                <w:color w:val="3D3E3E"/>
                <w:sz w:val="16"/>
              </w:rPr>
              <w:t>+0.14%</w:t>
            </w:r>
          </w:p>
        </w:tc>
        <w:tc>
          <w:tcPr>
            <w:tcW w:type="dxa" w:w="8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THOR </w:t>
            </w:r>
            <w:r>
              <w:rPr>
                <w:rFonts w:ascii="Public Sans" w:hAnsi="Public Sans"/>
                <w:b/>
                <w:i w:val="0"/>
                <w:color w:val="3D3E3E"/>
                <w:sz w:val="16"/>
              </w:rPr>
              <w:t>+4.3</w:t>
            </w:r>
          </w:p>
        </w:tc>
        <w:tc>
          <w:tcPr>
            <w:tcW w:type="dxa" w:w="8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THOR </w:t>
            </w:r>
            <w:r>
              <w:rPr>
                <w:rFonts w:ascii="Public Sans" w:hAnsi="Public Sans"/>
                <w:b/>
                <w:i w:val="0"/>
                <w:color w:val="3D3E3E"/>
                <w:sz w:val="16"/>
              </w:rPr>
              <w:t>+5.9</w:t>
            </w:r>
          </w:p>
        </w:tc>
        <w:tc>
          <w:tcPr>
            <w:tcW w:type="dxa" w:w="269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SET −0.16%</w:t>
            </w:r>
          </w:p>
        </w:tc>
        <w:tc>
          <w:tcPr>
            <w:tcW w:type="dxa" w:w="37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THB ~flat; rates backed up (pre-CPI close); Citi took profit on long USD/THB, rolled bearish PHP (18064); BoT on hold.</w:t>
            </w:r>
          </w:p>
        </w:tc>
      </w:tr>
      <w:tr>
        <w:tc>
          <w:tcPr>
            <w:tcW w:type="dxa" w:w="11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Indonesia</w:t>
            </w:r>
          </w:p>
        </w:tc>
        <w:tc>
          <w:tcPr>
            <w:tcW w:type="dxa" w:w="148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IDR </w:t>
            </w:r>
            <w:r>
              <w:rPr>
                <w:rFonts w:ascii="Public Sans" w:hAnsi="Public Sans"/>
                <w:b/>
                <w:i w:val="0"/>
                <w:color w:val="3D3E3E"/>
                <w:sz w:val="16"/>
              </w:rPr>
              <w:t>+0.27%</w:t>
            </w:r>
          </w:p>
        </w:tc>
        <w:tc>
          <w:tcPr>
            <w:tcW w:type="dxa" w:w="8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JIBOR </w:t>
            </w:r>
            <w:r>
              <w:rPr>
                <w:rFonts w:ascii="Public Sans" w:hAnsi="Public Sans"/>
                <w:b/>
                <w:i w:val="0"/>
                <w:color w:val="3D3E3E"/>
                <w:sz w:val="16"/>
              </w:rPr>
              <w:t>+0.9</w:t>
            </w:r>
          </w:p>
        </w:tc>
        <w:tc>
          <w:tcPr>
            <w:tcW w:type="dxa" w:w="8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JIBOR </w:t>
            </w:r>
            <w:r>
              <w:rPr>
                <w:rFonts w:ascii="Public Sans" w:hAnsi="Public Sans"/>
                <w:b/>
                <w:i w:val="0"/>
                <w:color w:val="3D3E3E"/>
                <w:sz w:val="16"/>
              </w:rPr>
              <w:t>+5.3</w:t>
            </w:r>
          </w:p>
        </w:tc>
        <w:tc>
          <w:tcPr>
            <w:tcW w:type="dxa" w:w="269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n/l</w:t>
            </w:r>
          </w:p>
        </w:tc>
        <w:tc>
          <w:tcPr>
            <w:tcW w:type="dxa" w:w="37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IDR firmer on soft USD; 2026 fiscal deficit target raised to 2.85% (fuel subsidy); JPM MW IDR / MW IndoGBs; BI 22-Jul.</w:t>
            </w:r>
          </w:p>
        </w:tc>
      </w:tr>
      <w:tr>
        <w:tc>
          <w:tcPr>
            <w:tcW w:type="dxa" w:w="11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Malaysia</w:t>
            </w:r>
          </w:p>
        </w:tc>
        <w:tc>
          <w:tcPr>
            <w:tcW w:type="dxa" w:w="148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MYR </w:t>
            </w:r>
            <w:r>
              <w:rPr>
                <w:rFonts w:ascii="Public Sans" w:hAnsi="Public Sans"/>
                <w:b/>
                <w:i w:val="0"/>
                <w:color w:val="3D3E3E"/>
                <w:sz w:val="16"/>
              </w:rPr>
              <w:t>+0.25%</w:t>
            </w:r>
          </w:p>
        </w:tc>
        <w:tc>
          <w:tcPr>
            <w:tcW w:type="dxa" w:w="8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KLIBOR </w:t>
            </w:r>
            <w:r>
              <w:rPr>
                <w:rFonts w:ascii="Public Sans" w:hAnsi="Public Sans"/>
                <w:b/>
                <w:i w:val="0"/>
                <w:color w:val="3D3E3E"/>
                <w:sz w:val="16"/>
              </w:rPr>
              <w:t>+2.3</w:t>
            </w:r>
          </w:p>
        </w:tc>
        <w:tc>
          <w:tcPr>
            <w:tcW w:type="dxa" w:w="8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KLIBOR </w:t>
            </w:r>
            <w:r>
              <w:rPr>
                <w:rFonts w:ascii="Public Sans" w:hAnsi="Public Sans"/>
                <w:b/>
                <w:i w:val="0"/>
                <w:color w:val="3D3E3E"/>
                <w:sz w:val="16"/>
              </w:rPr>
              <w:t>+2.5</w:t>
            </w:r>
          </w:p>
        </w:tc>
        <w:tc>
          <w:tcPr>
            <w:tcW w:type="dxa" w:w="269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n/l</w:t>
            </w:r>
          </w:p>
        </w:tc>
        <w:tc>
          <w:tcPr>
            <w:tcW w:type="dxa" w:w="370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MYR firmer; rates nudged up; CPI (survey 2.0%) + Q2 GDP prelim (fcst 5.3%) both </w:t>
            </w:r>
            <w:r>
              <w:rPr>
                <w:rFonts w:ascii="Public Sans" w:hAnsi="Public Sans"/>
                <w:b/>
                <w:i w:val="0"/>
                <w:color w:val="3D3E3E"/>
                <w:sz w:val="16"/>
              </w:rPr>
              <w:t>17-Jul</w:t>
            </w:r>
            <w:r>
              <w:rPr>
                <w:rFonts w:ascii="Public Sans" w:hAnsi="Public Sans"/>
                <w:b w:val="0"/>
                <w:i w:val="0"/>
                <w:color w:val="3D3E3E"/>
                <w:sz w:val="16"/>
              </w:rPr>
              <w:t xml:space="preserve"> — forward. Quiet in-window.</w:t>
            </w:r>
          </w:p>
        </w:tc>
      </w:tr>
      <w:tr>
        <w:tc>
          <w:tcPr>
            <w:tcW w:type="dxa" w:w="11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United Kingdom</w:t>
            </w:r>
          </w:p>
        </w:tc>
        <w:tc>
          <w:tcPr>
            <w:tcW w:type="dxa" w:w="148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GBP </w:t>
            </w:r>
            <w:r>
              <w:rPr>
                <w:rFonts w:ascii="Public Sans" w:hAnsi="Public Sans"/>
                <w:b/>
                <w:i w:val="0"/>
                <w:color w:val="3D3E3E"/>
                <w:sz w:val="16"/>
              </w:rPr>
              <w:t>+0.35%</w:t>
            </w:r>
          </w:p>
        </w:tc>
        <w:tc>
          <w:tcPr>
            <w:tcW w:type="dxa" w:w="8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SONIA </w:t>
            </w:r>
            <w:r>
              <w:rPr>
                <w:rFonts w:ascii="Public Sans" w:hAnsi="Public Sans"/>
                <w:b/>
                <w:i w:val="0"/>
                <w:color w:val="3D3E3E"/>
                <w:sz w:val="16"/>
              </w:rPr>
              <w:t>−2.7</w:t>
            </w:r>
          </w:p>
        </w:tc>
        <w:tc>
          <w:tcPr>
            <w:tcW w:type="dxa" w:w="8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SONIA </w:t>
            </w:r>
            <w:r>
              <w:rPr>
                <w:rFonts w:ascii="Public Sans" w:hAnsi="Public Sans"/>
                <w:b/>
                <w:i w:val="0"/>
                <w:color w:val="3D3E3E"/>
                <w:sz w:val="16"/>
              </w:rPr>
              <w:t>−1.9</w:t>
            </w:r>
          </w:p>
        </w:tc>
        <w:tc>
          <w:tcPr>
            <w:tcW w:type="dxa" w:w="269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FTSE n/l (07-14)</w:t>
            </w:r>
          </w:p>
        </w:tc>
        <w:tc>
          <w:tcPr>
            <w:tcW w:type="dxa" w:w="370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GBP firmer, front-end rallied with US. HSBC receives GBP 1Y1Y (fades the ~80% Sep-hike pricing); GDP 16-Jul; Burnham Budget in focus.</w:t>
            </w:r>
          </w:p>
        </w:tc>
      </w:tr>
    </w:tbl>
    <w:p>
      <w:pPr>
        <w:spacing w:after="80" w:line="283" w:lineRule="auto"/>
      </w:pPr>
      <w:r>
        <w:rPr>
          <w:rFonts w:ascii="Public Sans" w:hAnsi="Public Sans"/>
          <w:b w:val="0"/>
          <w:i/>
          <w:color w:val="3D3E3E"/>
          <w:sz w:val="19"/>
        </w:rPr>
        <w:t>Oil/vol footnote:</w:t>
      </w:r>
      <w:r>
        <w:rPr>
          <w:rFonts w:ascii="Public Sans" w:hAnsi="Public Sans"/>
          <w:b w:val="0"/>
          <w:i w:val="0"/>
          <w:color w:val="3D3E3E"/>
          <w:sz w:val="19"/>
        </w:rPr>
        <w:t xml:space="preserve"> WTI now </w:t>
      </w:r>
      <w:r>
        <w:rPr>
          <w:rFonts w:ascii="Public Sans" w:hAnsi="Public Sans"/>
          <w:b/>
          <w:i w:val="0"/>
          <w:color w:val="3D3E3E"/>
          <w:sz w:val="19"/>
        </w:rPr>
        <w:t>booked in IMDR at $78.78</w:t>
      </w:r>
      <w:r>
        <w:rPr>
          <w:rFonts w:ascii="Public Sans" w:hAnsi="Public Sans"/>
          <w:b w:val="0"/>
          <w:i w:val="0"/>
          <w:color w:val="3D3E3E"/>
          <w:sz w:val="19"/>
        </w:rPr>
        <w:t xml:space="preserve"> (commodities.fact_spot, 07-13 — the Hormuz-blockade spike, +9% from 72.27 on 07-10); no 07-14 tick yet. Brent ~</w:t>
      </w:r>
      <w:r>
        <w:rPr>
          <w:rFonts w:ascii="Public Sans" w:hAnsi="Public Sans"/>
          <w:b/>
          <w:i w:val="0"/>
          <w:color w:val="3D3E3E"/>
          <w:sz w:val="19"/>
        </w:rPr>
        <w:t>$83-84</w:t>
      </w:r>
      <w:r>
        <w:rPr>
          <w:rFonts w:ascii="Public Sans" w:hAnsi="Public Sans"/>
          <w:b w:val="0"/>
          <w:i w:val="0"/>
          <w:color w:val="3D3E3E"/>
          <w:sz w:val="19"/>
        </w:rPr>
        <w:t xml:space="preserve"> remains sell-side (DB/GS). Gold </w:t>
      </w:r>
      <w:r>
        <w:rPr>
          <w:rFonts w:ascii="Public Sans" w:hAnsi="Public Sans"/>
          <w:b/>
          <w:i w:val="0"/>
          <w:color w:val="3D3E3E"/>
          <w:sz w:val="19"/>
        </w:rPr>
        <w:t>4,055</w:t>
      </w:r>
      <w:r>
        <w:rPr>
          <w:rFonts w:ascii="Public Sans" w:hAnsi="Public Sans"/>
          <w:b w:val="0"/>
          <w:i w:val="0"/>
          <w:color w:val="3D3E3E"/>
          <w:sz w:val="19"/>
        </w:rPr>
        <w:t xml:space="preserve"> (07-14, </w:t>
      </w:r>
      <w:r>
        <w:rPr>
          <w:rFonts w:ascii="Public Sans" w:hAnsi="Public Sans"/>
          <w:b/>
          <w:i w:val="0"/>
          <w:color w:val="3D3E3E"/>
          <w:sz w:val="19"/>
        </w:rPr>
        <w:t>+1.34%</w:t>
      </w:r>
      <w:r>
        <w:rPr>
          <w:rFonts w:ascii="Public Sans" w:hAnsi="Public Sans"/>
          <w:b w:val="0"/>
          <w:i w:val="0"/>
          <w:color w:val="3D3E3E"/>
          <w:sz w:val="19"/>
        </w:rPr>
        <w:t xml:space="preserve"> DoD, fact_spot); silver 59.25 (+1.87%). </w:t>
      </w:r>
      <w:r>
        <w:rPr>
          <w:rFonts w:ascii="Public Sans" w:hAnsi="Public Sans"/>
          <w:b/>
          <w:i w:val="0"/>
          <w:color w:val="3D3E3E"/>
          <w:sz w:val="19"/>
        </w:rPr>
        <w:t>VIX</w:t>
      </w:r>
      <w:r>
        <w:rPr>
          <w:rFonts w:ascii="Public Sans" w:hAnsi="Public Sans"/>
          <w:b w:val="0"/>
          <w:i w:val="0"/>
          <w:color w:val="3D3E3E"/>
          <w:sz w:val="19"/>
        </w:rPr>
        <w:t xml:space="preserve"> 16.5 (07-14, </w:t>
      </w:r>
      <w:r>
        <w:rPr>
          <w:rFonts w:ascii="Public Sans" w:hAnsi="Public Sans"/>
          <w:b/>
          <w:i w:val="0"/>
          <w:color w:val="3D3E3E"/>
          <w:sz w:val="19"/>
        </w:rPr>
        <w:t>−0.66</w:t>
      </w:r>
      <w:r>
        <w:rPr>
          <w:rFonts w:ascii="Public Sans" w:hAnsi="Public Sans"/>
          <w:b w:val="0"/>
          <w:i w:val="0"/>
          <w:color w:val="3D3E3E"/>
          <w:sz w:val="19"/>
        </w:rPr>
        <w:t xml:space="preserve"> DoD, fact_vix); VXN 26.28 (−1.02), VVIX 93.53 (−1.75), VIX9D 13.46 (−1.67) — risk premium came off on the soft print. </w:t>
      </w:r>
      <w:r>
        <w:rPr>
          <w:rFonts w:ascii="Public Sans" w:hAnsi="Public Sans"/>
          <w:b/>
          <w:i w:val="0"/>
          <w:color w:val="3D3E3E"/>
          <w:sz w:val="19"/>
        </w:rPr>
        <w:t>DXY</w:t>
      </w:r>
      <w:r>
        <w:rPr>
          <w:rFonts w:ascii="Public Sans" w:hAnsi="Public Sans"/>
          <w:b w:val="0"/>
          <w:i w:val="0"/>
          <w:color w:val="3D3E3E"/>
          <w:sz w:val="19"/>
        </w:rPr>
        <w:t xml:space="preserve"> not loaded (agent proxy via crosses; Citi 18316 has it recovering most of the intraday CPI drop). </w:t>
      </w:r>
      <w:r>
        <w:rPr>
          <w:rFonts w:ascii="Public Sans" w:hAnsi="Public Sans"/>
          <w:b/>
          <w:i w:val="0"/>
          <w:color w:val="3D3E3E"/>
          <w:sz w:val="19"/>
        </w:rPr>
        <w:t>Equity flag:</w:t>
      </w:r>
      <w:r>
        <w:rPr>
          <w:rFonts w:ascii="Public Sans" w:hAnsi="Public Sans"/>
          <w:b w:val="0"/>
          <w:i w:val="0"/>
          <w:color w:val="3D3E3E"/>
          <w:sz w:val="19"/>
        </w:rPr>
        <w:t xml:space="preserve"> fact_index_level fresh to </w:t>
      </w:r>
      <w:r>
        <w:rPr>
          <w:rFonts w:ascii="Public Sans" w:hAnsi="Public Sans"/>
          <w:b/>
          <w:i w:val="0"/>
          <w:color w:val="3D3E3E"/>
          <w:sz w:val="19"/>
        </w:rPr>
        <w:t>07-14</w:t>
      </w:r>
      <w:r>
        <w:rPr>
          <w:rFonts w:ascii="Public Sans" w:hAnsi="Public Sans"/>
          <w:b w:val="0"/>
          <w:i w:val="0"/>
          <w:color w:val="3D3E3E"/>
          <w:sz w:val="19"/>
        </w:rPr>
        <w:t xml:space="preserve">; ASX 200 shows an unchanged 8,808.5 (stale — no fresh tick). MSCI Taiwan −1.42% / Nifty −0.66% the regional laggards. fact_bond_yield EMPTY — cash govt yields not loaded; rates are swap/OIS. </w:t>
      </w:r>
      <w:r>
        <w:rPr>
          <w:rFonts w:ascii="Public Sans" w:hAnsi="Public Sans"/>
          <w:b/>
          <w:i w:val="0"/>
          <w:color w:val="3D3E3E"/>
          <w:sz w:val="19"/>
        </w:rPr>
        <w:t>Rows ordered by event proximity + move magnitude.</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5. CB / macro dashboard</w:t>
      </w:r>
      <w:r>
        <w:rPr>
          <w:rFonts w:ascii="Public Sans" w:hAnsi="Public Sans"/>
          <w:i/>
          <w:color w:val="7A7C7C"/>
          <w:sz w:val="16"/>
        </w:rPr>
        <w:t xml:space="preserve">   FACT — calendar.cb_events</w:t>
      </w:r>
    </w:p>
    <w:p>
      <w:pPr>
        <w:spacing w:after="80" w:line="283" w:lineRule="auto"/>
      </w:pPr>
      <w:r>
        <w:rPr>
          <w:rFonts w:ascii="Public Sans" w:hAnsi="Public Sans"/>
          <w:b w:val="0"/>
          <w:i w:val="0"/>
          <w:color w:val="3D3E3E"/>
          <w:sz w:val="19"/>
        </w:rPr>
        <w:t>One row per covered country. Policy rate = last decided rate on a verified decision row; last move and next event verified against cb_events. The BoC decides later today (the day's remaining forward event); China's Q2 GDP + June activity have printed (mixed — headline miss, activity beat); Korea's BoK is a well-flagged +25bp Thursday (outside the universe). The 07-15 macro prints in cb_events are China GDP/IP/retail/FAI; the 07-14 prints (US CPI, SG GDP, China trade, India WPI, AU surveys) are all confirmed.</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93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Country</w:t>
            </w:r>
          </w:p>
        </w:tc>
        <w:tc>
          <w:tcPr>
            <w:tcW w:type="dxa" w:w="146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Policy rate</w:t>
            </w:r>
          </w:p>
        </w:tc>
        <w:tc>
          <w:tcPr>
            <w:tcW w:type="dxa" w:w="166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Last move (verified)</w:t>
            </w:r>
          </w:p>
        </w:tc>
        <w:tc>
          <w:tcPr>
            <w:tcW w:type="dxa" w:w="293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Next scheduled</w:t>
            </w:r>
          </w:p>
        </w:tc>
        <w:tc>
          <w:tcPr>
            <w:tcW w:type="dxa" w:w="366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Bias / key issue</w:t>
            </w:r>
          </w:p>
        </w:tc>
      </w:tr>
      <w:tr>
        <w:tc>
          <w:tcPr>
            <w:tcW w:type="dxa" w:w="93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United States</w:t>
            </w:r>
          </w:p>
        </w:tc>
        <w:tc>
          <w:tcPr>
            <w:tcW w:type="dxa" w:w="14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3.75%</w:t>
            </w:r>
            <w:r>
              <w:rPr>
                <w:rFonts w:ascii="Public Sans" w:hAnsi="Public Sans"/>
                <w:b w:val="0"/>
                <w:i w:val="0"/>
                <w:color w:val="3D3E3E"/>
                <w:sz w:val="16"/>
              </w:rPr>
              <w:t xml:space="preserve"> (3.5-3.75 range)</w:t>
            </w:r>
          </w:p>
        </w:tc>
        <w:tc>
          <w:tcPr>
            <w:tcW w:type="dxa" w:w="16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Held 2026-06-17 (dots up)</w:t>
            </w:r>
          </w:p>
        </w:tc>
        <w:tc>
          <w:tcPr>
            <w:tcW w:type="dxa" w:w="293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PPI 15-Jul; retail sales 16-Jul; </w:t>
            </w:r>
            <w:r>
              <w:rPr>
                <w:rFonts w:ascii="Public Sans" w:hAnsi="Public Sans"/>
                <w:b/>
                <w:i w:val="0"/>
                <w:color w:val="3D3E3E"/>
                <w:sz w:val="16"/>
              </w:rPr>
              <w:t>FOMC 29-Jul</w:t>
            </w:r>
          </w:p>
        </w:tc>
        <w:tc>
          <w:tcPr>
            <w:tcW w:type="dxa" w:w="36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Core CPI 0.0% m/m / 2.6% y/y — SOFT.</w:t>
            </w:r>
            <w:r>
              <w:rPr>
                <w:rFonts w:ascii="Public Sans" w:hAnsi="Public Sans"/>
                <w:b w:val="0"/>
                <w:i w:val="0"/>
                <w:color w:val="3D3E3E"/>
                <w:sz w:val="16"/>
              </w:rPr>
              <w:t xml:space="preserve"> July-hike scare deflated; houses see a hold "for the summer"; core PCE ~0.17-0.18%. Warsh (Chair) dovish, no guidance</w:t>
            </w:r>
          </w:p>
        </w:tc>
      </w:tr>
      <w:tr>
        <w:tc>
          <w:tcPr>
            <w:tcW w:type="dxa" w:w="93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China</w:t>
            </w:r>
          </w:p>
        </w:tc>
        <w:tc>
          <w:tcPr>
            <w:tcW w:type="dxa" w:w="14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LPR / 7d OMO</w:t>
            </w:r>
          </w:p>
        </w:tc>
        <w:tc>
          <w:tcPr>
            <w:tcW w:type="dxa" w:w="16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c>
          <w:tcPr>
            <w:tcW w:type="dxa" w:w="293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Aug activity; LPR fixing</w:t>
            </w:r>
          </w:p>
        </w:tc>
        <w:tc>
          <w:tcPr>
            <w:tcW w:type="dxa" w:w="36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Q2 GDP 4.3% y/y (miss) / 0.9% qoq</w:t>
            </w:r>
            <w:r>
              <w:rPr>
                <w:rFonts w:ascii="Public Sans" w:hAnsi="Public Sans"/>
                <w:b w:val="0"/>
                <w:i w:val="0"/>
                <w:color w:val="3D3E3E"/>
                <w:sz w:val="16"/>
              </w:rPr>
              <w:t xml:space="preserve"> — weakest sequential since 2022; but June IP 5.3% + retail +1.0% beat; record trade surplus $125.6bn; Li Qiang urges "countercyclical" H2 support</w:t>
            </w:r>
          </w:p>
        </w:tc>
      </w:tr>
      <w:tr>
        <w:tc>
          <w:tcPr>
            <w:tcW w:type="dxa" w:w="93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Singapore</w:t>
            </w:r>
          </w:p>
        </w:tc>
        <w:tc>
          <w:tcPr>
            <w:tcW w:type="dxa" w:w="14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MAS S\$NEER band</w:t>
            </w:r>
          </w:p>
        </w:tc>
        <w:tc>
          <w:tcPr>
            <w:tcW w:type="dxa" w:w="16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(band)</w:t>
            </w:r>
          </w:p>
        </w:tc>
        <w:tc>
          <w:tcPr>
            <w:tcW w:type="dxa" w:w="293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MAS MPS 24–31 Jul window</w:t>
            </w:r>
          </w:p>
        </w:tc>
        <w:tc>
          <w:tcPr>
            <w:tcW w:type="dxa" w:w="36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Advance Q2 GDP 5.7% (beat 5.5%)</w:t>
            </w:r>
            <w:r>
              <w:rPr>
                <w:rFonts w:ascii="Public Sans" w:hAnsi="Public Sans"/>
                <w:b w:val="0"/>
                <w:i w:val="0"/>
                <w:color w:val="3D3E3E"/>
                <w:sz w:val="16"/>
              </w:rPr>
              <w:t>; 1Q revised up to 6.3%; JPM FY 4.6% above-cons; Citi reiterates July steepening. MAS is late-Jul, NOT today</w:t>
            </w:r>
          </w:p>
        </w:tc>
      </w:tr>
      <w:tr>
        <w:tc>
          <w:tcPr>
            <w:tcW w:type="dxa" w:w="93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Canada</w:t>
            </w:r>
          </w:p>
        </w:tc>
        <w:tc>
          <w:tcPr>
            <w:tcW w:type="dxa" w:w="14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2.25%</w:t>
            </w:r>
          </w:p>
        </w:tc>
        <w:tc>
          <w:tcPr>
            <w:tcW w:type="dxa" w:w="16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Held 2026-06-10</w:t>
            </w:r>
          </w:p>
        </w:tc>
        <w:tc>
          <w:tcPr>
            <w:tcW w:type="dxa" w:w="293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BoC + MPR + presser 15-Jul (today)</w:t>
            </w:r>
          </w:p>
        </w:tc>
        <w:tc>
          <w:tcPr>
            <w:tcW w:type="dxa" w:w="36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Hold base case (benign core, excess supply, USMCA drag — JPM/MS/GS) vs StanC cut-by-year-end vs mkt hike pricing; Nomura booked long USD/CAD</w:t>
            </w:r>
          </w:p>
        </w:tc>
      </w:tr>
      <w:tr>
        <w:tc>
          <w:tcPr>
            <w:tcW w:type="dxa" w:w="93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New Zealand</w:t>
            </w:r>
          </w:p>
        </w:tc>
        <w:tc>
          <w:tcPr>
            <w:tcW w:type="dxa" w:w="14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2.50%</w:t>
            </w:r>
          </w:p>
        </w:tc>
        <w:tc>
          <w:tcPr>
            <w:tcW w:type="dxa" w:w="16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Hiked +25bp 2026-07-08</w:t>
            </w:r>
          </w:p>
        </w:tc>
        <w:tc>
          <w:tcPr>
            <w:tcW w:type="dxa" w:w="293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Q2 CPI 21-Jul; 2-Sep MPS</w:t>
            </w:r>
          </w:p>
        </w:tc>
        <w:tc>
          <w:tcPr>
            <w:tcW w:type="dxa" w:w="36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QSBO acute pricing (selling price 22→41)</w:t>
            </w:r>
            <w:r>
              <w:rPr>
                <w:rFonts w:ascii="Public Sans" w:hAnsi="Public Sans"/>
                <w:b w:val="0"/>
                <w:i w:val="0"/>
                <w:color w:val="3D3E3E"/>
                <w:sz w:val="16"/>
              </w:rPr>
              <w:t>; ANZ Sep+Oct, UBS Sep+Dec hikes to 3.00%; Conway flags pricing asymmetry; NZD firmest</w:t>
            </w:r>
          </w:p>
        </w:tc>
      </w:tr>
      <w:tr>
        <w:tc>
          <w:tcPr>
            <w:tcW w:type="dxa" w:w="93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India</w:t>
            </w:r>
          </w:p>
        </w:tc>
        <w:tc>
          <w:tcPr>
            <w:tcW w:type="dxa" w:w="14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5.25%</w:t>
            </w:r>
          </w:p>
        </w:tc>
        <w:tc>
          <w:tcPr>
            <w:tcW w:type="dxa" w:w="16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Held 2026-06-05</w:t>
            </w:r>
          </w:p>
        </w:tc>
        <w:tc>
          <w:tcPr>
            <w:tcW w:type="dxa" w:w="293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RBI August</w:t>
            </w:r>
          </w:p>
        </w:tc>
        <w:tc>
          <w:tcPr>
            <w:tcW w:type="dxa" w:w="36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CPI 4.38% + WPI 9.87% both hot</w:t>
            </w:r>
            <w:r>
              <w:rPr>
                <w:rFonts w:ascii="Public Sans" w:hAnsi="Public Sans"/>
                <w:b w:val="0"/>
                <w:i w:val="0"/>
                <w:color w:val="3D3E3E"/>
                <w:sz w:val="16"/>
              </w:rPr>
              <w:t>; trade deficit $30.4bn on oil; INR −0.45%; RBI seen looking through benign core; SocGen booked short EUR/INR</w:t>
            </w:r>
          </w:p>
        </w:tc>
      </w:tr>
      <w:tr>
        <w:tc>
          <w:tcPr>
            <w:tcW w:type="dxa" w:w="93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Japan</w:t>
            </w:r>
          </w:p>
        </w:tc>
        <w:tc>
          <w:tcPr>
            <w:tcW w:type="dxa" w:w="14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1.00%</w:t>
            </w:r>
          </w:p>
        </w:tc>
        <w:tc>
          <w:tcPr>
            <w:tcW w:type="dxa" w:w="16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Hiked +25bp 2026-06-16</w:t>
            </w:r>
          </w:p>
        </w:tc>
        <w:tc>
          <w:tcPr>
            <w:tcW w:type="dxa" w:w="293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(post-window)</w:t>
            </w:r>
          </w:p>
        </w:tc>
        <w:tc>
          <w:tcPr>
            <w:tcW w:type="dxa" w:w="36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GPIF/Katayama repatriation caps + rallies the long end (TONAR 10y −9.5bp); govt revising Basic Policy MP wording; June hike "retrospectively" supported</w:t>
            </w:r>
          </w:p>
        </w:tc>
      </w:tr>
      <w:tr>
        <w:tc>
          <w:tcPr>
            <w:tcW w:type="dxa" w:w="93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Australia</w:t>
            </w:r>
          </w:p>
        </w:tc>
        <w:tc>
          <w:tcPr>
            <w:tcW w:type="dxa" w:w="14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4.35%</w:t>
            </w:r>
          </w:p>
        </w:tc>
        <w:tc>
          <w:tcPr>
            <w:tcW w:type="dxa" w:w="16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Held 2026-06-16</w:t>
            </w:r>
          </w:p>
        </w:tc>
        <w:tc>
          <w:tcPr>
            <w:tcW w:type="dxa" w:w="293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Q2 CPI 29-Jul; 11-Aug</w:t>
            </w:r>
          </w:p>
        </w:tc>
        <w:tc>
          <w:tcPr>
            <w:tcW w:type="dxa" w:w="36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NAB confidence −5, consumer +4.1% (both beat); ANZ short AUD rates (paid Dec-26 RBA OIS), RBA "heavily skewed" to inflation</w:t>
            </w:r>
          </w:p>
        </w:tc>
      </w:tr>
      <w:tr>
        <w:tc>
          <w:tcPr>
            <w:tcW w:type="dxa" w:w="93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Indonesia</w:t>
            </w:r>
          </w:p>
        </w:tc>
        <w:tc>
          <w:tcPr>
            <w:tcW w:type="dxa" w:w="14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5.75%</w:t>
            </w:r>
          </w:p>
        </w:tc>
        <w:tc>
          <w:tcPr>
            <w:tcW w:type="dxa" w:w="16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Hiked +25bp 2026-06-18</w:t>
            </w:r>
          </w:p>
        </w:tc>
        <w:tc>
          <w:tcPr>
            <w:tcW w:type="dxa" w:w="293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BI 22-Jul</w:t>
            </w:r>
          </w:p>
        </w:tc>
        <w:tc>
          <w:tcPr>
            <w:tcW w:type="dxa" w:w="36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2026 fiscal deficit target raised to 2.85% (fuel subsidy); JPM MW IDR / MW IndoGBs, reduces UW INDONs; BI hawkish pivot anchors IDR</w:t>
            </w:r>
          </w:p>
        </w:tc>
      </w:tr>
      <w:tr>
        <w:tc>
          <w:tcPr>
            <w:tcW w:type="dxa" w:w="93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Hong Kong</w:t>
            </w:r>
          </w:p>
        </w:tc>
        <w:tc>
          <w:tcPr>
            <w:tcW w:type="dxa" w:w="14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USD peg / LAF</w:t>
            </w:r>
          </w:p>
        </w:tc>
        <w:tc>
          <w:tcPr>
            <w:tcW w:type="dxa" w:w="16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(linked to Fed)</w:t>
            </w:r>
          </w:p>
        </w:tc>
        <w:tc>
          <w:tcPr>
            <w:tcW w:type="dxa" w:w="293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Unemployment 17-Jul</w:t>
            </w:r>
          </w:p>
        </w:tc>
        <w:tc>
          <w:tcPr>
            <w:tcW w:type="dxa" w:w="36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HKD flat on peg; HIBOR +6.3bp (pre-CPI Asian tape); soft US CPI eases the Fed-linked pressure into 07-15</w:t>
            </w:r>
          </w:p>
        </w:tc>
      </w:tr>
      <w:tr>
        <w:tc>
          <w:tcPr>
            <w:tcW w:type="dxa" w:w="93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Thailand</w:t>
            </w:r>
          </w:p>
        </w:tc>
        <w:tc>
          <w:tcPr>
            <w:tcW w:type="dxa" w:w="14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1.00%</w:t>
            </w:r>
          </w:p>
        </w:tc>
        <w:tc>
          <w:tcPr>
            <w:tcW w:type="dxa" w:w="16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Held 2026-06-24</w:t>
            </w:r>
          </w:p>
        </w:tc>
        <w:tc>
          <w:tcPr>
            <w:tcW w:type="dxa" w:w="293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(post-window)</w:t>
            </w:r>
          </w:p>
        </w:tc>
        <w:tc>
          <w:tcPr>
            <w:tcW w:type="dxa" w:w="36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THB flat; THOR +4-6bp (pre-CPI close); Citi booked long USD/THB, rolled bearish PHP; BoT on hold both years (StanC)</w:t>
            </w:r>
          </w:p>
        </w:tc>
      </w:tr>
      <w:tr>
        <w:tc>
          <w:tcPr>
            <w:tcW w:type="dxa" w:w="93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Philippines</w:t>
            </w:r>
          </w:p>
        </w:tc>
        <w:tc>
          <w:tcPr>
            <w:tcW w:type="dxa" w:w="14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4.75%</w:t>
            </w:r>
          </w:p>
        </w:tc>
        <w:tc>
          <w:tcPr>
            <w:tcW w:type="dxa" w:w="16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Hiked +25bp 2026-06-18</w:t>
            </w:r>
          </w:p>
        </w:tc>
        <w:tc>
          <w:tcPr>
            <w:tcW w:type="dxa" w:w="293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(post-window)</w:t>
            </w:r>
          </w:p>
        </w:tc>
        <w:tc>
          <w:tcPr>
            <w:tcW w:type="dxa" w:w="36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PHIREF front +11.5bp (pre-CPI tape); UBS local-conviction equity note; StanC 5.00% Aug + 2Y-3Y RPGB carry (carried)</w:t>
            </w:r>
          </w:p>
        </w:tc>
      </w:tr>
      <w:tr>
        <w:tc>
          <w:tcPr>
            <w:tcW w:type="dxa" w:w="93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Malaysia</w:t>
            </w:r>
          </w:p>
        </w:tc>
        <w:tc>
          <w:tcPr>
            <w:tcW w:type="dxa" w:w="14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2.75%</w:t>
            </w:r>
          </w:p>
        </w:tc>
        <w:tc>
          <w:tcPr>
            <w:tcW w:type="dxa" w:w="16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Held 2026-07-09</w:t>
            </w:r>
          </w:p>
        </w:tc>
        <w:tc>
          <w:tcPr>
            <w:tcW w:type="dxa" w:w="293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CPI + Q2 GDP prelim 17-Jul</w:t>
            </w:r>
          </w:p>
        </w:tc>
        <w:tc>
          <w:tcPr>
            <w:tcW w:type="dxa" w:w="36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CPI survey 2.0%, GDP prelim fcst 5.3%; MYR firmer; quiet in-window ahead of Thursday's double print</w:t>
            </w:r>
          </w:p>
        </w:tc>
      </w:tr>
      <w:tr>
        <w:tc>
          <w:tcPr>
            <w:tcW w:type="dxa" w:w="93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United Kingdom</w:t>
            </w:r>
          </w:p>
        </w:tc>
        <w:tc>
          <w:tcPr>
            <w:tcW w:type="dxa" w:w="14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3.75%</w:t>
            </w:r>
          </w:p>
        </w:tc>
        <w:tc>
          <w:tcPr>
            <w:tcW w:type="dxa" w:w="16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Held 2026-06-18 (7/2/0)</w:t>
            </w:r>
          </w:p>
        </w:tc>
        <w:tc>
          <w:tcPr>
            <w:tcW w:type="dxa" w:w="293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GDP 16-Jul; MPR 30-Jul</w:t>
            </w:r>
          </w:p>
        </w:tc>
        <w:tc>
          <w:tcPr>
            <w:tcW w:type="dxa" w:w="36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GBP/SONIA firmer with US; HSBC receives GBP 1Y1Y (fades ~80% Sep-hike pricing); Burnham Budget "significant policy," no big net stimulus</w:t>
            </w:r>
          </w:p>
        </w:tc>
      </w:tr>
    </w:tbl>
    <w:p>
      <w:pPr>
        <w:spacing w:after="80" w:line="283" w:lineRule="auto"/>
      </w:pPr>
      <w:r>
        <w:rPr>
          <w:rFonts w:ascii="Public Sans" w:hAnsi="Public Sans"/>
          <w:b/>
          <w:i w:val="0"/>
          <w:color w:val="3D3E3E"/>
          <w:sz w:val="19"/>
        </w:rPr>
        <w:t>SYN — state of the world:</w:t>
      </w:r>
      <w:r>
        <w:rPr>
          <w:rFonts w:ascii="Public Sans" w:hAnsi="Public Sans"/>
          <w:b w:val="0"/>
          <w:i w:val="0"/>
          <w:color w:val="3D3E3E"/>
          <w:sz w:val="19"/>
        </w:rPr>
        <w:t xml:space="preserve"> the single event the universe was coiled around has resolved, and it resolved dovish. June core CPI at 0.0% m/m / 2.6% y/y is the "surprisingly soft" outcome the hawks did not get — it undershot the entire sell-side desk, it was broad-based rather than a one-line quirk, and it maps to a core-PCE nowcast of just ~0.17-0.18%. That took the hot-core trigger Waller had named off the table for now; the front-end rallied, the dollar sagged, and every house shifted to "the Fed can stay on hold for the summer." Two things keep it from being a clean risk-on: the dollar recovered a chunk of its intraday drop into the close (Citi), and the Hormuz oil blockade is still live in the background as the two-sided inflation tail. With the US resolved, the gravity sits in Asia and Canada — China's Q2 GDP is a mixed, stabilising print (headline 4.3% missed and the sequential quarter was the weakest since 2022, but June industrial production and retail sales beat and June trade set a record surplus, the export machine led by AI/semiconductors and autos doing the heavy lifting), and the BoC is a benign-core hold the market keeps trying to price hikes against. The rest of the universe keeps its own clock: Singapore printed a strong 5.7%, New Zealand added another hawkish signal (acute QSBO pricing, a dovish official flagging price-setting asymmetry), India ran hot on both CPI and WPI into a wider trade deficit (the one currency that fell), and Japan's long end kept richening on the pension-repatriation theme. The soft US print is the tide; the Asian data are the local currents.</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6. Themes in play + open questions</w:t>
      </w:r>
    </w:p>
    <w:p>
      <w:pPr>
        <w:spacing w:before="120" w:after="40"/>
        <w:keepNext/>
      </w:pPr>
      <w:r>
        <w:rPr>
          <w:rFonts w:ascii="Public Sans" w:hAnsi="Public Sans"/>
          <w:b/>
          <w:i w:val="0"/>
          <w:color w:val="001830"/>
          <w:sz w:val="19"/>
        </w:rPr>
        <w:t>Themes (who's talking + the number), stated neutrally:</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June CPI resolves the hike scare — disinflation resumed.</w:t>
      </w:r>
      <w:r>
        <w:rPr>
          <w:rFonts w:ascii="Public Sans" w:hAnsi="Public Sans"/>
          <w:b w:val="0"/>
          <w:i w:val="0"/>
          <w:color w:val="3D3E3E"/>
          <w:sz w:val="19"/>
        </w:rPr>
        <w:t xml:space="preserve"> Core −0.02% m/m / 2.6% y/y; headline −0.42% / 3.5% on energy −5.7%. GS (18251): core PCE 0.18%. JPM (18282): "takes near-term pressure off the Fed," core PCE 0.168%, 3m 3.0%. Barclays (18267): "buys time for the FOMC to remain on hold." Citi (18317): "allows the Fed to remain on hold for the summer." SocGen (18293): "a big downside surprise." Universal read, with the caveat that some core-services-ex-shelter softness may be one-off (JPM).</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The dollar's non-reaction to hawkish catalysts.</w:t>
      </w:r>
      <w:r>
        <w:rPr>
          <w:rFonts w:ascii="Public Sans" w:hAnsi="Public Sans"/>
          <w:b w:val="0"/>
          <w:i w:val="0"/>
          <w:color w:val="3D3E3E"/>
          <w:sz w:val="19"/>
        </w:rPr>
        <w:t xml:space="preserve"> Nomura (18221): USD "struggled to make gains" even on hawkish Waller + Middle-East re-escalation → spec positioning leans long USD, the bar to further USD upside is higher; books long USD/CAD. Citi (18316): DXY recovered a majority of its intraday CPI losses, asymmetry still leans USD on ME risk. The tension: soft data vs stretched long-USD positioning.</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China: mixed Q2 GDP — headline miss, activity beat.</w:t>
      </w:r>
      <w:r>
        <w:rPr>
          <w:rFonts w:ascii="Public Sans" w:hAnsi="Public Sans"/>
          <w:b w:val="0"/>
          <w:i w:val="0"/>
          <w:color w:val="3D3E3E"/>
          <w:sz w:val="19"/>
        </w:rPr>
        <w:t xml:space="preserve"> Headline GDP 4.3% y/y missed (survey 4.5%; weakest sequential quarter since 2022), and FAI stayed weak (−5.7% ytd) — but June industrial production (5.3% vs 4.6% survey) and retail sales (+1.0% vs −0.1%) beat, a stabilising-on-stimulus signal. On trade, GS (18092): record $125.6bn surplus, semis/autos-led (semis value +121.9% but volume −0.5% = price); Barclays (18117): "booming yet bifurcated"; UBS (18231): "another positive surprise in exports." Nomura (18156): Li Qiang urges "countercyclical" H2 policy.</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The RBNZ hiking cycle has corroboration.</w:t>
      </w:r>
      <w:r>
        <w:rPr>
          <w:rFonts w:ascii="Public Sans" w:hAnsi="Public Sans"/>
          <w:b w:val="0"/>
          <w:i w:val="0"/>
          <w:color w:val="3D3E3E"/>
          <w:sz w:val="19"/>
        </w:rPr>
        <w:t xml:space="preserve"> ANZ (18030): QSBO selling-price 22→41, keeps Sep+Oct. UBS (18107): keeps Sep+Dec to 3.00%. Conway: "unhelpful asymmetry" in price-setting as the fuel shock fades. Q2 CPI 21-Jul the arbiter.</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India's twin hot prints.</w:t>
      </w:r>
      <w:r>
        <w:rPr>
          <w:rFonts w:ascii="Public Sans" w:hAnsi="Public Sans"/>
          <w:b w:val="0"/>
          <w:i w:val="0"/>
          <w:color w:val="3D3E3E"/>
          <w:sz w:val="19"/>
        </w:rPr>
        <w:t xml:space="preserve"> MS (18152): June WPI at an all-time high. Barclays (18171): WPI/PPI "relentless rise" (9.87%). JPM (18260): trade deficit $30.4bn on oil. SocGen (18227): books short EUR/INR "as headwinds rise." The read: headline hot, core the swing factor for the RBI.</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Japan's pension-repatriation flow.</w:t>
      </w:r>
      <w:r>
        <w:rPr>
          <w:rFonts w:ascii="Public Sans" w:hAnsi="Public Sans"/>
          <w:b w:val="0"/>
          <w:i w:val="0"/>
          <w:color w:val="3D3E3E"/>
          <w:sz w:val="19"/>
        </w:rPr>
        <w:t xml:space="preserve"> Citi (18123): Katayama's GPIF push likely "incremental" (portfolio review not due until 2029) but JPY-supportive; corporate pensions may add JGBs. Nomura (18291): govt revising Basic Policy MP wording after the long-end rise. BNP (18063): long 10s20s box. TONAR 10y −9.5bp.</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Oil / Hormuz — the live two-sided tail.</w:t>
      </w:r>
      <w:r>
        <w:rPr>
          <w:rFonts w:ascii="Public Sans" w:hAnsi="Public Sans"/>
          <w:b w:val="0"/>
          <w:i w:val="0"/>
          <w:color w:val="3D3E3E"/>
          <w:sz w:val="19"/>
        </w:rPr>
        <w:t xml:space="preserve"> WTI booked at $78.78 (+9%). Barclays Inflation-Linked (18119): "blockade reinstated." StanC (18336): a Middle-East ceasefire breakdown scenario. Still the shared falsifier under the soft-CPI relief.</w:t>
      </w:r>
    </w:p>
    <w:p>
      <w:pPr>
        <w:spacing w:after="80" w:line="283" w:lineRule="auto"/>
      </w:pPr>
      <w:r>
        <w:rPr>
          <w:rFonts w:ascii="Public Sans" w:hAnsi="Public Sans"/>
          <w:b/>
          <w:i w:val="0"/>
          <w:color w:val="3D3E3E"/>
          <w:sz w:val="19"/>
        </w:rPr>
        <w:t>Open questions into the next sessions (neutral — the disagreement + what resolves it):</w:t>
      </w:r>
    </w:p>
    <w:p>
      <w:pPr>
        <w:spacing w:after="80" w:line="283" w:lineRule="auto"/>
      </w:pPr>
      <w:r>
        <w:rPr>
          <w:rFonts w:ascii="Public Sans" w:hAnsi="Public Sans"/>
          <w:b w:val="0"/>
          <w:i w:val="0"/>
          <w:color w:val="3D3E3E"/>
          <w:sz w:val="19"/>
        </w:rPr>
        <w:t xml:space="preserve">1. </w:t>
      </w:r>
      <w:r>
        <w:rPr>
          <w:rFonts w:ascii="Public Sans" w:hAnsi="Public Sans"/>
          <w:b/>
          <w:i w:val="0"/>
          <w:color w:val="3D3E3E"/>
          <w:sz w:val="19"/>
        </w:rPr>
        <w:t>China's mixed Q2 print</w:t>
      </w:r>
      <w:r>
        <w:rPr>
          <w:rFonts w:ascii="Public Sans" w:hAnsi="Public Sans"/>
          <w:b w:val="0"/>
          <w:i w:val="0"/>
          <w:color w:val="3D3E3E"/>
          <w:sz w:val="19"/>
        </w:rPr>
        <w:t xml:space="preserve"> — does the June activity beat (IP 5.3%, retail +1.0%) mark genuine stabilisation, or does the headline GDP miss (4.3%, weakest sequential quarter since 2022) and weak FAI (−5.7%) pull forward more support beyond Li Qiang's "countercyclical" language; the 07-15 CNH/equity reaction is still forming.</w:t>
      </w:r>
    </w:p>
    <w:p>
      <w:pPr>
        <w:spacing w:after="80" w:line="283" w:lineRule="auto"/>
      </w:pPr>
      <w:r>
        <w:rPr>
          <w:rFonts w:ascii="Public Sans" w:hAnsi="Public Sans"/>
          <w:b w:val="0"/>
          <w:i w:val="0"/>
          <w:color w:val="3D3E3E"/>
          <w:sz w:val="19"/>
        </w:rPr>
        <w:t xml:space="preserve">2. </w:t>
      </w:r>
      <w:r>
        <w:rPr>
          <w:rFonts w:ascii="Public Sans" w:hAnsi="Public Sans"/>
          <w:b/>
          <w:i w:val="0"/>
          <w:color w:val="3D3E3E"/>
          <w:sz w:val="19"/>
        </w:rPr>
        <w:t>BoC (today)</w:t>
      </w:r>
      <w:r>
        <w:rPr>
          <w:rFonts w:ascii="Public Sans" w:hAnsi="Public Sans"/>
          <w:b w:val="0"/>
          <w:i w:val="0"/>
          <w:color w:val="3D3E3E"/>
          <w:sz w:val="19"/>
        </w:rPr>
        <w:t xml:space="preserve"> — JPM/MS/GS benign-core hold vs StanC's cut-by-year-end vs the market's hike pricing; Nomura just booked long USD/CAD flagging the BoC "may be unable to meet market pricing for hikes." MPR + presser the guidance.</w:t>
      </w:r>
    </w:p>
    <w:p>
      <w:pPr>
        <w:spacing w:after="80" w:line="283" w:lineRule="auto"/>
      </w:pPr>
      <w:r>
        <w:rPr>
          <w:rFonts w:ascii="Public Sans" w:hAnsi="Public Sans"/>
          <w:b w:val="0"/>
          <w:i w:val="0"/>
          <w:color w:val="3D3E3E"/>
          <w:sz w:val="19"/>
        </w:rPr>
        <w:t xml:space="preserve">3. </w:t>
      </w:r>
      <w:r>
        <w:rPr>
          <w:rFonts w:ascii="Public Sans" w:hAnsi="Public Sans"/>
          <w:b/>
          <w:i w:val="0"/>
          <w:color w:val="3D3E3E"/>
          <w:sz w:val="19"/>
        </w:rPr>
        <w:t>Does the soft CPI hold, or was some of it one-off?</w:t>
      </w:r>
      <w:r>
        <w:rPr>
          <w:rFonts w:ascii="Public Sans" w:hAnsi="Public Sans"/>
          <w:b w:val="0"/>
          <w:i w:val="0"/>
          <w:color w:val="3D3E3E"/>
          <w:sz w:val="19"/>
        </w:rPr>
        <w:t xml:space="preserve"> — JPM flags core-services-ex-shelter softness as possibly transitory; PPI (15-Jul) and retail sales (16-Jul) refine the core-PCE read (GS 0.18%, Barclays "0.2% handle").</w:t>
      </w:r>
    </w:p>
    <w:p>
      <w:pPr>
        <w:spacing w:after="80" w:line="283" w:lineRule="auto"/>
      </w:pPr>
      <w:r>
        <w:rPr>
          <w:rFonts w:ascii="Public Sans" w:hAnsi="Public Sans"/>
          <w:b w:val="0"/>
          <w:i w:val="0"/>
          <w:color w:val="3D3E3E"/>
          <w:sz w:val="19"/>
        </w:rPr>
        <w:t xml:space="preserve">4. </w:t>
      </w:r>
      <w:r>
        <w:rPr>
          <w:rFonts w:ascii="Public Sans" w:hAnsi="Public Sans"/>
          <w:b/>
          <w:i w:val="0"/>
          <w:color w:val="3D3E3E"/>
          <w:sz w:val="19"/>
        </w:rPr>
        <w:t>The dollar</w:t>
      </w:r>
      <w:r>
        <w:rPr>
          <w:rFonts w:ascii="Public Sans" w:hAnsi="Public Sans"/>
          <w:b w:val="0"/>
          <w:i w:val="0"/>
          <w:color w:val="3D3E3E"/>
          <w:sz w:val="19"/>
        </w:rPr>
        <w:t xml:space="preserve"> — stretched long-USD positioning (Nomura) + soft data vs Citi's ME-driven USD asymmetry; which wins into a range-bound summer front-end.</w:t>
      </w:r>
    </w:p>
    <w:p>
      <w:pPr>
        <w:spacing w:after="80" w:line="283" w:lineRule="auto"/>
      </w:pPr>
      <w:r>
        <w:rPr>
          <w:rFonts w:ascii="Public Sans" w:hAnsi="Public Sans"/>
          <w:b w:val="0"/>
          <w:i w:val="0"/>
          <w:color w:val="3D3E3E"/>
          <w:sz w:val="19"/>
        </w:rPr>
        <w:t xml:space="preserve">5. </w:t>
      </w:r>
      <w:r>
        <w:rPr>
          <w:rFonts w:ascii="Public Sans" w:hAnsi="Public Sans"/>
          <w:b/>
          <w:i w:val="0"/>
          <w:color w:val="3D3E3E"/>
          <w:sz w:val="19"/>
        </w:rPr>
        <w:t>India rate path</w:t>
      </w:r>
      <w:r>
        <w:rPr>
          <w:rFonts w:ascii="Public Sans" w:hAnsi="Public Sans"/>
          <w:b w:val="0"/>
          <w:i w:val="0"/>
          <w:color w:val="3D3E3E"/>
          <w:sz w:val="19"/>
        </w:rPr>
        <w:t xml:space="preserve"> — CPI 4.38% + WPI 9.87% hot, but the RBI is seen looking through benign core; oil is the fresh energy-CPI risk into the August meeting.</w:t>
      </w:r>
    </w:p>
    <w:p>
      <w:pPr>
        <w:spacing w:after="80" w:line="283" w:lineRule="auto"/>
      </w:pPr>
      <w:r>
        <w:rPr>
          <w:rFonts w:ascii="Public Sans" w:hAnsi="Public Sans"/>
          <w:b w:val="0"/>
          <w:i w:val="0"/>
          <w:color w:val="3D3E3E"/>
          <w:sz w:val="19"/>
        </w:rPr>
        <w:t xml:space="preserve">6. </w:t>
      </w:r>
      <w:r>
        <w:rPr>
          <w:rFonts w:ascii="Public Sans" w:hAnsi="Public Sans"/>
          <w:b/>
          <w:i w:val="0"/>
          <w:color w:val="3D3E3E"/>
          <w:sz w:val="19"/>
        </w:rPr>
        <w:t>New Zealand</w:t>
      </w:r>
      <w:r>
        <w:rPr>
          <w:rFonts w:ascii="Public Sans" w:hAnsi="Public Sans"/>
          <w:b w:val="0"/>
          <w:i w:val="0"/>
          <w:color w:val="3D3E3E"/>
          <w:sz w:val="19"/>
        </w:rPr>
        <w:t xml:space="preserve"> — ANZ's Sep+Oct (+50bp) vs UBS's Sep+Dec; the 21-Jul Q2 CPI the arbiter, with QSBO pricing already acute.</w:t>
      </w:r>
    </w:p>
    <w:p>
      <w:pPr>
        <w:spacing w:after="80" w:line="283" w:lineRule="auto"/>
      </w:pPr>
      <w:r>
        <w:rPr>
          <w:rFonts w:ascii="Public Sans" w:hAnsi="Public Sans"/>
          <w:b w:val="0"/>
          <w:i w:val="0"/>
          <w:color w:val="3D3E3E"/>
          <w:sz w:val="19"/>
        </w:rPr>
        <w:t xml:space="preserve">7. </w:t>
      </w:r>
      <w:r>
        <w:rPr>
          <w:rFonts w:ascii="Public Sans" w:hAnsi="Public Sans"/>
          <w:b/>
          <w:i w:val="0"/>
          <w:color w:val="3D3E3E"/>
          <w:sz w:val="19"/>
        </w:rPr>
        <w:t>BoK (16-Jul, outside universe)</w:t>
      </w:r>
      <w:r>
        <w:rPr>
          <w:rFonts w:ascii="Public Sans" w:hAnsi="Public Sans"/>
          <w:b w:val="0"/>
          <w:i w:val="0"/>
          <w:color w:val="3D3E3E"/>
          <w:sz w:val="19"/>
        </w:rPr>
        <w:t xml:space="preserve"> — a well-flagged +25bp to 2.75% (DB: "hawkish but measured 25bp steps"; StanC: cycle starts July); relevant for KRW and the Asia-rates read.</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7. Calendar — releases + CB events with rate relevance</w:t>
      </w:r>
      <w:r>
        <w:rPr>
          <w:rFonts w:ascii="Public Sans" w:hAnsi="Public Sans"/>
          <w:i/>
          <w:color w:val="7A7C7C"/>
          <w:sz w:val="16"/>
        </w:rPr>
        <w:t xml:space="preserve">   FACT — cb_events; pure calendar, no view</w:t>
      </w:r>
    </w:p>
    <w:p>
      <w:pPr>
        <w:spacing w:after="80" w:line="283" w:lineRule="auto"/>
      </w:pPr>
      <w:r>
        <w:rPr>
          <w:rFonts w:ascii="Public Sans" w:hAnsi="Public Sans"/>
          <w:b w:val="0"/>
          <w:i w:val="0"/>
          <w:color w:val="3D3E3E"/>
          <w:sz w:val="19"/>
        </w:rPr>
        <w:t xml:space="preserve">Consensus (survey/forecast) shown where present; actual shown only where the row carries one. ® = prior revised. </w:t>
      </w:r>
      <w:r>
        <w:rPr>
          <w:rFonts w:ascii="Public Sans" w:hAnsi="Public Sans"/>
          <w:b/>
          <w:i w:val="0"/>
          <w:color w:val="3D3E3E"/>
          <w:sz w:val="19"/>
        </w:rPr>
        <w:t>The BoC decision is the day's remaining pre-decision row (null).</w:t>
      </w:r>
      <w:r>
        <w:rPr>
          <w:rFonts w:ascii="Public Sans" w:hAnsi="Public Sans"/>
          <w:b w:val="0"/>
          <w:i w:val="0"/>
          <w:color w:val="3D3E3E"/>
          <w:sz w:val="19"/>
        </w:rPr>
        <w:t xml:space="preserve"> US June CPI, China Q2 GDP + June activity, SG advance GDP, China June trade, India June WPI and the Australia surveys all PRINTED (cb_events actual rows). Sell-side-reported values tagged "per flow."</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48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Date</w:t>
            </w:r>
          </w:p>
        </w:tc>
        <w:tc>
          <w:tcPr>
            <w:tcW w:type="dxa" w:w="42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Country</w:t>
            </w:r>
          </w:p>
        </w:tc>
        <w:tc>
          <w:tcPr>
            <w:tcW w:type="dxa" w:w="234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Event</w:t>
            </w:r>
          </w:p>
        </w:tc>
        <w:tc>
          <w:tcPr>
            <w:tcW w:type="dxa" w:w="204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Consensus</w:t>
            </w:r>
          </w:p>
        </w:tc>
        <w:tc>
          <w:tcPr>
            <w:tcW w:type="dxa" w:w="204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Prior</w:t>
            </w:r>
          </w:p>
        </w:tc>
        <w:tc>
          <w:tcPr>
            <w:tcW w:type="dxa" w:w="331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Actual</w:t>
            </w:r>
          </w:p>
        </w:tc>
      </w:tr>
      <w:tr>
        <w:tc>
          <w:tcPr>
            <w:tcW w:type="dxa" w:w="48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07-13</w:t>
            </w:r>
          </w:p>
        </w:tc>
        <w:tc>
          <w:tcPr>
            <w:tcW w:type="dxa" w:w="4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IN</w:t>
            </w:r>
          </w:p>
        </w:tc>
        <w:tc>
          <w:tcPr>
            <w:tcW w:type="dxa" w:w="23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CPI YoY / MoM</w:t>
            </w:r>
          </w:p>
        </w:tc>
        <w:tc>
          <w:tcPr>
            <w:tcW w:type="dxa" w:w="20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4.3% / —</w:t>
            </w:r>
          </w:p>
        </w:tc>
        <w:tc>
          <w:tcPr>
            <w:tcW w:type="dxa" w:w="20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3.93%</w:t>
            </w:r>
          </w:p>
        </w:tc>
        <w:tc>
          <w:tcPr>
            <w:tcW w:type="dxa" w:w="331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4.38% / 1.03% — PRINTED (59043/59044)</w:t>
            </w:r>
          </w:p>
        </w:tc>
      </w:tr>
      <w:tr>
        <w:tc>
          <w:tcPr>
            <w:tcW w:type="dxa" w:w="48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07-13</w:t>
            </w:r>
          </w:p>
        </w:tc>
        <w:tc>
          <w:tcPr>
            <w:tcW w:type="dxa" w:w="42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IN</w:t>
            </w:r>
          </w:p>
        </w:tc>
        <w:tc>
          <w:tcPr>
            <w:tcW w:type="dxa" w:w="234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Balance of trade</w:t>
            </w:r>
          </w:p>
        </w:tc>
        <w:tc>
          <w:tcPr>
            <w:tcW w:type="dxa" w:w="20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−$26.5B</w:t>
            </w:r>
          </w:p>
        </w:tc>
        <w:tc>
          <w:tcPr>
            <w:tcW w:type="dxa" w:w="20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−$28.21B</w:t>
            </w:r>
          </w:p>
        </w:tc>
        <w:tc>
          <w:tcPr>
            <w:tcW w:type="dxa" w:w="331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−$30.43B — PRINTED (90517)</w:t>
            </w:r>
          </w:p>
        </w:tc>
      </w:tr>
      <w:tr>
        <w:tc>
          <w:tcPr>
            <w:tcW w:type="dxa" w:w="48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07-14</w:t>
            </w:r>
          </w:p>
        </w:tc>
        <w:tc>
          <w:tcPr>
            <w:tcW w:type="dxa" w:w="4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US</w:t>
            </w:r>
          </w:p>
        </w:tc>
        <w:tc>
          <w:tcPr>
            <w:tcW w:type="dxa" w:w="23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CPI: core m/m / y/y</w:t>
            </w:r>
          </w:p>
        </w:tc>
        <w:tc>
          <w:tcPr>
            <w:tcW w:type="dxa" w:w="20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0.2% / 2.8%</w:t>
            </w:r>
          </w:p>
        </w:tc>
        <w:tc>
          <w:tcPr>
            <w:tcW w:type="dxa" w:w="20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0.2% / 2.9%</w:t>
            </w:r>
          </w:p>
        </w:tc>
        <w:tc>
          <w:tcPr>
            <w:tcW w:type="dxa" w:w="331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0.0% / 2.6% — PRINTED SOFT (60904/60905)</w:t>
            </w:r>
          </w:p>
        </w:tc>
      </w:tr>
      <w:tr>
        <w:tc>
          <w:tcPr>
            <w:tcW w:type="dxa" w:w="48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07-14</w:t>
            </w:r>
          </w:p>
        </w:tc>
        <w:tc>
          <w:tcPr>
            <w:tcW w:type="dxa" w:w="42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US</w:t>
            </w:r>
          </w:p>
        </w:tc>
        <w:tc>
          <w:tcPr>
            <w:tcW w:type="dxa" w:w="234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CPI: headline m/m / y/y; index NSA</w:t>
            </w:r>
          </w:p>
        </w:tc>
        <w:tc>
          <w:tcPr>
            <w:tcW w:type="dxa" w:w="20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−0.1% / 3.8%; 334.70</w:t>
            </w:r>
          </w:p>
        </w:tc>
        <w:tc>
          <w:tcPr>
            <w:tcW w:type="dxa" w:w="20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0.5% / 4.2%; 335.12</w:t>
            </w:r>
          </w:p>
        </w:tc>
        <w:tc>
          <w:tcPr>
            <w:tcW w:type="dxa" w:w="331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−0.4% / 3.5%; 333.95 — PRINTED (60906-60908)</w:t>
            </w:r>
          </w:p>
        </w:tc>
      </w:tr>
      <w:tr>
        <w:tc>
          <w:tcPr>
            <w:tcW w:type="dxa" w:w="48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07-14</w:t>
            </w:r>
          </w:p>
        </w:tc>
        <w:tc>
          <w:tcPr>
            <w:tcW w:type="dxa" w:w="4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w:t>
            </w:r>
          </w:p>
        </w:tc>
        <w:tc>
          <w:tcPr>
            <w:tcW w:type="dxa" w:w="23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Fed Warsh House testimony</w:t>
            </w:r>
          </w:p>
        </w:tc>
        <w:tc>
          <w:tcPr>
            <w:tcW w:type="dxa" w:w="20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20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331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held (dovish tone; "make sure price spikes don't broaden out," GS 18324)</w:t>
            </w:r>
          </w:p>
        </w:tc>
      </w:tr>
      <w:tr>
        <w:tc>
          <w:tcPr>
            <w:tcW w:type="dxa" w:w="48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07-14</w:t>
            </w:r>
          </w:p>
        </w:tc>
        <w:tc>
          <w:tcPr>
            <w:tcW w:type="dxa" w:w="42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w:t>
            </w:r>
          </w:p>
        </w:tc>
        <w:tc>
          <w:tcPr>
            <w:tcW w:type="dxa" w:w="234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Federal budget balance</w:t>
            </w:r>
          </w:p>
        </w:tc>
        <w:tc>
          <w:tcPr>
            <w:tcW w:type="dxa" w:w="20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−$129B</w:t>
            </w:r>
          </w:p>
        </w:tc>
        <w:tc>
          <w:tcPr>
            <w:tcW w:type="dxa" w:w="20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+$27.0B</w:t>
            </w:r>
          </w:p>
        </w:tc>
        <w:tc>
          <w:tcPr>
            <w:tcW w:type="dxa" w:w="331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−$120.3B — PRINTED (41363)</w:t>
            </w:r>
          </w:p>
        </w:tc>
      </w:tr>
      <w:tr>
        <w:tc>
          <w:tcPr>
            <w:tcW w:type="dxa" w:w="48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07-14</w:t>
            </w:r>
          </w:p>
        </w:tc>
        <w:tc>
          <w:tcPr>
            <w:tcW w:type="dxa" w:w="4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SG</w:t>
            </w:r>
          </w:p>
        </w:tc>
        <w:tc>
          <w:tcPr>
            <w:tcW w:type="dxa" w:w="23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Advance Q2 GDP y/y / qoq</w:t>
            </w:r>
          </w:p>
        </w:tc>
        <w:tc>
          <w:tcPr>
            <w:tcW w:type="dxa" w:w="20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5.5% / 1.1%</w:t>
            </w:r>
          </w:p>
        </w:tc>
        <w:tc>
          <w:tcPr>
            <w:tcW w:type="dxa" w:w="20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6.3%® / 1.3%®</w:t>
            </w:r>
          </w:p>
        </w:tc>
        <w:tc>
          <w:tcPr>
            <w:tcW w:type="dxa" w:w="331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5.7% / 1.1% — PRINTED STRONG (60857/60856)</w:t>
            </w:r>
          </w:p>
        </w:tc>
      </w:tr>
      <w:tr>
        <w:tc>
          <w:tcPr>
            <w:tcW w:type="dxa" w:w="48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07-14</w:t>
            </w:r>
          </w:p>
        </w:tc>
        <w:tc>
          <w:tcPr>
            <w:tcW w:type="dxa" w:w="42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CN</w:t>
            </w:r>
          </w:p>
        </w:tc>
        <w:tc>
          <w:tcPr>
            <w:tcW w:type="dxa" w:w="234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Balance of trade; exports/imports y/y</w:t>
            </w:r>
          </w:p>
        </w:tc>
        <w:tc>
          <w:tcPr>
            <w:tcW w:type="dxa" w:w="20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$121B / 18.2% / 24%</w:t>
            </w:r>
          </w:p>
        </w:tc>
        <w:tc>
          <w:tcPr>
            <w:tcW w:type="dxa" w:w="20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$105.4B / 19.4% / 27.4%</w:t>
            </w:r>
          </w:p>
        </w:tc>
        <w:tc>
          <w:tcPr>
            <w:tcW w:type="dxa" w:w="331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$125.6B / 27% / 36% — PRINTED RECORD (60864-60866)</w:t>
            </w:r>
          </w:p>
        </w:tc>
      </w:tr>
      <w:tr>
        <w:tc>
          <w:tcPr>
            <w:tcW w:type="dxa" w:w="48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07-14</w:t>
            </w:r>
          </w:p>
        </w:tc>
        <w:tc>
          <w:tcPr>
            <w:tcW w:type="dxa" w:w="4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IN</w:t>
            </w:r>
          </w:p>
        </w:tc>
        <w:tc>
          <w:tcPr>
            <w:tcW w:type="dxa" w:w="23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WPI inflation y/y; food; fuel; mfg</w:t>
            </w:r>
          </w:p>
        </w:tc>
        <w:tc>
          <w:tcPr>
            <w:tcW w:type="dxa" w:w="20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9.15% / — / — / —</w:t>
            </w:r>
          </w:p>
        </w:tc>
        <w:tc>
          <w:tcPr>
            <w:tcW w:type="dxa" w:w="20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9.68% / 4.49% / 30.33% / 7.48%</w:t>
            </w:r>
          </w:p>
        </w:tc>
        <w:tc>
          <w:tcPr>
            <w:tcW w:type="dxa" w:w="331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9.87% / 6.14% / 27.41% / 7.48% — PRINTED HOT (60882-60885)</w:t>
            </w:r>
          </w:p>
        </w:tc>
      </w:tr>
      <w:tr>
        <w:tc>
          <w:tcPr>
            <w:tcW w:type="dxa" w:w="48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07-14</w:t>
            </w:r>
          </w:p>
        </w:tc>
        <w:tc>
          <w:tcPr>
            <w:tcW w:type="dxa" w:w="42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JP</w:t>
            </w:r>
          </w:p>
        </w:tc>
        <w:tc>
          <w:tcPr>
            <w:tcW w:type="dxa" w:w="234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Industrial production m/m / y/y (final)</w:t>
            </w:r>
          </w:p>
        </w:tc>
        <w:tc>
          <w:tcPr>
            <w:tcW w:type="dxa" w:w="20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0.5% / —</w:t>
            </w:r>
          </w:p>
        </w:tc>
        <w:tc>
          <w:tcPr>
            <w:tcW w:type="dxa" w:w="20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0.5% / 2.0%</w:t>
            </w:r>
          </w:p>
        </w:tc>
        <w:tc>
          <w:tcPr>
            <w:tcW w:type="dxa" w:w="331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0.1% / −2.1% — PRINTED SOFT (60870/60871)</w:t>
            </w:r>
          </w:p>
        </w:tc>
      </w:tr>
      <w:tr>
        <w:tc>
          <w:tcPr>
            <w:tcW w:type="dxa" w:w="48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07-14</w:t>
            </w:r>
          </w:p>
        </w:tc>
        <w:tc>
          <w:tcPr>
            <w:tcW w:type="dxa" w:w="4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AU</w:t>
            </w:r>
          </w:p>
        </w:tc>
        <w:tc>
          <w:tcPr>
            <w:tcW w:type="dxa" w:w="23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NAB confidence; Westpac consumer conf</w:t>
            </w:r>
          </w:p>
        </w:tc>
        <w:tc>
          <w:tcPr>
            <w:tcW w:type="dxa" w:w="20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 —</w:t>
            </w:r>
          </w:p>
        </w:tc>
        <w:tc>
          <w:tcPr>
            <w:tcW w:type="dxa" w:w="20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−14 / −2.9%</w:t>
            </w:r>
          </w:p>
        </w:tc>
        <w:tc>
          <w:tcPr>
            <w:tcW w:type="dxa" w:w="331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−5 / +4.1% — PRINTED (60860/60858)</w:t>
            </w:r>
          </w:p>
        </w:tc>
      </w:tr>
      <w:tr>
        <w:tc>
          <w:tcPr>
            <w:tcW w:type="dxa" w:w="48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07-14</w:t>
            </w:r>
          </w:p>
        </w:tc>
        <w:tc>
          <w:tcPr>
            <w:tcW w:type="dxa" w:w="42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NZ</w:t>
            </w:r>
          </w:p>
        </w:tc>
        <w:tc>
          <w:tcPr>
            <w:tcW w:type="dxa" w:w="234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NZIER QSBO (Q2)</w:t>
            </w:r>
          </w:p>
        </w:tc>
        <w:tc>
          <w:tcPr>
            <w:tcW w:type="dxa" w:w="20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c>
          <w:tcPr>
            <w:tcW w:type="dxa" w:w="20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−4 (conf)</w:t>
            </w:r>
          </w:p>
        </w:tc>
        <w:tc>
          <w:tcPr>
            <w:tcW w:type="dxa" w:w="331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confidence +12 sa; selling price 22→41 (per flow, 18030)</w:t>
            </w:r>
          </w:p>
        </w:tc>
      </w:tr>
      <w:tr>
        <w:tc>
          <w:tcPr>
            <w:tcW w:type="dxa" w:w="48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07-15</w:t>
            </w:r>
          </w:p>
        </w:tc>
        <w:tc>
          <w:tcPr>
            <w:tcW w:type="dxa" w:w="4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CN</w:t>
            </w:r>
          </w:p>
        </w:tc>
        <w:tc>
          <w:tcPr>
            <w:tcW w:type="dxa" w:w="23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GDP y/y / qoq; IP; retail; FAI ytd</w:t>
            </w:r>
          </w:p>
        </w:tc>
        <w:tc>
          <w:tcPr>
            <w:tcW w:type="dxa" w:w="20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4.5% / 0.9% / 4.6% / −0.1% / −4.9%</w:t>
            </w:r>
          </w:p>
        </w:tc>
        <w:tc>
          <w:tcPr>
            <w:tcW w:type="dxa" w:w="20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5.0% / 1.3% / 4.5% / −0.6% / −4.1%</w:t>
            </w:r>
          </w:p>
        </w:tc>
        <w:tc>
          <w:tcPr>
            <w:tcW w:type="dxa" w:w="331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4.3% / 0.9% / 5.3% / +1.0% / −5.7% — PRINTED MIXED (60929-60932); headline miss, IP+retail beat</w:t>
            </w:r>
          </w:p>
        </w:tc>
      </w:tr>
      <w:tr>
        <w:tc>
          <w:tcPr>
            <w:tcW w:type="dxa" w:w="48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07-15</w:t>
            </w:r>
          </w:p>
        </w:tc>
        <w:tc>
          <w:tcPr>
            <w:tcW w:type="dxa" w:w="42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CA</w:t>
            </w:r>
          </w:p>
        </w:tc>
        <w:tc>
          <w:tcPr>
            <w:tcW w:type="dxa" w:w="234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Bank of Canada decision + MPR + presser</w:t>
            </w:r>
          </w:p>
        </w:tc>
        <w:tc>
          <w:tcPr>
            <w:tcW w:type="dxa" w:w="20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hold 2.25%</w:t>
            </w:r>
          </w:p>
        </w:tc>
        <w:tc>
          <w:tcPr>
            <w:tcW w:type="dxa" w:w="20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2.25%</w:t>
            </w:r>
          </w:p>
        </w:tc>
        <w:tc>
          <w:tcPr>
            <w:tcW w:type="dxa" w:w="331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forward — JPM/MS/GS hold vs StanC cut</w:t>
            </w:r>
          </w:p>
        </w:tc>
      </w:tr>
      <w:tr>
        <w:tc>
          <w:tcPr>
            <w:tcW w:type="dxa" w:w="48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07-15</w:t>
            </w:r>
          </w:p>
        </w:tc>
        <w:tc>
          <w:tcPr>
            <w:tcW w:type="dxa" w:w="4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w:t>
            </w:r>
          </w:p>
        </w:tc>
        <w:tc>
          <w:tcPr>
            <w:tcW w:type="dxa" w:w="23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PPI m/m / core m/m; Warsh (Senate)</w:t>
            </w:r>
          </w:p>
        </w:tc>
        <w:tc>
          <w:tcPr>
            <w:tcW w:type="dxa" w:w="20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0% / 0.4%</w:t>
            </w:r>
          </w:p>
        </w:tc>
        <w:tc>
          <w:tcPr>
            <w:tcW w:type="dxa" w:w="20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1.1% / 0.4%</w:t>
            </w:r>
          </w:p>
        </w:tc>
        <w:tc>
          <w:tcPr>
            <w:tcW w:type="dxa" w:w="331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forward</w:t>
            </w:r>
          </w:p>
        </w:tc>
      </w:tr>
      <w:tr>
        <w:tc>
          <w:tcPr>
            <w:tcW w:type="dxa" w:w="48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07-16</w:t>
            </w:r>
          </w:p>
        </w:tc>
        <w:tc>
          <w:tcPr>
            <w:tcW w:type="dxa" w:w="42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w:t>
            </w:r>
          </w:p>
        </w:tc>
        <w:tc>
          <w:tcPr>
            <w:tcW w:type="dxa" w:w="234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Retail sales m/m; initial claims</w:t>
            </w:r>
          </w:p>
        </w:tc>
        <w:tc>
          <w:tcPr>
            <w:tcW w:type="dxa" w:w="20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0.2% / 217K</w:t>
            </w:r>
          </w:p>
        </w:tc>
        <w:tc>
          <w:tcPr>
            <w:tcW w:type="dxa" w:w="20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0.9% / 215K</w:t>
            </w:r>
          </w:p>
        </w:tc>
        <w:tc>
          <w:tcPr>
            <w:tcW w:type="dxa" w:w="331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forward</w:t>
            </w:r>
          </w:p>
        </w:tc>
      </w:tr>
      <w:tr>
        <w:tc>
          <w:tcPr>
            <w:tcW w:type="dxa" w:w="48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07-16</w:t>
            </w:r>
          </w:p>
        </w:tc>
        <w:tc>
          <w:tcPr>
            <w:tcW w:type="dxa" w:w="4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UK</w:t>
            </w:r>
          </w:p>
        </w:tc>
        <w:tc>
          <w:tcPr>
            <w:tcW w:type="dxa" w:w="23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GDP m/m / y/y; IP m/m</w:t>
            </w:r>
          </w:p>
        </w:tc>
        <w:tc>
          <w:tcPr>
            <w:tcW w:type="dxa" w:w="20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0.1% / 1.4% / −0.1%</w:t>
            </w:r>
          </w:p>
        </w:tc>
        <w:tc>
          <w:tcPr>
            <w:tcW w:type="dxa" w:w="20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−0.1% / 1.2% / 0%</w:t>
            </w:r>
          </w:p>
        </w:tc>
        <w:tc>
          <w:tcPr>
            <w:tcW w:type="dxa" w:w="331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forward</w:t>
            </w:r>
          </w:p>
        </w:tc>
      </w:tr>
      <w:tr>
        <w:tc>
          <w:tcPr>
            <w:tcW w:type="dxa" w:w="48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07-16</w:t>
            </w:r>
          </w:p>
        </w:tc>
        <w:tc>
          <w:tcPr>
            <w:tcW w:type="dxa" w:w="42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NZ</w:t>
            </w:r>
          </w:p>
        </w:tc>
        <w:tc>
          <w:tcPr>
            <w:tcW w:type="dxa" w:w="234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Food inflation y/y</w:t>
            </w:r>
          </w:p>
        </w:tc>
        <w:tc>
          <w:tcPr>
            <w:tcW w:type="dxa" w:w="20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c>
          <w:tcPr>
            <w:tcW w:type="dxa" w:w="20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3.2%</w:t>
            </w:r>
          </w:p>
        </w:tc>
        <w:tc>
          <w:tcPr>
            <w:tcW w:type="dxa" w:w="331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forward</w:t>
            </w:r>
          </w:p>
        </w:tc>
      </w:tr>
      <w:tr>
        <w:tc>
          <w:tcPr>
            <w:tcW w:type="dxa" w:w="48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07-16</w:t>
            </w:r>
          </w:p>
        </w:tc>
        <w:tc>
          <w:tcPr>
            <w:tcW w:type="dxa" w:w="4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KR</w:t>
            </w:r>
          </w:p>
        </w:tc>
        <w:tc>
          <w:tcPr>
            <w:tcW w:type="dxa" w:w="23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BoK base rate</w:t>
            </w:r>
          </w:p>
        </w:tc>
        <w:tc>
          <w:tcPr>
            <w:tcW w:type="dxa" w:w="20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hike 2.5→2.75%</w:t>
            </w:r>
          </w:p>
        </w:tc>
        <w:tc>
          <w:tcPr>
            <w:tcW w:type="dxa" w:w="20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2.5%</w:t>
            </w:r>
          </w:p>
        </w:tc>
        <w:tc>
          <w:tcPr>
            <w:tcW w:type="dxa" w:w="331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forward (outside universe)</w:t>
            </w:r>
          </w:p>
        </w:tc>
      </w:tr>
      <w:tr>
        <w:tc>
          <w:tcPr>
            <w:tcW w:type="dxa" w:w="48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07-17</w:t>
            </w:r>
          </w:p>
        </w:tc>
        <w:tc>
          <w:tcPr>
            <w:tcW w:type="dxa" w:w="42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MY</w:t>
            </w:r>
          </w:p>
        </w:tc>
        <w:tc>
          <w:tcPr>
            <w:tcW w:type="dxa" w:w="234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CPI y/y; Q2 GDP prelim y/y</w:t>
            </w:r>
          </w:p>
        </w:tc>
        <w:tc>
          <w:tcPr>
            <w:tcW w:type="dxa" w:w="20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2.0% / 5.3%</w:t>
            </w:r>
          </w:p>
        </w:tc>
        <w:tc>
          <w:tcPr>
            <w:tcW w:type="dxa" w:w="20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2.0% / 5.4%</w:t>
            </w:r>
          </w:p>
        </w:tc>
        <w:tc>
          <w:tcPr>
            <w:tcW w:type="dxa" w:w="331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forward</w:t>
            </w:r>
          </w:p>
        </w:tc>
      </w:tr>
      <w:tr>
        <w:tc>
          <w:tcPr>
            <w:tcW w:type="dxa" w:w="48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07-17</w:t>
            </w:r>
          </w:p>
        </w:tc>
        <w:tc>
          <w:tcPr>
            <w:tcW w:type="dxa" w:w="4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HK</w:t>
            </w:r>
          </w:p>
        </w:tc>
        <w:tc>
          <w:tcPr>
            <w:tcW w:type="dxa" w:w="23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Unemployment rate</w:t>
            </w:r>
          </w:p>
        </w:tc>
        <w:tc>
          <w:tcPr>
            <w:tcW w:type="dxa" w:w="20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20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3.7%</w:t>
            </w:r>
          </w:p>
        </w:tc>
        <w:tc>
          <w:tcPr>
            <w:tcW w:type="dxa" w:w="331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forward</w:t>
            </w:r>
          </w:p>
        </w:tc>
      </w:tr>
      <w:tr>
        <w:tc>
          <w:tcPr>
            <w:tcW w:type="dxa" w:w="48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07-17</w:t>
            </w:r>
          </w:p>
        </w:tc>
        <w:tc>
          <w:tcPr>
            <w:tcW w:type="dxa" w:w="42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SG</w:t>
            </w:r>
          </w:p>
        </w:tc>
        <w:tc>
          <w:tcPr>
            <w:tcW w:type="dxa" w:w="234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Balance of trade (NODX)</w:t>
            </w:r>
          </w:p>
        </w:tc>
        <w:tc>
          <w:tcPr>
            <w:tcW w:type="dxa" w:w="20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c>
          <w:tcPr>
            <w:tcW w:type="dxa" w:w="20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$5.57B</w:t>
            </w:r>
          </w:p>
        </w:tc>
        <w:tc>
          <w:tcPr>
            <w:tcW w:type="dxa" w:w="331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forward</w:t>
            </w:r>
          </w:p>
        </w:tc>
      </w:tr>
      <w:tr>
        <w:tc>
          <w:tcPr>
            <w:tcW w:type="dxa" w:w="48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07-21</w:t>
            </w:r>
          </w:p>
        </w:tc>
        <w:tc>
          <w:tcPr>
            <w:tcW w:type="dxa" w:w="4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NZ</w:t>
            </w:r>
          </w:p>
        </w:tc>
        <w:tc>
          <w:tcPr>
            <w:tcW w:type="dxa" w:w="23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Q2 CPI</w:t>
            </w:r>
          </w:p>
        </w:tc>
        <w:tc>
          <w:tcPr>
            <w:tcW w:type="dxa" w:w="20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~1.3% q/q (RBNZ)</w:t>
            </w:r>
          </w:p>
        </w:tc>
        <w:tc>
          <w:tcPr>
            <w:tcW w:type="dxa" w:w="20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331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forward</w:t>
            </w:r>
          </w:p>
        </w:tc>
      </w:tr>
      <w:tr>
        <w:tc>
          <w:tcPr>
            <w:tcW w:type="dxa" w:w="48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07-22</w:t>
            </w:r>
          </w:p>
        </w:tc>
        <w:tc>
          <w:tcPr>
            <w:tcW w:type="dxa" w:w="42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ID</w:t>
            </w:r>
          </w:p>
        </w:tc>
        <w:tc>
          <w:tcPr>
            <w:tcW w:type="dxa" w:w="234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Bank Indonesia decision</w:t>
            </w:r>
          </w:p>
        </w:tc>
        <w:tc>
          <w:tcPr>
            <w:tcW w:type="dxa" w:w="20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t>
            </w:r>
          </w:p>
        </w:tc>
        <w:tc>
          <w:tcPr>
            <w:tcW w:type="dxa" w:w="20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5.75%</w:t>
            </w:r>
          </w:p>
        </w:tc>
        <w:tc>
          <w:tcPr>
            <w:tcW w:type="dxa" w:w="331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forward</w:t>
            </w:r>
          </w:p>
        </w:tc>
      </w:tr>
      <w:tr>
        <w:tc>
          <w:tcPr>
            <w:tcW w:type="dxa" w:w="48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07-24–31</w:t>
            </w:r>
          </w:p>
        </w:tc>
        <w:tc>
          <w:tcPr>
            <w:tcW w:type="dxa" w:w="42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SG</w:t>
            </w:r>
          </w:p>
        </w:tc>
        <w:tc>
          <w:tcPr>
            <w:tcW w:type="dxa" w:w="23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MAS MPS (window)</w:t>
            </w:r>
          </w:p>
        </w:tc>
        <w:tc>
          <w:tcPr>
            <w:tcW w:type="dxa" w:w="20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t>
            </w:r>
          </w:p>
        </w:tc>
        <w:tc>
          <w:tcPr>
            <w:tcW w:type="dxa" w:w="20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band</w:t>
            </w:r>
          </w:p>
        </w:tc>
        <w:tc>
          <w:tcPr>
            <w:tcW w:type="dxa" w:w="331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forward — NOT today</w:t>
            </w:r>
          </w:p>
        </w:tc>
      </w:tr>
      <w:tr>
        <w:tc>
          <w:tcPr>
            <w:tcW w:type="dxa" w:w="48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07-29</w:t>
            </w:r>
          </w:p>
        </w:tc>
        <w:tc>
          <w:tcPr>
            <w:tcW w:type="dxa" w:w="42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US/AU</w:t>
            </w:r>
          </w:p>
        </w:tc>
        <w:tc>
          <w:tcPr>
            <w:tcW w:type="dxa" w:w="234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FOMC; AU Q2 CPI</w:t>
            </w:r>
          </w:p>
        </w:tc>
        <w:tc>
          <w:tcPr>
            <w:tcW w:type="dxa" w:w="20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hold / ~0.8% q/q</w:t>
            </w:r>
          </w:p>
        </w:tc>
        <w:tc>
          <w:tcPr>
            <w:tcW w:type="dxa" w:w="20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3.75% (upper)</w:t>
            </w:r>
          </w:p>
        </w:tc>
        <w:tc>
          <w:tcPr>
            <w:tcW w:type="dxa" w:w="331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forward — soft CPI eased the hike risk</w:t>
            </w:r>
          </w:p>
        </w:tc>
      </w:tr>
    </w:tbl>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8. Cross-cutting trade-ideas table</w:t>
      </w:r>
      <w:r>
        <w:rPr>
          <w:rFonts w:ascii="Public Sans" w:hAnsi="Public Sans"/>
          <w:i/>
          <w:color w:val="7A7C7C"/>
          <w:sz w:val="16"/>
        </w:rPr>
        <w:t xml:space="preserve">   VIEW — provenance-tagged, never rated</w:t>
      </w:r>
    </w:p>
    <w:p>
      <w:pPr>
        <w:spacing w:after="80" w:line="283" w:lineRule="auto"/>
      </w:pPr>
      <w:r>
        <w:rPr>
          <w:rFonts w:ascii="Public Sans" w:hAnsi="Public Sans"/>
          <w:b w:val="0"/>
          <w:i w:val="0"/>
          <w:color w:val="3D3E3E"/>
          <w:sz w:val="19"/>
        </w:rPr>
        <w:t xml:space="preserve">The daily's single trade view — what the houses are floating across the universe. Each row: the idea, the assumption it rests on, its falsifier, provenance. </w:t>
      </w:r>
      <w:r>
        <w:rPr>
          <w:rFonts w:ascii="Public Sans" w:hAnsi="Public Sans"/>
          <w:b/>
          <w:i w:val="0"/>
          <w:color w:val="3D3E3E"/>
          <w:sz w:val="19"/>
        </w:rPr>
        <w:t>Never rated</w:t>
      </w:r>
      <w:r>
        <w:rPr>
          <w:rFonts w:ascii="Public Sans" w:hAnsi="Public Sans"/>
          <w:b w:val="0"/>
          <w:i w:val="0"/>
          <w:color w:val="3D3E3E"/>
          <w:sz w:val="19"/>
        </w:rPr>
        <w:t xml:space="preserve"> — the PM judges. Expanded in the per-country reads below.</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25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t>
            </w:r>
          </w:p>
        </w:tc>
        <w:tc>
          <w:tcPr>
            <w:tcW w:type="dxa" w:w="231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Trade</w:t>
            </w:r>
          </w:p>
        </w:tc>
        <w:tc>
          <w:tcPr>
            <w:tcW w:type="dxa" w:w="231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Key driver / rationale</w:t>
            </w:r>
          </w:p>
        </w:tc>
        <w:tc>
          <w:tcPr>
            <w:tcW w:type="dxa" w:w="231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Assumption it rests on</w:t>
            </w:r>
          </w:p>
        </w:tc>
        <w:tc>
          <w:tcPr>
            <w:tcW w:type="dxa" w:w="231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c>
          <w:tcPr>
            <w:tcW w:type="dxa" w:w="113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Provenance</w:t>
            </w:r>
          </w:p>
        </w:tc>
      </w:tr>
      <w:tr>
        <w:tc>
          <w:tcPr>
            <w:tcW w:type="dxa" w:w="25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231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Citi: add EMFX carry; close GBP + CAD rates-RV vs USD-payer; move short-EURUSD → flat</w:t>
            </w:r>
          </w:p>
        </w:tc>
        <w:tc>
          <w:tcPr>
            <w:tcW w:type="dxa" w:w="231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Soft CPI + slow payrolls → Fed on hold for the summer, US front-end &amp; USD range-bound = "goldilocks" for carry</w:t>
            </w:r>
          </w:p>
        </w:tc>
        <w:tc>
          <w:tcPr>
            <w:tcW w:type="dxa" w:w="231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 data stay soft-ish; front-end range-bound; oil doesn't spike</w:t>
            </w:r>
          </w:p>
        </w:tc>
        <w:tc>
          <w:tcPr>
            <w:tcW w:type="dxa" w:w="231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hot PPI/retail re-lights the Fed; Iran escalation drives oil + USD</w:t>
            </w:r>
          </w:p>
        </w:tc>
        <w:tc>
          <w:tcPr>
            <w:tcW w:type="dxa" w:w="11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 18317</w:t>
            </w:r>
          </w:p>
        </w:tc>
      </w:tr>
      <w:tr>
        <w:tc>
          <w:tcPr>
            <w:tcW w:type="dxa" w:w="25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231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Citi: take profit on short-inflation trade after the soft CPI</w:t>
            </w:r>
          </w:p>
        </w:tc>
        <w:tc>
          <w:tcPr>
            <w:tcW w:type="dxa" w:w="231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June core flat validated the short-inflation view; core PCE tracking 0.21%</w:t>
            </w:r>
          </w:p>
        </w:tc>
        <w:tc>
          <w:tcPr>
            <w:tcW w:type="dxa" w:w="231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disinflation print is the payoff, book it</w:t>
            </w:r>
          </w:p>
        </w:tc>
        <w:tc>
          <w:tcPr>
            <w:tcW w:type="dxa" w:w="231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 re-acceleration in PPI/energy reverses it</w:t>
            </w:r>
          </w:p>
        </w:tc>
        <w:tc>
          <w:tcPr>
            <w:tcW w:type="dxa" w:w="11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Citi 18240/18241</w:t>
            </w:r>
          </w:p>
        </w:tc>
      </w:tr>
      <w:tr>
        <w:tc>
          <w:tcPr>
            <w:tcW w:type="dxa" w:w="25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231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Nomura: take profit on long USD/CAD (+2.1% at 1.4090), cut conviction 2/5</w:t>
            </w:r>
          </w:p>
        </w:tc>
        <w:tc>
          <w:tcPr>
            <w:tcW w:type="dxa" w:w="231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USD struggled to gain on hawkish Waller + oil → long-USD positioning stretched; BoC may miss hike pricing</w:t>
            </w:r>
          </w:p>
        </w:tc>
        <w:tc>
          <w:tcPr>
            <w:tcW w:type="dxa" w:w="231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Spec long-USD is crowded; short-CAD stretched</w:t>
            </w:r>
          </w:p>
        </w:tc>
        <w:tc>
          <w:tcPr>
            <w:tcW w:type="dxa" w:w="231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 data suddenly surprise up; BoC hawkish</w:t>
            </w:r>
          </w:p>
        </w:tc>
        <w:tc>
          <w:tcPr>
            <w:tcW w:type="dxa" w:w="11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Nomura 18221</w:t>
            </w:r>
          </w:p>
        </w:tc>
      </w:tr>
      <w:tr>
        <w:tc>
          <w:tcPr>
            <w:tcW w:type="dxa" w:w="25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231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HSBC: receive GBP 1Y1Y OIS at 4.35% (tgt 4.00%, stop 4.60%)</w:t>
            </w:r>
          </w:p>
        </w:tc>
        <w:tc>
          <w:tcPr>
            <w:tcW w:type="dxa" w:w="231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~60bp of hikes / 80% Sep-hike priced on the oil-led front-end sell-off; HSBC sees BoE on hold</w:t>
            </w:r>
          </w:p>
        </w:tc>
        <w:tc>
          <w:tcPr>
            <w:tcW w:type="dxa" w:w="231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Oil/ME stabilises; weak UK growth undermines the hike case</w:t>
            </w:r>
          </w:p>
        </w:tc>
        <w:tc>
          <w:tcPr>
            <w:tcW w:type="dxa" w:w="231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Higher oil / hawkish data extend the sell-off (stop 4.60%)</w:t>
            </w:r>
          </w:p>
        </w:tc>
        <w:tc>
          <w:tcPr>
            <w:tcW w:type="dxa" w:w="11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HSBC 18254</w:t>
            </w:r>
          </w:p>
        </w:tc>
      </w:tr>
      <w:tr>
        <w:tc>
          <w:tcPr>
            <w:tcW w:type="dxa" w:w="25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5</w:t>
            </w:r>
          </w:p>
        </w:tc>
        <w:tc>
          <w:tcPr>
            <w:tcW w:type="dxa" w:w="231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Citi: reiterate July S$NEER steepening on above-trend 2Q GDP</w:t>
            </w:r>
          </w:p>
        </w:tc>
        <w:tc>
          <w:tcPr>
            <w:tcW w:type="dxa" w:w="231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Advance Q2 GDP 5.7% (beat); third year of above-trend growth supports a steeper slope</w:t>
            </w:r>
          </w:p>
        </w:tc>
        <w:tc>
          <w:tcPr>
            <w:tcW w:type="dxa" w:w="231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MAS tilts hawkish at the late-Jul MPS; growth stays firm</w:t>
            </w:r>
          </w:p>
        </w:tc>
        <w:tc>
          <w:tcPr>
            <w:tcW w:type="dxa" w:w="231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dovish MAS hold / growth undershoot</w:t>
            </w:r>
          </w:p>
        </w:tc>
        <w:tc>
          <w:tcPr>
            <w:tcW w:type="dxa" w:w="11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 18125</w:t>
            </w:r>
          </w:p>
        </w:tc>
      </w:tr>
      <w:tr>
        <w:tc>
          <w:tcPr>
            <w:tcW w:type="dxa" w:w="25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6</w:t>
            </w:r>
          </w:p>
        </w:tc>
        <w:tc>
          <w:tcPr>
            <w:tcW w:type="dxa" w:w="231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SocGen: take profit on short EUR/INR "as headwinds rise"</w:t>
            </w:r>
          </w:p>
        </w:tc>
        <w:tc>
          <w:tcPr>
            <w:tcW w:type="dxa" w:w="231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INR headwinds building — hot CPI/WPI, oil, wider trade deficit → book the short-EURINR gain</w:t>
            </w:r>
          </w:p>
        </w:tc>
        <w:tc>
          <w:tcPr>
            <w:tcW w:type="dxa" w:w="231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INR-supportive window is closing; book it</w:t>
            </w:r>
          </w:p>
        </w:tc>
        <w:tc>
          <w:tcPr>
            <w:tcW w:type="dxa" w:w="231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INR resumes strengthening (FCNR inflows, oil drops)</w:t>
            </w:r>
          </w:p>
        </w:tc>
        <w:tc>
          <w:tcPr>
            <w:tcW w:type="dxa" w:w="11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SocGen 18227</w:t>
            </w:r>
          </w:p>
        </w:tc>
      </w:tr>
      <w:tr>
        <w:tc>
          <w:tcPr>
            <w:tcW w:type="dxa" w:w="25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7</w:t>
            </w:r>
          </w:p>
        </w:tc>
        <w:tc>
          <w:tcPr>
            <w:tcW w:type="dxa" w:w="231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Nomura trade book: long EUR/INR (113), short USD/THB (32), pay Sep 5y India NDOIS (6.45%), Korea Dec-1s4s NDIRS steepener, pay AU3m1y vs US3m1y, short GBP/NZD (2.25)</w:t>
            </w:r>
          </w:p>
        </w:tc>
        <w:tc>
          <w:tcPr>
            <w:tcW w:type="dxa" w:w="231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Cross-Asia RV: INR/THB/India-rates/Korea-curve/AU-US-rates/NZD-strength expressions</w:t>
            </w:r>
          </w:p>
        </w:tc>
        <w:tc>
          <w:tcPr>
            <w:tcW w:type="dxa" w:w="231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Each leg's local driver holds; oil contained</w:t>
            </w:r>
          </w:p>
        </w:tc>
        <w:tc>
          <w:tcPr>
            <w:tcW w:type="dxa" w:w="231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Oil to $100; a hawkish Fed re-steepens US; local surprises</w:t>
            </w:r>
          </w:p>
        </w:tc>
        <w:tc>
          <w:tcPr>
            <w:tcW w:type="dxa" w:w="11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Nomura 18221</w:t>
            </w:r>
          </w:p>
        </w:tc>
      </w:tr>
      <w:tr>
        <w:tc>
          <w:tcPr>
            <w:tcW w:type="dxa" w:w="25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8</w:t>
            </w:r>
          </w:p>
        </w:tc>
        <w:tc>
          <w:tcPr>
            <w:tcW w:type="dxa" w:w="231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BNP: long JGB 10s20s box; SocGen stay rec 1y1y vs JGB futures</w:t>
            </w:r>
          </w:p>
        </w:tc>
        <w:tc>
          <w:tcPr>
            <w:tcW w:type="dxa" w:w="231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Katayama/GPIF repatriation + belly "behind the curve" cap the long end</w:t>
            </w:r>
          </w:p>
        </w:tc>
        <w:tc>
          <w:tcPr>
            <w:tcW w:type="dxa" w:w="231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Pension-flow ambiguity caps the long end; slow BoJ</w:t>
            </w:r>
          </w:p>
        </w:tc>
        <w:tc>
          <w:tcPr>
            <w:tcW w:type="dxa" w:w="231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 credible consolidation signal / fast BoJ-to-2%</w:t>
            </w:r>
          </w:p>
        </w:tc>
        <w:tc>
          <w:tcPr>
            <w:tcW w:type="dxa" w:w="11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BNP 18063, SocGen (carried)</w:t>
            </w:r>
          </w:p>
        </w:tc>
      </w:tr>
      <w:tr>
        <w:tc>
          <w:tcPr>
            <w:tcW w:type="dxa" w:w="25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9</w:t>
            </w:r>
          </w:p>
        </w:tc>
        <w:tc>
          <w:tcPr>
            <w:tcW w:type="dxa" w:w="231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ANZ: short AUD rates — hold paid Dec-26 RBA OIS; pay the 1y/1y1y/2y1y belly fly</w:t>
            </w:r>
          </w:p>
        </w:tc>
        <w:tc>
          <w:tcPr>
            <w:tcW w:type="dxa" w:w="231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RBA reaction function "heavily skewed" to inflation; supply shocks keep AUD long-end high; terminal underpriced</w:t>
            </w:r>
          </w:p>
        </w:tc>
        <w:tc>
          <w:tcPr>
            <w:tcW w:type="dxa" w:w="231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RBA stays inflation-focused; supply shocks persist</w:t>
            </w:r>
          </w:p>
        </w:tc>
        <w:tc>
          <w:tcPr>
            <w:tcW w:type="dxa" w:w="231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dovish RBA pivot / growth cools / oil drops</w:t>
            </w:r>
          </w:p>
        </w:tc>
        <w:tc>
          <w:tcPr>
            <w:tcW w:type="dxa" w:w="11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ANZ 18342</w:t>
            </w:r>
          </w:p>
        </w:tc>
      </w:tr>
      <w:tr>
        <w:tc>
          <w:tcPr>
            <w:tcW w:type="dxa" w:w="25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10</w:t>
            </w:r>
          </w:p>
        </w:tc>
        <w:tc>
          <w:tcPr>
            <w:tcW w:type="dxa" w:w="231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JPM (Indonesia): MW IDR FX, MW IndoGBs, reduce UW INDONs; long INR vs PHP &amp; IDR (RV)</w:t>
            </w:r>
          </w:p>
        </w:tc>
        <w:tc>
          <w:tcPr>
            <w:tcW w:type="dxa" w:w="231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Fiscal deficit raised to 2.85% but consolidation encouraging; BI anchor vs weak seasonals</w:t>
            </w:r>
          </w:p>
        </w:tc>
        <w:tc>
          <w:tcPr>
            <w:tcW w:type="dxa" w:w="231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BI stays hawkish; FA flows keep improving; consolidation delivers</w:t>
            </w:r>
          </w:p>
        </w:tc>
        <w:tc>
          <w:tcPr>
            <w:tcW w:type="dxa" w:w="231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Fiscal slippage / FX pressure widens IndoGB risk premia</w:t>
            </w:r>
          </w:p>
        </w:tc>
        <w:tc>
          <w:tcPr>
            <w:tcW w:type="dxa" w:w="113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JPM 18151</w:t>
            </w:r>
          </w:p>
        </w:tc>
      </w:tr>
      <w:tr>
        <w:tc>
          <w:tcPr>
            <w:tcW w:type="dxa" w:w="25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11</w:t>
            </w:r>
          </w:p>
        </w:tc>
        <w:tc>
          <w:tcPr>
            <w:tcW w:type="dxa" w:w="231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Citi (carried): booked long USD/THB (+82bp); rolled bearish PHP 1x1.5 call ratio 3m</w:t>
            </w:r>
          </w:p>
        </w:tc>
        <w:tc>
          <w:tcPr>
            <w:tcW w:type="dxa" w:w="231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THB underperformance + intervention anchor; cap PHP strength</w:t>
            </w:r>
          </w:p>
        </w:tc>
        <w:tc>
          <w:tcPr>
            <w:tcW w:type="dxa" w:w="231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FX intervention anchors USD/THB; PHP strength capped</w:t>
            </w:r>
          </w:p>
        </w:tc>
        <w:tc>
          <w:tcPr>
            <w:tcW w:type="dxa" w:w="231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ME de-escalation + sharp oil drop; strong PHP inflows</w:t>
            </w:r>
          </w:p>
        </w:tc>
        <w:tc>
          <w:tcPr>
            <w:tcW w:type="dxa" w:w="11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 18064</w:t>
            </w:r>
          </w:p>
        </w:tc>
      </w:tr>
    </w:tbl>
    <w:p>
      <w:pPr>
        <w:spacing w:after="80" w:line="283" w:lineRule="auto"/>
      </w:pPr>
      <w:r>
        <w:rPr>
          <w:rFonts w:ascii="Public Sans" w:hAnsi="Public Sans"/>
          <w:b/>
          <w:i w:val="0"/>
          <w:color w:val="3D3E3E"/>
          <w:sz w:val="19"/>
        </w:rPr>
        <w:t>SYN — where the book tilts:</w:t>
      </w:r>
      <w:r>
        <w:rPr>
          <w:rFonts w:ascii="Public Sans" w:hAnsi="Public Sans"/>
          <w:b w:val="0"/>
          <w:i w:val="0"/>
          <w:color w:val="3D3E3E"/>
          <w:sz w:val="19"/>
        </w:rPr>
        <w:t xml:space="preserve"> the soft CPI flipped the cross-universe tilt from </w:t>
      </w:r>
      <w:r>
        <w:rPr>
          <w:rFonts w:ascii="Public Sans" w:hAnsi="Public Sans"/>
          <w:b w:val="0"/>
          <w:i/>
          <w:color w:val="3D3E3E"/>
          <w:sz w:val="19"/>
        </w:rPr>
        <w:t>long-dollar / higher-for-longer</w:t>
      </w:r>
      <w:r>
        <w:rPr>
          <w:rFonts w:ascii="Public Sans" w:hAnsi="Public Sans"/>
          <w:b w:val="0"/>
          <w:i w:val="0"/>
          <w:color w:val="3D3E3E"/>
          <w:sz w:val="19"/>
        </w:rPr>
        <w:t xml:space="preserve"> to </w:t>
      </w:r>
      <w:r>
        <w:rPr>
          <w:rFonts w:ascii="Public Sans" w:hAnsi="Public Sans"/>
          <w:b w:val="0"/>
          <w:i/>
          <w:color w:val="3D3E3E"/>
          <w:sz w:val="19"/>
        </w:rPr>
        <w:t>fade-the-dollar / carry-in-a-range</w:t>
      </w:r>
      <w:r>
        <w:rPr>
          <w:rFonts w:ascii="Public Sans" w:hAnsi="Public Sans"/>
          <w:b w:val="0"/>
          <w:i w:val="0"/>
          <w:color w:val="3D3E3E"/>
          <w:sz w:val="19"/>
        </w:rPr>
        <w:t>. Citi's rotation is the cleanest expression — closing its GBP and CAD receiver-vs-USD-payer RV trades, moving short-EURUSD to flat, and adding EMFX carry into a "goldilocks summer" of a range-bound Fed (row 1); Nomura books long USD/CAD on the same logic that long-USD positioning is stretched (row 3); and HSBC fades the oil-driven UK front-end sell-off by receiving GBP 1Y1Y (row 4). The counterweight is oil: every row still carries the Hormuz blockade as the two-sided tail, and Citi keeps a residual USD-asymmetry on that risk (18316). In Asia the book is data-led and constructive — Citi's SG steepener on the strong GDP (row 5), SocGen booking the short-EUR/INR gain as India's prints turn the headwind (row 6), Nomura's cross-Asia RV book (row 7), and JPM's Indonesia MW package (row 10). Japan stays a curve trade (row 8) and Australia a short-rates trade on the RBA's inflation skew (row 9). The through-line: the marquee resolved dovish, so the trades that assumed a hawkish US are being unwound, and carry/curve is where the book is putting risk while oil stays the shared falsifier.</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9. Per-country read — A / B / C / D (the body)</w:t>
      </w:r>
    </w:p>
    <w:p>
      <w:pPr>
        <w:spacing w:after="80" w:line="283" w:lineRule="auto"/>
      </w:pPr>
      <w:r>
        <w:rPr>
          <w:rFonts w:ascii="Public Sans" w:hAnsi="Public Sans"/>
          <w:b w:val="0"/>
          <w:i w:val="0"/>
          <w:color w:val="3D3E3E"/>
          <w:sz w:val="19"/>
        </w:rPr>
        <w:t>Ordered by what moved this window: the resolved US CPI leads, then China's mixed Q2 GDP, Singapore's strong GDP, New Zealand, and Canada's live decision, then India's hot prints, Japan's curve, Australia, the UK, Indonesia, and the quiet tail (Hong Kong, Thailand, Malaysia, Philippines). Every country is read at the chunk level; quiet countries get the raised-floor A+B read grounded in the flagship/tape.</w:t>
      </w:r>
    </w:p>
    <w:p>
      <w:pPr>
        <w:spacing w:before="200" w:after="60"/>
        <w:keepNext/>
        <w:pBdr>
          <w:bottom w:val="single" w:sz="4" w:space="2" w:color="E0E9E4"/>
        </w:pBdr>
      </w:pPr>
      <w:r>
        <w:rPr>
          <w:rFonts w:ascii="Georgia" w:hAnsi="Georgia"/>
          <w:b/>
          <w:color w:val="4D806A"/>
          <w:sz w:val="23"/>
        </w:rPr>
        <w:t>United States — The soft CPI resolves the hike scare; the Fed is bought time</w:t>
      </w:r>
    </w:p>
    <w:p>
      <w:pPr>
        <w:spacing w:after="80" w:line="283" w:lineRule="auto"/>
      </w:pPr>
      <w:r>
        <w:rPr>
          <w:rFonts w:ascii="Public Sans" w:hAnsi="Public Sans"/>
          <w:b w:val="0"/>
          <w:i/>
          <w:color w:val="3D3E3E"/>
          <w:sz w:val="19"/>
        </w:rPr>
        <w:t>Flagships read: JPM Daily Economic Briefing (18330), JPM US Market Intelligence Morning/Afternoon (18206/18362), JPM Daily Financial Markets Monitor (18079); GS US Daily Download (18133), GS Morning Wrap (18141), GS Morning (18129), GS FX Morning Notes (18193); Citi The Global Point (18180) + The Daily Update "From Waller to Warsh" (18244); DBDaily "Big miss on US CPI" (18349); Nomura US Daily Commentary (18334) + Monthly Inflation Monitor (18367); MS "July 14: Softer CPI, Weaker Dollar" (18365); UBS US Daily Data Recap (18337). CPI-reaction notes: GS 18251, JPM 18282, Citi 18239/18240/18241, MS 18265/18333, Nomura 18292, Barclays 18267/18312/18313/18266, SocGen 18293, BNP 18315, UBS 18295. Warsh: GS 18324, JPM 18328/18255, UBS 18338.</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35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27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59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315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327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35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2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June core CPI SOFT (0.0% m/m / 2.6% y/y) — disinflation resumed</w:t>
            </w:r>
          </w:p>
        </w:tc>
        <w:tc>
          <w:tcPr>
            <w:tcW w:type="dxa" w:w="59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 USD</w:t>
            </w:r>
          </w:p>
        </w:tc>
        <w:tc>
          <w:tcPr>
            <w:tcW w:type="dxa" w:w="315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JPM, Citi, MS, Nomura, Barclays, SocGen, BNP, UBS</w:t>
            </w:r>
          </w:p>
        </w:tc>
        <w:tc>
          <w:tcPr>
            <w:tcW w:type="dxa" w:w="32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hot-core trigger Waller named did not print; the Fed is bought time</w:t>
            </w:r>
          </w:p>
        </w:tc>
      </w:tr>
      <w:tr>
        <w:tc>
          <w:tcPr>
            <w:tcW w:type="dxa" w:w="35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2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Front-end rally + softer dollar</w:t>
            </w:r>
          </w:p>
        </w:tc>
        <w:tc>
          <w:tcPr>
            <w:tcW w:type="dxa" w:w="59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 USD</w:t>
            </w:r>
          </w:p>
        </w:tc>
        <w:tc>
          <w:tcPr>
            <w:tcW w:type="dxa" w:w="315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Citi, Nomura, MS</w:t>
            </w:r>
          </w:p>
        </w:tc>
        <w:tc>
          <w:tcPr>
            <w:tcW w:type="dxa" w:w="32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Bull steepener; the hike scare priced out; USD range-bound</w:t>
            </w:r>
          </w:p>
        </w:tc>
      </w:tr>
      <w:tr>
        <w:tc>
          <w:tcPr>
            <w:tcW w:type="dxa" w:w="35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2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dollar's non-reaction to hawkish catalysts</w:t>
            </w:r>
          </w:p>
        </w:tc>
        <w:tc>
          <w:tcPr>
            <w:tcW w:type="dxa" w:w="59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USD</w:t>
            </w:r>
          </w:p>
        </w:tc>
        <w:tc>
          <w:tcPr>
            <w:tcW w:type="dxa" w:w="315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Nomura, Citi</w:t>
            </w:r>
          </w:p>
        </w:tc>
        <w:tc>
          <w:tcPr>
            <w:tcW w:type="dxa" w:w="32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Long-USD positioning stretched; bar to further USD upside higher</w:t>
            </w:r>
          </w:p>
        </w:tc>
      </w:tr>
      <w:tr>
        <w:tc>
          <w:tcPr>
            <w:tcW w:type="dxa" w:w="35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32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Warsh testimony — dovish, idiosyncratic</w:t>
            </w:r>
          </w:p>
        </w:tc>
        <w:tc>
          <w:tcPr>
            <w:tcW w:type="dxa" w:w="59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315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GS, JPM, UBS</w:t>
            </w:r>
          </w:p>
        </w:tc>
        <w:tc>
          <w:tcPr>
            <w:tcW w:type="dxa" w:w="32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Chair refuses guidance, "make sure price spikes don't broaden out"</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The number that had the book coiled came soft, and the daily flagships were unanimous. </w:t>
      </w:r>
      <w:r>
        <w:rPr>
          <w:rFonts w:ascii="Public Sans" w:hAnsi="Public Sans"/>
          <w:b/>
          <w:i w:val="0"/>
          <w:color w:val="3D3E3E"/>
          <w:sz w:val="19"/>
        </w:rPr>
        <w:t>June core CPI fell −0.02% m/m</w:t>
      </w:r>
      <w:r>
        <w:rPr>
          <w:rFonts w:ascii="Public Sans" w:hAnsi="Public Sans"/>
          <w:b w:val="0"/>
          <w:i w:val="0"/>
          <w:color w:val="3D3E3E"/>
          <w:sz w:val="19"/>
        </w:rPr>
        <w:t xml:space="preserve"> — flat to one decimal, </w:t>
      </w:r>
      <w:r>
        <w:rPr>
          <w:rFonts w:ascii="Public Sans" w:hAnsi="Public Sans"/>
          <w:b/>
          <w:i w:val="0"/>
          <w:color w:val="3D3E3E"/>
          <w:sz w:val="19"/>
        </w:rPr>
        <w:t>0.0% against a 0.2% survey — and the year-over-year rate dipped from 2.9% to 2.6%</w:t>
      </w:r>
      <w:r>
        <w:rPr>
          <w:rFonts w:ascii="Public Sans" w:hAnsi="Public Sans"/>
          <w:b w:val="0"/>
          <w:i w:val="0"/>
          <w:color w:val="3D3E3E"/>
          <w:sz w:val="19"/>
        </w:rPr>
        <w:t xml:space="preserve"> (cb_events TE lane 60904/60905); headline dropped −0.42% m/m (survey −0.1%; YoY 4.2%→3.5%) on a 5.7% energy decline (60906/60907). GS's note (18251) documents the breadth: auto insurance −2.0% (second consecutive large monthly decline, −7bp on core), wireless services −3.1% (−5bp, reversing a May jump), hotels −2.8% (−4bp, World Cup payback), apparel −0.6%, medical −0.1% — with only software/accessories firmer (+2.2%, larger weight in PCE). GS marks </w:t>
      </w:r>
      <w:r>
        <w:rPr>
          <w:rFonts w:ascii="Public Sans" w:hAnsi="Public Sans"/>
          <w:b/>
          <w:i w:val="0"/>
          <w:color w:val="3D3E3E"/>
          <w:sz w:val="19"/>
        </w:rPr>
        <w:t>core PCE at 0.18% m/m</w:t>
      </w:r>
      <w:r>
        <w:rPr>
          <w:rFonts w:ascii="Public Sans" w:hAnsi="Public Sans"/>
          <w:b w:val="0"/>
          <w:i w:val="0"/>
          <w:color w:val="3D3E3E"/>
          <w:sz w:val="19"/>
        </w:rPr>
        <w:t xml:space="preserve"> (vs its 0.24% pre-CPI), headline PCE −0.06%. </w:t>
      </w:r>
      <w:r>
        <w:rPr>
          <w:rFonts w:ascii="Public Sans" w:hAnsi="Public Sans"/>
          <w:b/>
          <w:i w:val="0"/>
          <w:color w:val="3D3E3E"/>
          <w:sz w:val="19"/>
        </w:rPr>
        <w:t>JPM (18282):</w:t>
      </w:r>
      <w:r>
        <w:rPr>
          <w:rFonts w:ascii="Public Sans" w:hAnsi="Public Sans"/>
          <w:b w:val="0"/>
          <w:i w:val="0"/>
          <w:color w:val="3D3E3E"/>
          <w:sz w:val="19"/>
        </w:rPr>
        <w:t xml:space="preserve"> core −0.02% m/m (JPMC had 0.22%), YoY 2.9%→2.6%; "it is still an encouraging report that takes a little near-term pressure off the Fed," core PCE 0.168% m/m (3m annualised 3.0%, trimmed mean 2.4%→2.3%) — though it flags some core-services-ex-shelter softness as "probably one-off." </w:t>
      </w:r>
      <w:r>
        <w:rPr>
          <w:rFonts w:ascii="Public Sans" w:hAnsi="Public Sans"/>
          <w:b/>
          <w:i w:val="0"/>
          <w:color w:val="3D3E3E"/>
          <w:sz w:val="19"/>
        </w:rPr>
        <w:t>Barclays (18267):</w:t>
      </w:r>
      <w:r>
        <w:rPr>
          <w:rFonts w:ascii="Public Sans" w:hAnsi="Public Sans"/>
          <w:b w:val="0"/>
          <w:i w:val="0"/>
          <w:color w:val="3D3E3E"/>
          <w:sz w:val="19"/>
        </w:rPr>
        <w:t xml:space="preserve"> the data "likely buy time for the FOMC to remain on hold and wait," with shelter deceleration and a core-PCE "0.2% handle" comforting, but stays attuned to energy/ME/AI price pressures; maintains a hold rest-of-year. </w:t>
      </w:r>
      <w:r>
        <w:rPr>
          <w:rFonts w:ascii="Public Sans" w:hAnsi="Public Sans"/>
          <w:b/>
          <w:i w:val="0"/>
          <w:color w:val="3D3E3E"/>
          <w:sz w:val="19"/>
        </w:rPr>
        <w:t>Citi (18317):</w:t>
      </w:r>
      <w:r>
        <w:rPr>
          <w:rFonts w:ascii="Public Sans" w:hAnsi="Public Sans"/>
          <w:b w:val="0"/>
          <w:i w:val="0"/>
          <w:color w:val="3D3E3E"/>
          <w:sz w:val="19"/>
        </w:rPr>
        <w:t xml:space="preserve"> "one print does not constitute momentum, but the June softer-than-consensus data can allow the Fed to remain on hold for the summer," keeping the USD and front-end range-bound. </w:t>
      </w:r>
      <w:r>
        <w:rPr>
          <w:rFonts w:ascii="Public Sans" w:hAnsi="Public Sans"/>
          <w:b/>
          <w:i w:val="0"/>
          <w:color w:val="3D3E3E"/>
          <w:sz w:val="19"/>
        </w:rPr>
        <w:t>SocGen (18293):</w:t>
      </w:r>
      <w:r>
        <w:rPr>
          <w:rFonts w:ascii="Public Sans" w:hAnsi="Public Sans"/>
          <w:b w:val="0"/>
          <w:i w:val="0"/>
          <w:color w:val="3D3E3E"/>
          <w:sz w:val="19"/>
        </w:rPr>
        <w:t xml:space="preserve"> "a big downside surprise." The tape confirmed it: </w:t>
      </w:r>
      <w:r>
        <w:rPr>
          <w:rFonts w:ascii="Public Sans" w:hAnsi="Public Sans"/>
          <w:b/>
          <w:i w:val="0"/>
          <w:color w:val="3D3E3E"/>
          <w:sz w:val="19"/>
        </w:rPr>
        <w:t>SOFR 2y −8.8bp into a bull steepener</w:t>
      </w:r>
      <w:r>
        <w:rPr>
          <w:rFonts w:ascii="Public Sans" w:hAnsi="Public Sans"/>
          <w:b w:val="0"/>
          <w:i w:val="0"/>
          <w:color w:val="3D3E3E"/>
          <w:sz w:val="19"/>
        </w:rPr>
        <w:t xml:space="preserve"> (10y −2.6bp), the dollar broadly weaker (EUR +0.36%, and NZD/AUD/CAD +0.6-0.9%), gold +1.3%, Nasdaq +1.1%, VIX −0.66 to 16.5 — with strong bank EPS (JPM/BAC) adding to the risk-on tone (GS 18353). Two nuances: </w:t>
      </w:r>
      <w:r>
        <w:rPr>
          <w:rFonts w:ascii="Public Sans" w:hAnsi="Public Sans"/>
          <w:b/>
          <w:i w:val="0"/>
          <w:color w:val="3D3E3E"/>
          <w:sz w:val="19"/>
        </w:rPr>
        <w:t>Citi (18316)</w:t>
      </w:r>
      <w:r>
        <w:rPr>
          <w:rFonts w:ascii="Public Sans" w:hAnsi="Public Sans"/>
          <w:b w:val="0"/>
          <w:i w:val="0"/>
          <w:color w:val="3D3E3E"/>
          <w:sz w:val="19"/>
        </w:rPr>
        <w:t xml:space="preserve"> notes the DXY recovered "a majority" of its intraday CPI losses into the US close and still leans USD-asymmetric on Middle-East risk; </w:t>
      </w:r>
      <w:r>
        <w:rPr>
          <w:rFonts w:ascii="Public Sans" w:hAnsi="Public Sans"/>
          <w:b/>
          <w:i w:val="0"/>
          <w:color w:val="3D3E3E"/>
          <w:sz w:val="19"/>
        </w:rPr>
        <w:t>Nomura (18221)</w:t>
      </w:r>
      <w:r>
        <w:rPr>
          <w:rFonts w:ascii="Public Sans" w:hAnsi="Public Sans"/>
          <w:b w:val="0"/>
          <w:i w:val="0"/>
          <w:color w:val="3D3E3E"/>
          <w:sz w:val="19"/>
        </w:rPr>
        <w:t xml:space="preserve"> frames the more important signal as the USD's </w:t>
      </w:r>
      <w:r>
        <w:rPr>
          <w:rFonts w:ascii="Public Sans" w:hAnsi="Public Sans"/>
          <w:b w:val="0"/>
          <w:i/>
          <w:color w:val="3D3E3E"/>
          <w:sz w:val="19"/>
        </w:rPr>
        <w:t>failure</w:t>
      </w:r>
      <w:r>
        <w:rPr>
          <w:rFonts w:ascii="Public Sans" w:hAnsi="Public Sans"/>
          <w:b w:val="0"/>
          <w:i w:val="0"/>
          <w:color w:val="3D3E3E"/>
          <w:sz w:val="19"/>
        </w:rPr>
        <w:t xml:space="preserve"> to rally on hawkish Waller + oil — spec positioning is stretched long-USD, so the bar to further USD outperformance is higher. On Warsh's House testimony (GS 18324, UBS 18338), the Chair kept his dovish, idiosyncratic line — the FOMC's job is to "make sure price spikes don't broaden out," current inflation measures are inadequate ("I am super interested in finding new measures"), and the balance sheet's "size and duration" are worth review — but offered no forward guidance.</w:t>
      </w:r>
    </w:p>
    <w:p>
      <w:pPr>
        <w:spacing w:before="120" w:after="40"/>
        <w:keepNext/>
      </w:pPr>
      <w:r>
        <w:rPr>
          <w:rFonts w:ascii="Public Sans" w:hAnsi="Public Sans"/>
          <w:b/>
          <w:i w:val="0"/>
          <w:color w:val="001830"/>
          <w:sz w:val="19"/>
        </w:rPr>
        <w:t>B2 · CPI within-window timeline — official voice vs sell-side read (13→15 Jul)</w:t>
      </w:r>
    </w:p>
    <w:p>
      <w:pPr>
        <w:spacing w:after="80" w:line="283" w:lineRule="auto"/>
      </w:pPr>
      <w:r>
        <w:rPr>
          <w:rFonts w:ascii="Public Sans" w:hAnsi="Public Sans"/>
          <w:b w:val="0"/>
          <w:i w:val="0"/>
          <w:color w:val="3D3E3E"/>
          <w:sz w:val="19"/>
        </w:rPr>
        <w:t xml:space="preserve">The layers kept separate: </w:t>
      </w:r>
      <w:r>
        <w:rPr>
          <w:rFonts w:ascii="Public Sans" w:hAnsi="Public Sans"/>
          <w:b/>
          <w:i w:val="0"/>
          <w:color w:val="3D3E3E"/>
          <w:sz w:val="19"/>
        </w:rPr>
        <w:t>official</w:t>
      </w:r>
      <w:r>
        <w:rPr>
          <w:rFonts w:ascii="Public Sans" w:hAnsi="Public Sans"/>
          <w:b w:val="0"/>
          <w:i w:val="0"/>
          <w:color w:val="3D3E3E"/>
          <w:sz w:val="19"/>
        </w:rPr>
        <w:t xml:space="preserve"> (Fed communications / the BLS release = FACT / official voice) vs </w:t>
      </w:r>
      <w:r>
        <w:rPr>
          <w:rFonts w:ascii="Public Sans" w:hAnsi="Public Sans"/>
          <w:b/>
          <w:i w:val="0"/>
          <w:color w:val="3D3E3E"/>
          <w:sz w:val="19"/>
        </w:rPr>
        <w:t>sell-side</w:t>
      </w:r>
      <w:r>
        <w:rPr>
          <w:rFonts w:ascii="Public Sans" w:hAnsi="Public Sans"/>
          <w:b w:val="0"/>
          <w:i w:val="0"/>
          <w:color w:val="3D3E3E"/>
          <w:sz w:val="19"/>
        </w:rPr>
        <w:t xml:space="preserve"> (desk interpretation = VIEW). The sequence is the point — a hawkish official setup, a soft official print that undercut it, then an official reaction that clawed a little back.</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3552"/>
        <w:gridCol w:w="3552"/>
        <w:gridCol w:w="3552"/>
      </w:tblGrid>
      <w:tr>
        <w:trPr>
          <w:tblHeader w:val="true"/>
        </w:trPr>
        <w:tc>
          <w:tcPr>
            <w:tcW w:type="dxa" w:w="314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When (within-window)</w:t>
            </w:r>
          </w:p>
        </w:tc>
        <w:tc>
          <w:tcPr>
            <w:tcW w:type="dxa" w:w="375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Official voice (FACT / official)</w:t>
            </w:r>
          </w:p>
        </w:tc>
        <w:tc>
          <w:tcPr>
            <w:tcW w:type="dxa" w:w="375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Sell-side read (VIEW)</w:t>
            </w:r>
          </w:p>
        </w:tc>
      </w:tr>
      <w:tr>
        <w:tc>
          <w:tcPr>
            <w:tcW w:type="dxa" w:w="31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13 Jul — pre-print setup</w:t>
            </w:r>
          </w:p>
        </w:tc>
        <w:tc>
          <w:tcPr>
            <w:tcW w:type="dxa" w:w="375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Gov. Waller</w:t>
            </w:r>
            <w:r>
              <w:rPr>
                <w:rFonts w:ascii="Public Sans" w:hAnsi="Public Sans"/>
                <w:b w:val="0"/>
                <w:i w:val="0"/>
                <w:color w:val="3D3E3E"/>
                <w:sz w:val="16"/>
              </w:rPr>
              <w:t xml:space="preserve"> (Fed speech, cb_events 70629), verbatim (via UBS 18001): "there is still a credible case for inflation to begin to fall back to our 2 percent goal with policy at its current setting. But I am concerned about the equally plausible case that data in the coming weeks will show that inflation will remain at its elevated level or even trend higher, </w:t>
            </w:r>
            <w:r>
              <w:rPr>
                <w:rFonts w:ascii="Public Sans" w:hAnsi="Public Sans"/>
                <w:b/>
                <w:i w:val="0"/>
                <w:color w:val="3D3E3E"/>
                <w:sz w:val="16"/>
              </w:rPr>
              <w:t>requiring tighter monetary policy in the near term</w:t>
            </w:r>
            <w:r>
              <w:rPr>
                <w:rFonts w:ascii="Public Sans" w:hAnsi="Public Sans"/>
                <w:b w:val="0"/>
                <w:i w:val="0"/>
                <w:color w:val="3D3E3E"/>
                <w:sz w:val="16"/>
              </w:rPr>
              <w:t xml:space="preserve">" — outcomes "equally balanced," but he "will need to see several months of lower readings." </w:t>
            </w:r>
            <w:r>
              <w:rPr>
                <w:rFonts w:ascii="Public Sans" w:hAnsi="Public Sans"/>
                <w:b/>
                <w:i w:val="0"/>
                <w:color w:val="3D3E3E"/>
                <w:sz w:val="16"/>
              </w:rPr>
              <w:t>Gov. Bowman</w:t>
            </w:r>
            <w:r>
              <w:rPr>
                <w:rFonts w:ascii="Public Sans" w:hAnsi="Public Sans"/>
                <w:b w:val="0"/>
                <w:i w:val="0"/>
                <w:color w:val="3D3E3E"/>
                <w:sz w:val="16"/>
              </w:rPr>
              <w:t xml:space="preserve"> also spoke (70625).</w:t>
            </w:r>
          </w:p>
        </w:tc>
        <w:tc>
          <w:tcPr>
            <w:tcW w:type="dxa" w:w="375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Read as the clearest hike-signal of the cycle. </w:t>
            </w:r>
            <w:r>
              <w:rPr>
                <w:rFonts w:ascii="Public Sans" w:hAnsi="Public Sans"/>
                <w:b/>
                <w:i w:val="0"/>
                <w:color w:val="3D3E3E"/>
                <w:sz w:val="16"/>
              </w:rPr>
              <w:t>UBS (18001):</w:t>
            </w:r>
            <w:r>
              <w:rPr>
                <w:rFonts w:ascii="Public Sans" w:hAnsi="Public Sans"/>
                <w:b w:val="0"/>
                <w:i w:val="0"/>
                <w:color w:val="3D3E3E"/>
                <w:sz w:val="16"/>
              </w:rPr>
              <w:t xml:space="preserve"> "Waller: rates may need to be higher" — "near term" points to the July FOMC itself. </w:t>
            </w:r>
            <w:r>
              <w:rPr>
                <w:rFonts w:ascii="Public Sans" w:hAnsi="Public Sans"/>
                <w:b/>
                <w:i w:val="0"/>
                <w:color w:val="3D3E3E"/>
                <w:sz w:val="16"/>
              </w:rPr>
              <w:t>Nomura (18055), DB Fed Watcher (18035), JPM (17985)</w:t>
            </w:r>
            <w:r>
              <w:rPr>
                <w:rFonts w:ascii="Public Sans" w:hAnsi="Public Sans"/>
                <w:b w:val="0"/>
                <w:i w:val="0"/>
                <w:color w:val="3D3E3E"/>
                <w:sz w:val="16"/>
              </w:rPr>
              <w:t xml:space="preserve"> echo the hawkish pivot. </w:t>
            </w:r>
            <w:r>
              <w:rPr>
                <w:rFonts w:ascii="Public Sans" w:hAnsi="Public Sans"/>
                <w:b/>
                <w:i w:val="0"/>
                <w:color w:val="3D3E3E"/>
                <w:sz w:val="16"/>
              </w:rPr>
              <w:t>Citi (18244, "From Waller to Warsh"):</w:t>
            </w:r>
            <w:r>
              <w:rPr>
                <w:rFonts w:ascii="Public Sans" w:hAnsi="Public Sans"/>
                <w:b w:val="0"/>
                <w:i w:val="0"/>
                <w:color w:val="3D3E3E"/>
                <w:sz w:val="16"/>
              </w:rPr>
              <w:t xml:space="preserve"> given Warsh's "no forward guidance" stance it will be "difficult for him to strongly guide against hikes" — he may downplay Waller as "dots written in pencil with big erasers." July odds ~50%; the market prices a hike this year.</w:t>
            </w:r>
          </w:p>
        </w:tc>
      </w:tr>
      <w:tr>
        <w:tc>
          <w:tcPr>
            <w:tcW w:type="dxa" w:w="31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14 Jul 08:30 ET — the print</w:t>
            </w:r>
          </w:p>
        </w:tc>
        <w:tc>
          <w:tcPr>
            <w:tcW w:type="dxa" w:w="375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BLS June CPI release</w:t>
            </w:r>
            <w:r>
              <w:rPr>
                <w:rFonts w:ascii="Public Sans" w:hAnsi="Public Sans"/>
                <w:b w:val="0"/>
                <w:i w:val="0"/>
                <w:color w:val="3D3E3E"/>
                <w:sz w:val="16"/>
              </w:rPr>
              <w:t xml:space="preserve"> (cb_events 60904-60908): headline </w:t>
            </w:r>
            <w:r>
              <w:rPr>
                <w:rFonts w:ascii="Public Sans" w:hAnsi="Public Sans"/>
                <w:b/>
                <w:i w:val="0"/>
                <w:color w:val="3D3E3E"/>
                <w:sz w:val="16"/>
              </w:rPr>
              <w:t>−0.4% m/m / 3.5% y/y</w:t>
            </w:r>
            <w:r>
              <w:rPr>
                <w:rFonts w:ascii="Public Sans" w:hAnsi="Public Sans"/>
                <w:b w:val="0"/>
                <w:i w:val="0"/>
                <w:color w:val="3D3E3E"/>
                <w:sz w:val="16"/>
              </w:rPr>
              <w:t xml:space="preserve">; core </w:t>
            </w:r>
            <w:r>
              <w:rPr>
                <w:rFonts w:ascii="Public Sans" w:hAnsi="Public Sans"/>
                <w:b/>
                <w:i w:val="0"/>
                <w:color w:val="3D3E3E"/>
                <w:sz w:val="16"/>
              </w:rPr>
              <w:t>0.0% m/m / 2.6% y/y</w:t>
            </w:r>
            <w:r>
              <w:rPr>
                <w:rFonts w:ascii="Public Sans" w:hAnsi="Public Sans"/>
                <w:b w:val="0"/>
                <w:i w:val="0"/>
                <w:color w:val="3D3E3E"/>
                <w:sz w:val="16"/>
              </w:rPr>
              <w:t>; index 333.95 (vs 334.70 survey). Energy −5.7% (gasoline −9.7%); shelter slowed (OER +0.24%).</w:t>
            </w:r>
          </w:p>
        </w:tc>
        <w:tc>
          <w:tcPr>
            <w:tcW w:type="dxa" w:w="375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Unanimous "soft," with distinct emphases. </w:t>
            </w:r>
            <w:r>
              <w:rPr>
                <w:rFonts w:ascii="Public Sans" w:hAnsi="Public Sans"/>
                <w:b/>
                <w:i w:val="0"/>
                <w:color w:val="3D3E3E"/>
                <w:sz w:val="16"/>
              </w:rPr>
              <w:t>Citi (18239):</w:t>
            </w:r>
            <w:r>
              <w:rPr>
                <w:rFonts w:ascii="Public Sans" w:hAnsi="Public Sans"/>
                <w:b w:val="0"/>
                <w:i w:val="0"/>
                <w:color w:val="3D3E3E"/>
                <w:sz w:val="16"/>
              </w:rPr>
              <w:t xml:space="preserve"> core "essentially flat… weakness largely across the board… all but rule out a July rate hike," and "similar data in coming months will lead markets to price out hikes altogether" (core PCE tracking 0.21% — flags the CPI-vs-PCE divergence). </w:t>
            </w:r>
            <w:r>
              <w:rPr>
                <w:rFonts w:ascii="Public Sans" w:hAnsi="Public Sans"/>
                <w:b/>
                <w:i w:val="0"/>
                <w:color w:val="3D3E3E"/>
                <w:sz w:val="16"/>
              </w:rPr>
              <w:t>Nomura (18334):</w:t>
            </w:r>
            <w:r>
              <w:rPr>
                <w:rFonts w:ascii="Public Sans" w:hAnsi="Public Sans"/>
                <w:b w:val="0"/>
                <w:i w:val="0"/>
                <w:color w:val="3D3E3E"/>
                <w:sz w:val="16"/>
              </w:rPr>
              <w:t xml:space="preserve"> the "first monthly decline since May 2020"; cuts core-PCE to 0.168% (~2% annual) — "supports our Fed call of </w:t>
            </w:r>
            <w:r>
              <w:rPr>
                <w:rFonts w:ascii="Public Sans" w:hAnsi="Public Sans"/>
                <w:b/>
                <w:i w:val="0"/>
                <w:color w:val="3D3E3E"/>
                <w:sz w:val="16"/>
              </w:rPr>
              <w:t>no rate hikes indefinitely</w:t>
            </w:r>
            <w:r>
              <w:rPr>
                <w:rFonts w:ascii="Public Sans" w:hAnsi="Public Sans"/>
                <w:b w:val="0"/>
                <w:i w:val="0"/>
                <w:color w:val="3D3E3E"/>
                <w:sz w:val="16"/>
              </w:rPr>
              <w:t xml:space="preserve">," while noting the softness was "amplified by some one-off factors." </w:t>
            </w:r>
            <w:r>
              <w:rPr>
                <w:rFonts w:ascii="Public Sans" w:hAnsi="Public Sans"/>
                <w:b/>
                <w:i w:val="0"/>
                <w:color w:val="3D3E3E"/>
                <w:sz w:val="16"/>
              </w:rPr>
              <w:t>GS (18251/18252):</w:t>
            </w:r>
            <w:r>
              <w:rPr>
                <w:rFonts w:ascii="Public Sans" w:hAnsi="Public Sans"/>
                <w:b w:val="0"/>
                <w:i w:val="0"/>
                <w:color w:val="3D3E3E"/>
                <w:sz w:val="16"/>
              </w:rPr>
              <w:t xml:space="preserve"> core PCE ~0.18%. </w:t>
            </w:r>
            <w:r>
              <w:rPr>
                <w:rFonts w:ascii="Public Sans" w:hAnsi="Public Sans"/>
                <w:b/>
                <w:i w:val="0"/>
                <w:color w:val="3D3E3E"/>
                <w:sz w:val="16"/>
              </w:rPr>
              <w:t>JPM (18282):</w:t>
            </w:r>
            <w:r>
              <w:rPr>
                <w:rFonts w:ascii="Public Sans" w:hAnsi="Public Sans"/>
                <w:b w:val="0"/>
                <w:i w:val="0"/>
                <w:color w:val="3D3E3E"/>
                <w:sz w:val="16"/>
              </w:rPr>
              <w:t xml:space="preserve"> "takes near-term pressure off the Fed." </w:t>
            </w:r>
            <w:r>
              <w:rPr>
                <w:rFonts w:ascii="Public Sans" w:hAnsi="Public Sans"/>
                <w:b/>
                <w:i w:val="0"/>
                <w:color w:val="3D3E3E"/>
                <w:sz w:val="16"/>
              </w:rPr>
              <w:t>Barclays (18267):</w:t>
            </w:r>
            <w:r>
              <w:rPr>
                <w:rFonts w:ascii="Public Sans" w:hAnsi="Public Sans"/>
                <w:b w:val="0"/>
                <w:i w:val="0"/>
                <w:color w:val="3D3E3E"/>
                <w:sz w:val="16"/>
              </w:rPr>
              <w:t xml:space="preserve"> "buys time for the FOMC to remain on hold." </w:t>
            </w:r>
            <w:r>
              <w:rPr>
                <w:rFonts w:ascii="Public Sans" w:hAnsi="Public Sans"/>
                <w:b/>
                <w:i w:val="0"/>
                <w:color w:val="3D3E3E"/>
                <w:sz w:val="16"/>
              </w:rPr>
              <w:t>SocGen (18293):</w:t>
            </w:r>
            <w:r>
              <w:rPr>
                <w:rFonts w:ascii="Public Sans" w:hAnsi="Public Sans"/>
                <w:b w:val="0"/>
                <w:i w:val="0"/>
                <w:color w:val="3D3E3E"/>
                <w:sz w:val="16"/>
              </w:rPr>
              <w:t xml:space="preserve"> "a big downside surprise." </w:t>
            </w:r>
            <w:r>
              <w:rPr>
                <w:rFonts w:ascii="Public Sans" w:hAnsi="Public Sans"/>
                <w:b/>
                <w:i w:val="0"/>
                <w:color w:val="3D3E3E"/>
                <w:sz w:val="16"/>
              </w:rPr>
              <w:t>DB (18349):</w:t>
            </w:r>
            <w:r>
              <w:rPr>
                <w:rFonts w:ascii="Public Sans" w:hAnsi="Public Sans"/>
                <w:b w:val="0"/>
                <w:i w:val="0"/>
                <w:color w:val="3D3E3E"/>
                <w:sz w:val="16"/>
              </w:rPr>
              <w:t xml:space="preserve"> "big miss." </w:t>
            </w:r>
            <w:r>
              <w:rPr>
                <w:rFonts w:ascii="Public Sans" w:hAnsi="Public Sans"/>
                <w:b/>
                <w:i w:val="0"/>
                <w:color w:val="3D3E3E"/>
                <w:sz w:val="16"/>
              </w:rPr>
              <w:t>MS (18365):</w:t>
            </w:r>
            <w:r>
              <w:rPr>
                <w:rFonts w:ascii="Public Sans" w:hAnsi="Public Sans"/>
                <w:b w:val="0"/>
                <w:i w:val="0"/>
                <w:color w:val="3D3E3E"/>
                <w:sz w:val="16"/>
              </w:rPr>
              <w:t xml:space="preserve"> July-hike odds cut to </w:t>
            </w:r>
            <w:r>
              <w:rPr>
                <w:rFonts w:ascii="Public Sans" w:hAnsi="Public Sans"/>
                <w:b/>
                <w:i w:val="0"/>
                <w:color w:val="3D3E3E"/>
                <w:sz w:val="16"/>
              </w:rPr>
              <w:t>16% from ~50%</w:t>
            </w:r>
            <w:r>
              <w:rPr>
                <w:rFonts w:ascii="Public Sans" w:hAnsi="Public Sans"/>
                <w:b w:val="0"/>
                <w:i w:val="0"/>
                <w:color w:val="3D3E3E"/>
                <w:sz w:val="16"/>
              </w:rPr>
              <w:t xml:space="preserve"> on Monday; 2y breakevens −14.4bp; US rates bull-steepened (2y −8.8bp).</w:t>
            </w:r>
          </w:p>
        </w:tc>
      </w:tr>
      <w:tr>
        <w:tc>
          <w:tcPr>
            <w:tcW w:type="dxa" w:w="31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14 Jul — official reaction</w:t>
            </w:r>
          </w:p>
        </w:tc>
        <w:tc>
          <w:tcPr>
            <w:tcW w:type="dxa" w:w="375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Chair Warsh</w:t>
            </w:r>
            <w:r>
              <w:rPr>
                <w:rFonts w:ascii="Public Sans" w:hAnsi="Public Sans"/>
                <w:b w:val="0"/>
                <w:i w:val="0"/>
                <w:color w:val="3D3E3E"/>
                <w:sz w:val="16"/>
              </w:rPr>
              <w:t xml:space="preserve">, House testimony (cb_events 60911; GS 18324, UBS 18338): "a </w:t>
            </w:r>
            <w:r>
              <w:rPr>
                <w:rFonts w:ascii="Public Sans" w:hAnsi="Public Sans"/>
                <w:b/>
                <w:i w:val="0"/>
                <w:color w:val="3D3E3E"/>
                <w:sz w:val="16"/>
              </w:rPr>
              <w:t>sea change in new thinking</w:t>
            </w:r>
            <w:r>
              <w:rPr>
                <w:rFonts w:ascii="Public Sans" w:hAnsi="Public Sans"/>
                <w:b w:val="0"/>
                <w:i w:val="0"/>
                <w:color w:val="3D3E3E"/>
                <w:sz w:val="16"/>
              </w:rPr>
              <w:t xml:space="preserve">… a hinge point in history"; the FOMC's job is to "make sure price spikes don't broaden out"; he said the inflation "mission" is </w:t>
            </w:r>
            <w:r>
              <w:rPr>
                <w:rFonts w:ascii="Public Sans" w:hAnsi="Public Sans"/>
                <w:b/>
                <w:i w:val="0"/>
                <w:color w:val="3D3E3E"/>
                <w:sz w:val="16"/>
              </w:rPr>
              <w:t>not "accomplished"</w:t>
            </w:r>
            <w:r>
              <w:rPr>
                <w:rFonts w:ascii="Public Sans" w:hAnsi="Public Sans"/>
                <w:b w:val="0"/>
                <w:i w:val="0"/>
                <w:color w:val="3D3E3E"/>
                <w:sz w:val="16"/>
              </w:rPr>
              <w:t xml:space="preserve"> and reiterated no tolerance for persistently elevated inflation; wants "new measures" of underlying inflation (backed away from trimmed-mean, implied core PCE inadequate too); balance-sheet changes would be "deliberate, publicly announced… over time." Barr / Cook / Bowman / Goolsbee also spoke (68427/68428/68429/60913).</w:t>
            </w:r>
          </w:p>
        </w:tc>
        <w:tc>
          <w:tcPr>
            <w:tcW w:type="dxa" w:w="375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UBS (18338):</w:t>
            </w:r>
            <w:r>
              <w:rPr>
                <w:rFonts w:ascii="Public Sans" w:hAnsi="Public Sans"/>
                <w:b w:val="0"/>
                <w:i w:val="0"/>
                <w:color w:val="3D3E3E"/>
                <w:sz w:val="16"/>
              </w:rPr>
              <w:t xml:space="preserve"> "little information content in the three hours"; the market seized on the "not declaring mission accomplished" line and </w:t>
            </w:r>
            <w:r>
              <w:rPr>
                <w:rFonts w:ascii="Public Sans" w:hAnsi="Public Sans"/>
                <w:b/>
                <w:i w:val="0"/>
                <w:color w:val="3D3E3E"/>
                <w:sz w:val="16"/>
              </w:rPr>
              <w:t>bonds sold off a smidge</w:t>
            </w:r>
            <w:r>
              <w:rPr>
                <w:rFonts w:ascii="Public Sans" w:hAnsi="Public Sans"/>
                <w:b w:val="0"/>
                <w:i w:val="0"/>
                <w:color w:val="3D3E3E"/>
                <w:sz w:val="16"/>
              </w:rPr>
              <w:t xml:space="preserve"> — so yields </w:t>
            </w:r>
            <w:r>
              <w:rPr>
                <w:rFonts w:ascii="Public Sans" w:hAnsi="Public Sans"/>
                <w:b/>
                <w:i w:val="0"/>
                <w:color w:val="3D3E3E"/>
                <w:sz w:val="16"/>
              </w:rPr>
              <w:t>retraced part</w:t>
            </w:r>
            <w:r>
              <w:rPr>
                <w:rFonts w:ascii="Public Sans" w:hAnsi="Public Sans"/>
                <w:b w:val="0"/>
                <w:i w:val="0"/>
                <w:color w:val="3D3E3E"/>
                <w:sz w:val="16"/>
              </w:rPr>
              <w:t xml:space="preserve"> of the CPI-driven decline (MS 18365: "the curve nevertheless closed materially steeper"). </w:t>
            </w:r>
            <w:r>
              <w:rPr>
                <w:rFonts w:ascii="Public Sans" w:hAnsi="Public Sans"/>
                <w:b/>
                <w:i w:val="0"/>
                <w:color w:val="3D3E3E"/>
                <w:sz w:val="16"/>
              </w:rPr>
              <w:t>Nomura (18334):</w:t>
            </w:r>
            <w:r>
              <w:rPr>
                <w:rFonts w:ascii="Public Sans" w:hAnsi="Public Sans"/>
                <w:b w:val="0"/>
                <w:i w:val="0"/>
                <w:color w:val="3D3E3E"/>
                <w:sz w:val="16"/>
              </w:rPr>
              <w:t xml:space="preserve"> Warsh "did not break new ground," but the "regime change"/"sea change" rhetoric leaves "risk for more substantive policy changes." </w:t>
            </w:r>
            <w:r>
              <w:rPr>
                <w:rFonts w:ascii="Public Sans" w:hAnsi="Public Sans"/>
                <w:b/>
                <w:i w:val="0"/>
                <w:color w:val="3D3E3E"/>
                <w:sz w:val="16"/>
              </w:rPr>
              <w:t>Citi (18316):</w:t>
            </w:r>
            <w:r>
              <w:rPr>
                <w:rFonts w:ascii="Public Sans" w:hAnsi="Public Sans"/>
                <w:b w:val="0"/>
                <w:i w:val="0"/>
                <w:color w:val="3D3E3E"/>
                <w:sz w:val="16"/>
              </w:rPr>
              <w:t xml:space="preserve"> DXY recovered a majority of its intraday CPI drop, still leans USD-asymmetric on ME risk. No house read the print as a head-fake — the debate is </w:t>
            </w:r>
            <w:r>
              <w:rPr>
                <w:rFonts w:ascii="Public Sans" w:hAnsi="Public Sans"/>
                <w:b w:val="0"/>
                <w:i/>
                <w:color w:val="3D3E3E"/>
                <w:sz w:val="16"/>
              </w:rPr>
              <w:t>pace of disinflation</w:t>
            </w:r>
            <w:r>
              <w:rPr>
                <w:rFonts w:ascii="Public Sans" w:hAnsi="Public Sans"/>
                <w:b w:val="0"/>
                <w:i w:val="0"/>
                <w:color w:val="3D3E3E"/>
                <w:sz w:val="16"/>
              </w:rPr>
              <w:t>, not direction.</w:t>
            </w:r>
          </w:p>
        </w:tc>
      </w:tr>
      <w:tr>
        <w:tc>
          <w:tcPr>
            <w:tcW w:type="dxa" w:w="31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15 Jul — next official checkpoints (in-window)</w:t>
            </w:r>
          </w:p>
        </w:tc>
        <w:tc>
          <w:tcPr>
            <w:tcW w:type="dxa" w:w="375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Chair Warsh</w:t>
            </w:r>
            <w:r>
              <w:rPr>
                <w:rFonts w:ascii="Public Sans" w:hAnsi="Public Sans"/>
                <w:b w:val="0"/>
                <w:i w:val="0"/>
                <w:color w:val="3D3E3E"/>
                <w:sz w:val="16"/>
              </w:rPr>
              <w:t xml:space="preserve"> Senate testimony (cb_events 68372); </w:t>
            </w:r>
            <w:r>
              <w:rPr>
                <w:rFonts w:ascii="Public Sans" w:hAnsi="Public Sans"/>
                <w:b/>
                <w:i w:val="0"/>
                <w:color w:val="3D3E3E"/>
                <w:sz w:val="16"/>
              </w:rPr>
              <w:t>Cook / Musalem / Williams</w:t>
            </w:r>
            <w:r>
              <w:rPr>
                <w:rFonts w:ascii="Public Sans" w:hAnsi="Public Sans"/>
                <w:b w:val="0"/>
                <w:i w:val="0"/>
                <w:color w:val="3D3E3E"/>
                <w:sz w:val="16"/>
              </w:rPr>
              <w:t xml:space="preserve"> speak (68374/67507/67506); </w:t>
            </w:r>
            <w:r>
              <w:rPr>
                <w:rFonts w:ascii="Public Sans" w:hAnsi="Public Sans"/>
                <w:b/>
                <w:i w:val="0"/>
                <w:color w:val="3D3E3E"/>
                <w:sz w:val="16"/>
              </w:rPr>
              <w:t>June PPI + Beige Book</w:t>
            </w:r>
            <w:r>
              <w:rPr>
                <w:rFonts w:ascii="Public Sans" w:hAnsi="Public Sans"/>
                <w:b w:val="0"/>
                <w:i w:val="0"/>
                <w:color w:val="3D3E3E"/>
                <w:sz w:val="16"/>
              </w:rPr>
              <w:t xml:space="preserve"> due (forward).</w:t>
            </w:r>
          </w:p>
        </w:tc>
        <w:tc>
          <w:tcPr>
            <w:tcW w:type="dxa" w:w="375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Desks watch PPI to firm the core-PCE read: Nomura (18334) expects a "modest positive contribution from PCE-relevant PPI," Citi's 0.21% PCE tracking "will change with PPI"; Citi (18317): the soft data "can allow the Fed to remain on hold for the summer."</w:t>
            </w:r>
          </w:p>
        </w:tc>
      </w:tr>
    </w:tbl>
    <w:p>
      <w:pPr>
        <w:spacing w:after="80" w:line="283" w:lineRule="auto"/>
      </w:pPr>
      <w:r>
        <w:rPr>
          <w:rFonts w:ascii="Public Sans" w:hAnsi="Public Sans"/>
          <w:b w:val="0"/>
          <w:i/>
          <w:color w:val="3D3E3E"/>
          <w:sz w:val="19"/>
        </w:rPr>
        <w:t>Next catalyst pointer (one line, in-window): the 15-Jul PPI + the Warsh Senate leg are the day's remaining official checkpoints before the 29-Jul FOMC.</w:t>
      </w:r>
    </w:p>
    <w:p>
      <w:pPr>
        <w:spacing w:before="120" w:after="40"/>
        <w:keepNext/>
      </w:pPr>
      <w:r>
        <w:rPr>
          <w:rFonts w:ascii="Public Sans" w:hAnsi="Public Sans"/>
          <w:b/>
          <w:i w:val="0"/>
          <w:color w:val="001830"/>
          <w:sz w:val="19"/>
        </w:rPr>
        <w:t>C · Consensus views (≥2 independent banks)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179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225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234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191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234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w:t>
            </w:r>
          </w:p>
        </w:tc>
      </w:tr>
      <w:tr>
        <w:tc>
          <w:tcPr>
            <w:tcW w:type="dxa" w:w="179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June CPI is soft and disinflationary</w:t>
            </w:r>
          </w:p>
        </w:tc>
        <w:tc>
          <w:tcPr>
            <w:tcW w:type="dxa" w:w="22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JPM, Citi, MS, Nomura, Barclays, SocGen, BNP, UBS</w:t>
            </w:r>
          </w:p>
        </w:tc>
        <w:tc>
          <w:tcPr>
            <w:tcW w:type="dxa" w:w="234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Core flat m/m, YoY to 2.6%; core PCE ~0.17-0.18%</w:t>
            </w:r>
          </w:p>
        </w:tc>
        <w:tc>
          <w:tcPr>
            <w:tcW w:type="dxa" w:w="19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Broad category declines; energy −5.7%</w:t>
            </w:r>
          </w:p>
        </w:tc>
        <w:tc>
          <w:tcPr>
            <w:tcW w:type="dxa" w:w="234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Split on how much of core-services-ex-shelter softness is one-off (JPM flags it)</w:t>
            </w:r>
          </w:p>
        </w:tc>
      </w:tr>
      <w:tr>
        <w:tc>
          <w:tcPr>
            <w:tcW w:type="dxa" w:w="179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The Fed is bought time to hold</w:t>
            </w:r>
          </w:p>
        </w:tc>
        <w:tc>
          <w:tcPr>
            <w:tcW w:type="dxa" w:w="225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JPM, Barclays, Citi, MS</w:t>
            </w:r>
          </w:p>
        </w:tc>
        <w:tc>
          <w:tcPr>
            <w:tcW w:type="dxa" w:w="234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print supports a hold "for the summer"/rest of year</w:t>
            </w:r>
          </w:p>
        </w:tc>
        <w:tc>
          <w:tcPr>
            <w:tcW w:type="dxa" w:w="191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Core PCE 0.2% handle; slower payrolls</w:t>
            </w:r>
          </w:p>
        </w:tc>
        <w:tc>
          <w:tcPr>
            <w:tcW w:type="dxa" w:w="234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Whether PPI/retail (15-16 Jul) re-firm the core-PCE read</w:t>
            </w:r>
          </w:p>
        </w:tc>
      </w:tr>
      <w:tr>
        <w:tc>
          <w:tcPr>
            <w:tcW w:type="dxa" w:w="179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The dollar's reaction is muted vs the data</w:t>
            </w:r>
          </w:p>
        </w:tc>
        <w:tc>
          <w:tcPr>
            <w:tcW w:type="dxa" w:w="22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Nomura, Citi</w:t>
            </w:r>
          </w:p>
        </w:tc>
        <w:tc>
          <w:tcPr>
            <w:tcW w:type="dxa" w:w="234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USD gave back / didn't rally on the catalysts</w:t>
            </w:r>
          </w:p>
        </w:tc>
        <w:tc>
          <w:tcPr>
            <w:tcW w:type="dxa" w:w="191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DXY intraday round-trip; stretched CFTC longs</w:t>
            </w:r>
          </w:p>
        </w:tc>
        <w:tc>
          <w:tcPr>
            <w:tcW w:type="dxa" w:w="234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Directional resolution — carry-in-a-range (Nomura) vs residual ME asymmetry (Citi)</w:t>
            </w:r>
          </w:p>
        </w:tc>
      </w:tr>
    </w:tbl>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27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36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50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50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50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50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27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Citi</w:t>
            </w:r>
          </w:p>
        </w:tc>
        <w:tc>
          <w:tcPr>
            <w:tcW w:type="dxa" w:w="36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Rates/FX</w:t>
            </w:r>
          </w:p>
        </w:tc>
        <w:tc>
          <w:tcPr>
            <w:tcW w:type="dxa" w:w="25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Rotate the book: add EMFX carry, close GBP+CAD receiver-vs-USD-payer RV, short-EURUSD → flat</w:t>
            </w:r>
          </w:p>
        </w:tc>
        <w:tc>
          <w:tcPr>
            <w:tcW w:type="dxa" w:w="25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Trades the soft print as a regime shift to "goldilocks" range-bound carry, not just a rate view</w:t>
            </w:r>
          </w:p>
        </w:tc>
        <w:tc>
          <w:tcPr>
            <w:tcW w:type="dxa" w:w="25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US data stay soft-ish; oil doesn't spike; front-end range-bound</w:t>
            </w:r>
          </w:p>
        </w:tc>
        <w:tc>
          <w:tcPr>
            <w:tcW w:type="dxa" w:w="25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hot PPI/retail re-lights the Fed; Iran escalation lifts oil + USD</w:t>
            </w:r>
          </w:p>
        </w:tc>
      </w:tr>
      <w:tr>
        <w:tc>
          <w:tcPr>
            <w:tcW w:type="dxa" w:w="27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Nomura</w:t>
            </w:r>
          </w:p>
        </w:tc>
        <w:tc>
          <w:tcPr>
            <w:tcW w:type="dxa" w:w="36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FX</w:t>
            </w:r>
          </w:p>
        </w:tc>
        <w:tc>
          <w:tcPr>
            <w:tcW w:type="dxa" w:w="250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USD's non-reaction is the signal — long-USD stretched, bar to upside higher; books long USD/CAD</w:t>
            </w:r>
          </w:p>
        </w:tc>
        <w:tc>
          <w:tcPr>
            <w:tcW w:type="dxa" w:w="250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Reads positioning over the data print; fades the crowded long-USD</w:t>
            </w:r>
          </w:p>
        </w:tc>
        <w:tc>
          <w:tcPr>
            <w:tcW w:type="dxa" w:w="250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Spec long-USD is the marginal driver now</w:t>
            </w:r>
          </w:p>
        </w:tc>
        <w:tc>
          <w:tcPr>
            <w:tcW w:type="dxa" w:w="250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US data surprise up and clear the stretched positioning</w:t>
            </w:r>
          </w:p>
        </w:tc>
      </w:tr>
      <w:tr>
        <w:tc>
          <w:tcPr>
            <w:tcW w:type="dxa" w:w="27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JPM</w:t>
            </w:r>
          </w:p>
        </w:tc>
        <w:tc>
          <w:tcPr>
            <w:tcW w:type="dxa" w:w="36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25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Encouraging but partly one-off — core-services-ex-shelter softness may not persist; core PCE stays firm YoY</w:t>
            </w:r>
          </w:p>
        </w:tc>
        <w:tc>
          <w:tcPr>
            <w:tcW w:type="dxa" w:w="25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Least willing to extrapolate the softness; keeps a "next move a hike" bias longer-run</w:t>
            </w:r>
          </w:p>
        </w:tc>
        <w:tc>
          <w:tcPr>
            <w:tcW w:type="dxa" w:w="25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Some June softness reverses; goods firm modestly</w:t>
            </w:r>
          </w:p>
        </w:tc>
        <w:tc>
          <w:tcPr>
            <w:tcW w:type="dxa" w:w="25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second soft core print confirms the trend</w:t>
            </w:r>
          </w:p>
        </w:tc>
      </w:tr>
    </w:tbl>
    <w:p>
      <w:pPr>
        <w:spacing w:after="80" w:line="283" w:lineRule="auto"/>
      </w:pPr>
      <w:r>
        <w:rPr>
          <w:rFonts w:ascii="Public Sans" w:hAnsi="Public Sans"/>
          <w:b w:val="0"/>
          <w:i w:val="0"/>
          <w:color w:val="3D3E3E"/>
          <w:sz w:val="19"/>
        </w:rPr>
        <w:t xml:space="preserve">Trade rows: </w:t>
      </w:r>
      <w:r>
        <w:rPr>
          <w:rFonts w:ascii="Public Sans" w:hAnsi="Public Sans"/>
          <w:b/>
          <w:i w:val="0"/>
          <w:color w:val="3D3E3E"/>
          <w:sz w:val="19"/>
        </w:rPr>
        <w:t>#1, #2, #3</w:t>
      </w:r>
      <w:r>
        <w:rPr>
          <w:rFonts w:ascii="Public Sans" w:hAnsi="Public Sans"/>
          <w:b w:val="0"/>
          <w:i w:val="0"/>
          <w:color w:val="3D3E3E"/>
          <w:sz w:val="19"/>
        </w:rPr>
        <w:t xml:space="preserve">. </w:t>
      </w:r>
      <w:r>
        <w:rPr>
          <w:rFonts w:ascii="Public Sans" w:hAnsi="Public Sans"/>
          <w:b/>
          <w:i w:val="0"/>
          <w:color w:val="3D3E3E"/>
          <w:sz w:val="19"/>
        </w:rPr>
        <w:t>DEPTH:</w:t>
      </w:r>
      <w:r>
        <w:rPr>
          <w:rFonts w:ascii="Public Sans" w:hAnsi="Public Sans"/>
          <w:b w:val="0"/>
          <w:i w:val="0"/>
          <w:color w:val="3D3E3E"/>
          <w:sz w:val="19"/>
        </w:rPr>
        <w:t xml:space="preserve"> US econ.fact_indicator deep (193 active indicators); June CPI is FACT in cb_events, confirmed across the TE (60904-60908) and BQL (41360/41362, index 333.952/336.065) lanes. The verified policy anchor is the 2026-06-17 FOMC hold + dots. </w:t>
      </w:r>
      <w:r>
        <w:rPr>
          <w:rFonts w:ascii="Public Sans" w:hAnsi="Public Sans"/>
          <w:b/>
          <w:i w:val="0"/>
          <w:color w:val="3D3E3E"/>
          <w:sz w:val="19"/>
        </w:rPr>
        <w:t>Flags:</w:t>
      </w:r>
      <w:r>
        <w:rPr>
          <w:rFonts w:ascii="Public Sans" w:hAnsi="Public Sans"/>
          <w:b w:val="0"/>
          <w:i w:val="0"/>
          <w:color w:val="3D3E3E"/>
          <w:sz w:val="19"/>
        </w:rPr>
        <w:t xml:space="preserve"> PPI 15-Jul / retail sales 16-Jul forward; core-PCE figures are sell-side nowcasts (VIEW); WTI $78.78 (07-13, fact_spot), Brent ~$83-84 sell-side; DXY not loaded; fact_bond_yield EMPTY.</w:t>
      </w:r>
    </w:p>
    <w:p>
      <w:pPr>
        <w:spacing w:before="200" w:after="60"/>
        <w:keepNext/>
        <w:pBdr>
          <w:bottom w:val="single" w:sz="4" w:space="2" w:color="E0E9E4"/>
        </w:pBdr>
      </w:pPr>
      <w:r>
        <w:rPr>
          <w:rFonts w:ascii="Georgia" w:hAnsi="Georgia"/>
          <w:b/>
          <w:color w:val="4D806A"/>
          <w:sz w:val="23"/>
        </w:rPr>
        <w:t>Canada — BoC decides today; benign-core hold the base case, market keeps pricing hikes</w:t>
      </w:r>
    </w:p>
    <w:p>
      <w:pPr>
        <w:spacing w:after="80" w:line="283" w:lineRule="auto"/>
      </w:pPr>
      <w:r>
        <w:rPr>
          <w:rFonts w:ascii="Public Sans" w:hAnsi="Public Sans"/>
          <w:b w:val="0"/>
          <w:i/>
          <w:color w:val="3D3E3E"/>
          <w:sz w:val="19"/>
        </w:rPr>
        <w:t>Flagships read: Nomura Strategy Trade Update "Take profit on long USD/CAD" (18221); JPM US High Grade Basis (country-tagged CA, 18200); carried BoC previews — JPM (17988), MS "Balancing Oil and Slack" (18051), GS "Activity Data Improves" (18040); ANZ "What's Priced In" (18004/18310).</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55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49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91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19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450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55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49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BoC 15-Jul: hold 2.25% + MPR + presser</w:t>
            </w:r>
          </w:p>
        </w:tc>
        <w:tc>
          <w:tcPr>
            <w:tcW w:type="dxa" w:w="91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 CAD</w:t>
            </w:r>
          </w:p>
        </w:tc>
        <w:tc>
          <w:tcPr>
            <w:tcW w:type="dxa" w:w="119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JPM, MS, GS</w:t>
            </w:r>
          </w:p>
        </w:tc>
        <w:tc>
          <w:tcPr>
            <w:tcW w:type="dxa" w:w="450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Benign core ~2%; excess supply; USMCA drag</w:t>
            </w:r>
          </w:p>
        </w:tc>
      </w:tr>
      <w:tr>
        <w:tc>
          <w:tcPr>
            <w:tcW w:type="dxa" w:w="55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49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Long USD/CAD booked (+2.1%)</w:t>
            </w:r>
          </w:p>
        </w:tc>
        <w:tc>
          <w:tcPr>
            <w:tcW w:type="dxa" w:w="91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CAD</w:t>
            </w:r>
          </w:p>
        </w:tc>
        <w:tc>
          <w:tcPr>
            <w:tcW w:type="dxa" w:w="119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Nomura</w:t>
            </w:r>
          </w:p>
        </w:tc>
        <w:tc>
          <w:tcPr>
            <w:tcW w:type="dxa" w:w="450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Long-USD stretched; BoC may not meet hike pricing</w:t>
            </w:r>
          </w:p>
        </w:tc>
      </w:tr>
      <w:tr>
        <w:tc>
          <w:tcPr>
            <w:tcW w:type="dxa" w:w="55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49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Market vs house on the path</w:t>
            </w:r>
          </w:p>
        </w:tc>
        <w:tc>
          <w:tcPr>
            <w:tcW w:type="dxa" w:w="91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119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ANZ, StanC</w:t>
            </w:r>
          </w:p>
        </w:tc>
        <w:tc>
          <w:tcPr>
            <w:tcW w:type="dxa" w:w="450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Market prices hikes; StanC sees a cut</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Into today's decision, the base case is a benign-core hold. The carried previews are aligned: </w:t>
      </w:r>
      <w:r>
        <w:rPr>
          <w:rFonts w:ascii="Public Sans" w:hAnsi="Public Sans"/>
          <w:b/>
          <w:i w:val="0"/>
          <w:color w:val="3D3E3E"/>
          <w:sz w:val="19"/>
        </w:rPr>
        <w:t>JPM (17988)</w:t>
      </w:r>
      <w:r>
        <w:rPr>
          <w:rFonts w:ascii="Public Sans" w:hAnsi="Public Sans"/>
          <w:b w:val="0"/>
          <w:i w:val="0"/>
          <w:color w:val="3D3E3E"/>
          <w:sz w:val="19"/>
        </w:rPr>
        <w:t xml:space="preserve"> no change at 2.25%, limited guidance, core 3m run-rates ~2%, economy in excess supply, oil shock fading but the </w:t>
      </w:r>
      <w:r>
        <w:rPr>
          <w:rFonts w:ascii="Public Sans" w:hAnsi="Public Sans"/>
          <w:b/>
          <w:i w:val="0"/>
          <w:color w:val="3D3E3E"/>
          <w:sz w:val="19"/>
        </w:rPr>
        <w:t>USMCA trade drag intensified</w:t>
      </w:r>
      <w:r>
        <w:rPr>
          <w:rFonts w:ascii="Public Sans" w:hAnsi="Public Sans"/>
          <w:b w:val="0"/>
          <w:i w:val="0"/>
          <w:color w:val="3D3E3E"/>
          <w:sz w:val="19"/>
        </w:rPr>
        <w:t xml:space="preserve"> (no extension, annual reviews, section 232/301 tariffs) — on hold rest of 2026, MPR headline shaded down. </w:t>
      </w:r>
      <w:r>
        <w:rPr>
          <w:rFonts w:ascii="Public Sans" w:hAnsi="Public Sans"/>
          <w:b/>
          <w:i w:val="0"/>
          <w:color w:val="3D3E3E"/>
          <w:sz w:val="19"/>
        </w:rPr>
        <w:t>MS (18051):</w:t>
      </w:r>
      <w:r>
        <w:rPr>
          <w:rFonts w:ascii="Public Sans" w:hAnsi="Public Sans"/>
          <w:b w:val="0"/>
          <w:i w:val="0"/>
          <w:color w:val="3D3E3E"/>
          <w:sz w:val="19"/>
        </w:rPr>
        <w:t xml:space="preserve"> hold through year-end, "neither the bar for a hike nor the bar for a cut has been met," and USD/CAD "too rich at 1.42" with room to fall. </w:t>
      </w:r>
      <w:r>
        <w:rPr>
          <w:rFonts w:ascii="Public Sans" w:hAnsi="Public Sans"/>
          <w:b/>
          <w:i w:val="0"/>
          <w:color w:val="3D3E3E"/>
          <w:sz w:val="19"/>
        </w:rPr>
        <w:t>GS (18040):</w:t>
      </w:r>
      <w:r>
        <w:rPr>
          <w:rFonts w:ascii="Public Sans" w:hAnsi="Public Sans"/>
          <w:b w:val="0"/>
          <w:i w:val="0"/>
          <w:color w:val="3D3E3E"/>
          <w:sz w:val="19"/>
        </w:rPr>
        <w:t xml:space="preserve"> a dovish hold, activity data improving. Against them: </w:t>
      </w:r>
      <w:r>
        <w:rPr>
          <w:rFonts w:ascii="Public Sans" w:hAnsi="Public Sans"/>
          <w:b/>
          <w:i w:val="0"/>
          <w:color w:val="3D3E3E"/>
          <w:sz w:val="19"/>
        </w:rPr>
        <w:t>StanC</w:t>
      </w:r>
      <w:r>
        <w:rPr>
          <w:rFonts w:ascii="Public Sans" w:hAnsi="Public Sans"/>
          <w:b w:val="0"/>
          <w:i w:val="0"/>
          <w:color w:val="3D3E3E"/>
          <w:sz w:val="19"/>
        </w:rPr>
        <w:t xml:space="preserve"> (a cut by year-end, H2-hike pricing "premature") and the market (ANZ 18004: hikes priced). The fresh input today is </w:t>
      </w:r>
      <w:r>
        <w:rPr>
          <w:rFonts w:ascii="Public Sans" w:hAnsi="Public Sans"/>
          <w:b/>
          <w:i w:val="0"/>
          <w:color w:val="3D3E3E"/>
          <w:sz w:val="19"/>
        </w:rPr>
        <w:t>Nomura's (18221) profit-take on long USD/CAD at 1.4090 (+2.1% from a 22-May 1.38 entry)</w:t>
      </w:r>
      <w:r>
        <w:rPr>
          <w:rFonts w:ascii="Public Sans" w:hAnsi="Public Sans"/>
          <w:b w:val="0"/>
          <w:i w:val="0"/>
          <w:color w:val="3D3E3E"/>
          <w:sz w:val="19"/>
        </w:rPr>
        <w:t xml:space="preserve"> — it lowers conviction to 2/5 and flags that short-CAD positioning is "especially stretched" (CFTC/CTA), that the BoC "may be unable to meet market pricing for rate hikes," and that it wants to re-express short CAD later on the "underwhelming macro backdrop." </w:t>
      </w:r>
      <w:r>
        <w:rPr>
          <w:rFonts w:ascii="Public Sans" w:hAnsi="Public Sans"/>
          <w:b/>
          <w:i w:val="0"/>
          <w:color w:val="3D3E3E"/>
          <w:sz w:val="19"/>
        </w:rPr>
        <w:t>CAD firmed +0.64% DoD</w:t>
      </w:r>
      <w:r>
        <w:rPr>
          <w:rFonts w:ascii="Public Sans" w:hAnsi="Public Sans"/>
          <w:b w:val="0"/>
          <w:i w:val="0"/>
          <w:color w:val="3D3E3E"/>
          <w:sz w:val="19"/>
        </w:rPr>
        <w:t xml:space="preserve"> on the soft US CPI (FX.fact_fx_rate); CORRA 2y −1.9bp into the meeting (10y +1.1bp).</w:t>
      </w:r>
    </w:p>
    <w:p>
      <w:pPr>
        <w:spacing w:before="120" w:after="40"/>
        <w:keepNext/>
      </w:pPr>
      <w:r>
        <w:rPr>
          <w:rFonts w:ascii="Public Sans" w:hAnsi="Public Sans"/>
          <w:b/>
          <w:i w:val="0"/>
          <w:color w:val="001830"/>
          <w:sz w:val="19"/>
        </w:rPr>
        <w:t>B2 · BoC within-window timeline — official voice vs sell-side read (15 Jul)</w:t>
      </w:r>
    </w:p>
    <w:p>
      <w:pPr>
        <w:spacing w:after="80" w:line="283" w:lineRule="auto"/>
      </w:pPr>
      <w:r>
        <w:rPr>
          <w:rFonts w:ascii="Public Sans" w:hAnsi="Public Sans"/>
          <w:b w:val="0"/>
          <w:i w:val="0"/>
          <w:color w:val="3D3E3E"/>
          <w:sz w:val="19"/>
        </w:rPr>
        <w:t xml:space="preserve">The layers kept separate; the decision is </w:t>
      </w:r>
      <w:r>
        <w:rPr>
          <w:rFonts w:ascii="Public Sans" w:hAnsi="Public Sans"/>
          <w:b/>
          <w:i w:val="0"/>
          <w:color w:val="3D3E3E"/>
          <w:sz w:val="19"/>
        </w:rPr>
        <w:t>pre-announcement at compile</w:t>
      </w:r>
      <w:r>
        <w:rPr>
          <w:rFonts w:ascii="Public Sans" w:hAnsi="Public Sans"/>
          <w:b w:val="0"/>
          <w:i w:val="0"/>
          <w:color w:val="3D3E3E"/>
          <w:sz w:val="19"/>
        </w:rPr>
        <w:t xml:space="preserve"> — the official leg is the scheduled event and the BoC's own prior framing (as quoted in the flow), not yet an outcome.</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3552"/>
        <w:gridCol w:w="3552"/>
        <w:gridCol w:w="3552"/>
      </w:tblGrid>
      <w:tr>
        <w:trPr>
          <w:tblHeader w:val="true"/>
        </w:trPr>
        <w:tc>
          <w:tcPr>
            <w:tcW w:type="dxa" w:w="299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When (within-window)</w:t>
            </w:r>
          </w:p>
        </w:tc>
        <w:tc>
          <w:tcPr>
            <w:tcW w:type="dxa" w:w="383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Official voice (FACT / official)</w:t>
            </w:r>
          </w:p>
        </w:tc>
        <w:tc>
          <w:tcPr>
            <w:tcW w:type="dxa" w:w="383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Sell-side read (VIEW)</w:t>
            </w:r>
          </w:p>
        </w:tc>
      </w:tr>
      <w:tr>
        <w:tc>
          <w:tcPr>
            <w:tcW w:type="dxa" w:w="299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15 Jul — scheduled + BoC's standing framing</w:t>
            </w:r>
          </w:p>
        </w:tc>
        <w:tc>
          <w:tcPr>
            <w:tcW w:type="dxa" w:w="383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BoC rate decision + Monetary Policy Report + Governor Macklem press conference</w:t>
            </w:r>
            <w:r>
              <w:rPr>
                <w:rFonts w:ascii="Public Sans" w:hAnsi="Public Sans"/>
                <w:b w:val="0"/>
                <w:i w:val="0"/>
                <w:color w:val="3D3E3E"/>
                <w:sz w:val="16"/>
              </w:rPr>
              <w:t xml:space="preserve"> (cb_events 60980/60981/60982). Survey </w:t>
            </w:r>
            <w:r>
              <w:rPr>
                <w:rFonts w:ascii="Public Sans" w:hAnsi="Public Sans"/>
                <w:b/>
                <w:i w:val="0"/>
                <w:color w:val="3D3E3E"/>
                <w:sz w:val="16"/>
              </w:rPr>
              <w:t>hold at 2.25%</w:t>
            </w:r>
            <w:r>
              <w:rPr>
                <w:rFonts w:ascii="Public Sans" w:hAnsi="Public Sans"/>
                <w:b w:val="0"/>
                <w:i w:val="0"/>
                <w:color w:val="3D3E3E"/>
                <w:sz w:val="16"/>
              </w:rPr>
              <w:t xml:space="preserve"> (prior 2.25%); no actual booked at run time — </w:t>
            </w:r>
            <w:r>
              <w:rPr>
                <w:rFonts w:ascii="Public Sans" w:hAnsi="Public Sans"/>
                <w:b/>
                <w:i w:val="0"/>
                <w:color w:val="3D3E3E"/>
                <w:sz w:val="16"/>
              </w:rPr>
              <w:t>forward</w:t>
            </w:r>
            <w:r>
              <w:rPr>
                <w:rFonts w:ascii="Public Sans" w:hAnsi="Public Sans"/>
                <w:b w:val="0"/>
                <w:i w:val="0"/>
                <w:color w:val="3D3E3E"/>
                <w:sz w:val="16"/>
              </w:rPr>
              <w:t xml:space="preserve">. The BoC's own quoted threshold (via JPM 17988): it would tighten only on a </w:t>
            </w:r>
            <w:r>
              <w:rPr>
                <w:rFonts w:ascii="Public Sans" w:hAnsi="Public Sans"/>
                <w:b/>
                <w:i w:val="0"/>
                <w:color w:val="3D3E3E"/>
                <w:sz w:val="16"/>
              </w:rPr>
              <w:t>"broadening"</w:t>
            </w:r>
            <w:r>
              <w:rPr>
                <w:rFonts w:ascii="Public Sans" w:hAnsi="Public Sans"/>
                <w:b w:val="0"/>
                <w:i w:val="0"/>
                <w:color w:val="3D3E3E"/>
                <w:sz w:val="16"/>
              </w:rPr>
              <w:t xml:space="preserve"> of inflation, has stressed it "will deliver price stability," and has judged the economy in </w:t>
            </w:r>
            <w:r>
              <w:rPr>
                <w:rFonts w:ascii="Public Sans" w:hAnsi="Public Sans"/>
                <w:b/>
                <w:i w:val="0"/>
                <w:color w:val="3D3E3E"/>
                <w:sz w:val="16"/>
              </w:rPr>
              <w:t>"excess supply."</w:t>
            </w:r>
          </w:p>
        </w:tc>
        <w:tc>
          <w:tcPr>
            <w:tcW w:type="dxa" w:w="383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Base case a benign-core hold. </w:t>
            </w:r>
            <w:r>
              <w:rPr>
                <w:rFonts w:ascii="Public Sans" w:hAnsi="Public Sans"/>
                <w:b/>
                <w:i w:val="0"/>
                <w:color w:val="3D3E3E"/>
                <w:sz w:val="16"/>
              </w:rPr>
              <w:t>JPM (17988):</w:t>
            </w:r>
            <w:r>
              <w:rPr>
                <w:rFonts w:ascii="Public Sans" w:hAnsi="Public Sans"/>
                <w:b w:val="0"/>
                <w:i w:val="0"/>
                <w:color w:val="3D3E3E"/>
                <w:sz w:val="16"/>
              </w:rPr>
              <w:t xml:space="preserve"> "little evidence of the broadening that the BoC flagged as its threshold for tightening"; core 3m run-rates ~2%; oil shock fading but the </w:t>
            </w:r>
            <w:r>
              <w:rPr>
                <w:rFonts w:ascii="Public Sans" w:hAnsi="Public Sans"/>
                <w:b/>
                <w:i w:val="0"/>
                <w:color w:val="3D3E3E"/>
                <w:sz w:val="16"/>
              </w:rPr>
              <w:t>USMCA drag intensified</w:t>
            </w:r>
            <w:r>
              <w:rPr>
                <w:rFonts w:ascii="Public Sans" w:hAnsi="Public Sans"/>
                <w:b w:val="0"/>
                <w:i w:val="0"/>
                <w:color w:val="3D3E3E"/>
                <w:sz w:val="16"/>
              </w:rPr>
              <w:t xml:space="preserve"> (no extension 1-Jul, annual reviews, section 232/301 tariffs); the 2Q Business Outlook Survey "a bit stale"; MPR headline shaded down, core held at 2.0%. </w:t>
            </w:r>
            <w:r>
              <w:rPr>
                <w:rFonts w:ascii="Public Sans" w:hAnsi="Public Sans"/>
                <w:b/>
                <w:i w:val="0"/>
                <w:color w:val="3D3E3E"/>
                <w:sz w:val="16"/>
              </w:rPr>
              <w:t>MS (18051):</w:t>
            </w:r>
            <w:r>
              <w:rPr>
                <w:rFonts w:ascii="Public Sans" w:hAnsi="Public Sans"/>
                <w:b w:val="0"/>
                <w:i w:val="0"/>
                <w:color w:val="3D3E3E"/>
                <w:sz w:val="16"/>
              </w:rPr>
              <w:t xml:space="preserve"> hold through year-end — "contained core inflation, persistent slack, and trade uncertainty argue for patience"; June jobs "signal stabilization, not reacceleration." </w:t>
            </w:r>
            <w:r>
              <w:rPr>
                <w:rFonts w:ascii="Public Sans" w:hAnsi="Public Sans"/>
                <w:b/>
                <w:i w:val="0"/>
                <w:color w:val="3D3E3E"/>
                <w:sz w:val="16"/>
              </w:rPr>
              <w:t>GS (18040):</w:t>
            </w:r>
            <w:r>
              <w:rPr>
                <w:rFonts w:ascii="Public Sans" w:hAnsi="Public Sans"/>
                <w:b w:val="0"/>
                <w:i w:val="0"/>
                <w:color w:val="3D3E3E"/>
                <w:sz w:val="16"/>
              </w:rPr>
              <w:t xml:space="preserve"> dovish hold on improving activity.</w:t>
            </w:r>
          </w:p>
        </w:tc>
      </w:tr>
      <w:tr>
        <w:tc>
          <w:tcPr>
            <w:tcW w:type="dxa" w:w="299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15 Jul — the split into the decision</w:t>
            </w:r>
          </w:p>
        </w:tc>
        <w:tc>
          <w:tcPr>
            <w:tcW w:type="dxa" w:w="383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color w:val="3D3E3E"/>
                <w:sz w:val="16"/>
              </w:rPr>
              <w:t>(pending — decision / statement / MPR / Macklem presser not yet released at compile)</w:t>
            </w:r>
          </w:p>
        </w:tc>
        <w:tc>
          <w:tcPr>
            <w:tcW w:type="dxa" w:w="383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 xml:space="preserve">On direction after: </w:t>
            </w:r>
            <w:r>
              <w:rPr>
                <w:rFonts w:ascii="Public Sans" w:hAnsi="Public Sans"/>
                <w:b/>
                <w:i w:val="0"/>
                <w:color w:val="3D3E3E"/>
                <w:sz w:val="16"/>
              </w:rPr>
              <w:t>StanC</w:t>
            </w:r>
            <w:r>
              <w:rPr>
                <w:rFonts w:ascii="Public Sans" w:hAnsi="Public Sans"/>
                <w:b w:val="0"/>
                <w:i w:val="0"/>
                <w:color w:val="3D3E3E"/>
                <w:sz w:val="16"/>
              </w:rPr>
              <w:t xml:space="preserve"> calls a cut by year-end (H2-hike pricing "premature"); the </w:t>
            </w:r>
            <w:r>
              <w:rPr>
                <w:rFonts w:ascii="Public Sans" w:hAnsi="Public Sans"/>
                <w:b/>
                <w:i w:val="0"/>
                <w:color w:val="3D3E3E"/>
                <w:sz w:val="16"/>
              </w:rPr>
              <w:t>market</w:t>
            </w:r>
            <w:r>
              <w:rPr>
                <w:rFonts w:ascii="Public Sans" w:hAnsi="Public Sans"/>
                <w:b w:val="0"/>
                <w:i w:val="0"/>
                <w:color w:val="3D3E3E"/>
                <w:sz w:val="16"/>
              </w:rPr>
              <w:t xml:space="preserve"> prices hikes; </w:t>
            </w:r>
            <w:r>
              <w:rPr>
                <w:rFonts w:ascii="Public Sans" w:hAnsi="Public Sans"/>
                <w:b/>
                <w:i w:val="0"/>
                <w:color w:val="3D3E3E"/>
                <w:sz w:val="16"/>
              </w:rPr>
              <w:t>MS (18051):</w:t>
            </w:r>
            <w:r>
              <w:rPr>
                <w:rFonts w:ascii="Public Sans" w:hAnsi="Public Sans"/>
                <w:b w:val="0"/>
                <w:i w:val="0"/>
                <w:color w:val="3D3E3E"/>
                <w:sz w:val="16"/>
              </w:rPr>
              <w:t xml:space="preserve"> USD/CAD "too rich at 1.42," room to fall as USMCA uncertainty unwinds; </w:t>
            </w:r>
            <w:r>
              <w:rPr>
                <w:rFonts w:ascii="Public Sans" w:hAnsi="Public Sans"/>
                <w:b/>
                <w:i w:val="0"/>
                <w:color w:val="3D3E3E"/>
                <w:sz w:val="16"/>
              </w:rPr>
              <w:t>Nomura (18221)</w:t>
            </w:r>
            <w:r>
              <w:rPr>
                <w:rFonts w:ascii="Public Sans" w:hAnsi="Public Sans"/>
                <w:b w:val="0"/>
                <w:i w:val="0"/>
                <w:color w:val="3D3E3E"/>
                <w:sz w:val="16"/>
              </w:rPr>
              <w:t xml:space="preserve"> booked long USD/CAD (+2.1%), flagging the BoC "may be unable to meet market pricing for rate hikes."</w:t>
            </w:r>
          </w:p>
        </w:tc>
      </w:tr>
    </w:tbl>
    <w:p>
      <w:pPr>
        <w:spacing w:after="80" w:line="283" w:lineRule="auto"/>
      </w:pPr>
      <w:r>
        <w:rPr>
          <w:rFonts w:ascii="Public Sans" w:hAnsi="Public Sans"/>
          <w:b w:val="0"/>
          <w:i/>
          <w:color w:val="3D3E3E"/>
          <w:sz w:val="19"/>
        </w:rPr>
        <w:t>Next catalyst pointer (one line, in-window): the decision, statement, MPR and Macklem presser land later on 15-Jul — the official voice that resolves the hold-vs-cut-vs-hike split above.</w:t>
      </w:r>
    </w:p>
    <w:p>
      <w:pPr>
        <w:spacing w:before="120" w:after="40"/>
        <w:keepNext/>
      </w:pPr>
      <w:r>
        <w:rPr>
          <w:rFonts w:ascii="Public Sans" w:hAnsi="Public Sans"/>
          <w:b/>
          <w:i w:val="0"/>
          <w:color w:val="001830"/>
          <w:sz w:val="19"/>
        </w:rPr>
        <w:t>C · Consensus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271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71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219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148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355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w:t>
            </w:r>
          </w:p>
        </w:tc>
      </w:tr>
      <w:tr>
        <w:tc>
          <w:tcPr>
            <w:tcW w:type="dxa" w:w="271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Hold 15-Jul; benign core, persistent slack</w:t>
            </w:r>
          </w:p>
        </w:tc>
        <w:tc>
          <w:tcPr>
            <w:tcW w:type="dxa" w:w="71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JPM, MS, GS</w:t>
            </w:r>
          </w:p>
        </w:tc>
        <w:tc>
          <w:tcPr>
            <w:tcW w:type="dxa" w:w="219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No change; core ~2%, excess supply</w:t>
            </w:r>
          </w:p>
        </w:tc>
        <w:tc>
          <w:tcPr>
            <w:tcW w:type="dxa" w:w="148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Core 3m ~2%; USMCA drag</w:t>
            </w:r>
          </w:p>
        </w:tc>
        <w:tc>
          <w:tcPr>
            <w:tcW w:type="dxa" w:w="355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Direction after: dovish (GS/StanC) vs market's hike pricing</w:t>
            </w:r>
          </w:p>
        </w:tc>
      </w:tr>
    </w:tbl>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27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40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49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49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49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49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2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Nomura</w:t>
            </w:r>
          </w:p>
        </w:tc>
        <w:tc>
          <w:tcPr>
            <w:tcW w:type="dxa" w:w="4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CAD</w:t>
            </w:r>
          </w:p>
        </w:tc>
        <w:tc>
          <w:tcPr>
            <w:tcW w:type="dxa" w:w="249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Booked long USD/CAD; wants to re-short CAD later — BoC may miss market hike pricing</w:t>
            </w:r>
          </w:p>
        </w:tc>
        <w:tc>
          <w:tcPr>
            <w:tcW w:type="dxa" w:w="249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Trades the positioning + the macro-vs-pricing gap, not the decision itself</w:t>
            </w:r>
          </w:p>
        </w:tc>
        <w:tc>
          <w:tcPr>
            <w:tcW w:type="dxa" w:w="249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Short-CAD stretched now; BoC underdelivers vs pricing later</w:t>
            </w:r>
          </w:p>
        </w:tc>
        <w:tc>
          <w:tcPr>
            <w:tcW w:type="dxa" w:w="249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hawkish BoC surprise / US data surprise up lifts USD/CAD</w:t>
            </w:r>
          </w:p>
        </w:tc>
      </w:tr>
      <w:tr>
        <w:tc>
          <w:tcPr>
            <w:tcW w:type="dxa" w:w="27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StanC</w:t>
            </w:r>
          </w:p>
        </w:tc>
        <w:tc>
          <w:tcPr>
            <w:tcW w:type="dxa" w:w="4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Rates/CAD</w:t>
            </w:r>
          </w:p>
        </w:tc>
        <w:tc>
          <w:tcPr>
            <w:tcW w:type="dxa" w:w="249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 cut by year-end; H2-hike pricing "premature"</w:t>
            </w:r>
          </w:p>
        </w:tc>
        <w:tc>
          <w:tcPr>
            <w:tcW w:type="dxa" w:w="249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Only house calling an outright 2026 cut</w:t>
            </w:r>
          </w:p>
        </w:tc>
        <w:tc>
          <w:tcPr>
            <w:tcW w:type="dxa" w:w="249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Downside growth &gt; upside inflation; core moderates</w:t>
            </w:r>
          </w:p>
        </w:tc>
        <w:tc>
          <w:tcPr>
            <w:tcW w:type="dxa" w:w="249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Growth regains momentum / oil re-spike</w:t>
            </w:r>
          </w:p>
        </w:tc>
      </w:tr>
    </w:tbl>
    <w:p>
      <w:pPr>
        <w:spacing w:after="80" w:line="283" w:lineRule="auto"/>
      </w:pPr>
      <w:r>
        <w:rPr>
          <w:rFonts w:ascii="Public Sans" w:hAnsi="Public Sans"/>
          <w:b w:val="0"/>
          <w:i w:val="0"/>
          <w:color w:val="3D3E3E"/>
          <w:sz w:val="19"/>
        </w:rPr>
        <w:t xml:space="preserve">Trade rows: </w:t>
      </w:r>
      <w:r>
        <w:rPr>
          <w:rFonts w:ascii="Public Sans" w:hAnsi="Public Sans"/>
          <w:b/>
          <w:i w:val="0"/>
          <w:color w:val="3D3E3E"/>
          <w:sz w:val="19"/>
        </w:rPr>
        <w:t>#3</w:t>
      </w:r>
      <w:r>
        <w:rPr>
          <w:rFonts w:ascii="Public Sans" w:hAnsi="Public Sans"/>
          <w:b w:val="0"/>
          <w:i w:val="0"/>
          <w:color w:val="3D3E3E"/>
          <w:sz w:val="19"/>
        </w:rPr>
        <w:t xml:space="preserve">. </w:t>
      </w:r>
      <w:r>
        <w:rPr>
          <w:rFonts w:ascii="Public Sans" w:hAnsi="Public Sans"/>
          <w:b/>
          <w:i w:val="0"/>
          <w:color w:val="3D3E3E"/>
          <w:sz w:val="19"/>
        </w:rPr>
        <w:t>DEPTH:</w:t>
      </w:r>
      <w:r>
        <w:rPr>
          <w:rFonts w:ascii="Public Sans" w:hAnsi="Public Sans"/>
          <w:b w:val="0"/>
          <w:i w:val="0"/>
          <w:color w:val="3D3E3E"/>
          <w:sz w:val="19"/>
        </w:rPr>
        <w:t xml:space="preserve"> CA econ.fact_indicator thin (most macro not loaded) — the verified anchor is the 2026-06-10 BoC hold. </w:t>
      </w:r>
      <w:r>
        <w:rPr>
          <w:rFonts w:ascii="Public Sans" w:hAnsi="Public Sans"/>
          <w:b/>
          <w:i w:val="0"/>
          <w:color w:val="3D3E3E"/>
          <w:sz w:val="19"/>
        </w:rPr>
        <w:t>Flags:</w:t>
      </w:r>
      <w:r>
        <w:rPr>
          <w:rFonts w:ascii="Public Sans" w:hAnsi="Public Sans"/>
          <w:b w:val="0"/>
          <w:i w:val="0"/>
          <w:color w:val="3D3E3E"/>
          <w:sz w:val="19"/>
        </w:rPr>
        <w:t xml:space="preserve"> BoC decision + MPR + presser 15-Jul forward (all cb_events actual null, 41366/60980/60981/60982); jobs/core figures sell-side (VIEW).</w:t>
      </w:r>
    </w:p>
    <w:p>
      <w:pPr>
        <w:spacing w:before="200" w:after="60"/>
        <w:keepNext/>
        <w:pBdr>
          <w:bottom w:val="single" w:sz="4" w:space="2" w:color="E0E9E4"/>
        </w:pBdr>
      </w:pPr>
      <w:r>
        <w:rPr>
          <w:rFonts w:ascii="Georgia" w:hAnsi="Georgia"/>
          <w:b/>
          <w:color w:val="4D806A"/>
          <w:sz w:val="23"/>
        </w:rPr>
        <w:t>United Kingdom — HSBC fades the oil-driven hike pricing; GDP 16-Jul, Burnham Budget in focus</w:t>
      </w:r>
    </w:p>
    <w:p>
      <w:pPr>
        <w:spacing w:after="80" w:line="283" w:lineRule="auto"/>
      </w:pPr>
      <w:r>
        <w:rPr>
          <w:rFonts w:ascii="Public Sans" w:hAnsi="Public Sans"/>
          <w:b w:val="0"/>
          <w:i/>
          <w:color w:val="3D3E3E"/>
          <w:sz w:val="19"/>
        </w:rPr>
        <w:t>Flagships read: HSBC "UK Rates Trade Idea: Receive GBP 1Y1Y OIS" (18254); JPM "UK politics: Ten views on the path ahead" (18264) + UK Money Market Report (18077) + Bailey speech note (18326); UBS European Economic Perspectives "UK &amp; France: Fiscal risk scenarios" (18109); carried StanC UK read; ANZ "What's Priced In" (18004/18310).</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44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409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74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26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409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4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409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HSBC receives GBP 1Y1Y — fade the hike repricing</w:t>
            </w:r>
          </w:p>
        </w:tc>
        <w:tc>
          <w:tcPr>
            <w:tcW w:type="dxa" w:w="74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 GBP</w:t>
            </w:r>
          </w:p>
        </w:tc>
        <w:tc>
          <w:tcPr>
            <w:tcW w:type="dxa" w:w="126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HSBC</w:t>
            </w:r>
          </w:p>
        </w:tc>
        <w:tc>
          <w:tcPr>
            <w:tcW w:type="dxa" w:w="409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~60bp of hikes / 80% Sep-hike priced on the oil sell-off</w:t>
            </w:r>
          </w:p>
        </w:tc>
      </w:tr>
      <w:tr>
        <w:tc>
          <w:tcPr>
            <w:tcW w:type="dxa" w:w="44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409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Burnham Budget: significant policy, no big net stimulus</w:t>
            </w:r>
          </w:p>
        </w:tc>
        <w:tc>
          <w:tcPr>
            <w:tcW w:type="dxa" w:w="74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 GBP</w:t>
            </w:r>
          </w:p>
        </w:tc>
        <w:tc>
          <w:tcPr>
            <w:tcW w:type="dxa" w:w="126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JPM</w:t>
            </w:r>
          </w:p>
        </w:tc>
        <w:tc>
          <w:tcPr>
            <w:tcW w:type="dxa" w:w="409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Fiscal-credibility watch; compositional changes</w:t>
            </w:r>
          </w:p>
        </w:tc>
      </w:tr>
      <w:tr>
        <w:tc>
          <w:tcPr>
            <w:tcW w:type="dxa" w:w="44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409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GBP firmer with US; GDP 16-Jul</w:t>
            </w:r>
          </w:p>
        </w:tc>
        <w:tc>
          <w:tcPr>
            <w:tcW w:type="dxa" w:w="74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GBP, rates</w:t>
            </w:r>
          </w:p>
        </w:tc>
        <w:tc>
          <w:tcPr>
            <w:tcW w:type="dxa" w:w="126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(market/calendar)</w:t>
            </w:r>
          </w:p>
        </w:tc>
        <w:tc>
          <w:tcPr>
            <w:tcW w:type="dxa" w:w="409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GBP +0.35%; SONIA 2y −2.7bp</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The UK is a fade-the-hike-pricing story on top of a fiscal-politics backdrop. </w:t>
      </w:r>
      <w:r>
        <w:rPr>
          <w:rFonts w:ascii="Public Sans" w:hAnsi="Public Sans"/>
          <w:b/>
          <w:i w:val="0"/>
          <w:color w:val="3D3E3E"/>
          <w:sz w:val="19"/>
        </w:rPr>
        <w:t>HSBC (18254)</w:t>
      </w:r>
      <w:r>
        <w:rPr>
          <w:rFonts w:ascii="Public Sans" w:hAnsi="Public Sans"/>
          <w:b w:val="0"/>
          <w:i w:val="0"/>
          <w:color w:val="3D3E3E"/>
          <w:sz w:val="19"/>
        </w:rPr>
        <w:t xml:space="preserve"> opens a new trade to </w:t>
      </w:r>
      <w:r>
        <w:rPr>
          <w:rFonts w:ascii="Public Sans" w:hAnsi="Public Sans"/>
          <w:b/>
          <w:i w:val="0"/>
          <w:color w:val="3D3E3E"/>
          <w:sz w:val="19"/>
        </w:rPr>
        <w:t>receive GBP 1Y1Y OIS at 4.35% (target 4.00%, stop 4.60%)</w:t>
      </w:r>
      <w:r>
        <w:rPr>
          <w:rFonts w:ascii="Public Sans" w:hAnsi="Public Sans"/>
          <w:b w:val="0"/>
          <w:i w:val="0"/>
          <w:color w:val="3D3E3E"/>
          <w:sz w:val="19"/>
        </w:rPr>
        <w:t xml:space="preserve">: fresh Middle-East tension put upward pressure on oil and re-lit the correlation with the front-end, so ~60bp of hikes and an ~80% September-hike probability are now priced — but HSBC holds a more dovish view (the MPC "kept its options open" in June with only two hike votes, and it sees rates unchanged before easing resumes in late 2027), argues the front-end "has begun to find support around these levels," and reasons that tighter market conditions via higher forward rates "help to do the BoE's job," allowing patience into the 30-Jul MPR. </w:t>
      </w:r>
      <w:r>
        <w:rPr>
          <w:rFonts w:ascii="Public Sans" w:hAnsi="Public Sans"/>
          <w:b/>
          <w:i w:val="0"/>
          <w:color w:val="3D3E3E"/>
          <w:sz w:val="19"/>
        </w:rPr>
        <w:t>JPM (18264):</w:t>
      </w:r>
      <w:r>
        <w:rPr>
          <w:rFonts w:ascii="Public Sans" w:hAnsi="Public Sans"/>
          <w:b w:val="0"/>
          <w:i w:val="0"/>
          <w:color w:val="3D3E3E"/>
          <w:sz w:val="19"/>
        </w:rPr>
        <w:t xml:space="preserve"> Andy Burnham's Budget will bring "several significant policy announcements and compositional fiscal changes" but "no large net stimulus for next year" as he builds market credibility (net favourability improving). </w:t>
      </w:r>
      <w:r>
        <w:rPr>
          <w:rFonts w:ascii="Public Sans" w:hAnsi="Public Sans"/>
          <w:b/>
          <w:i w:val="0"/>
          <w:color w:val="3D3E3E"/>
          <w:sz w:val="19"/>
        </w:rPr>
        <w:t>UBS (18109)</w:t>
      </w:r>
      <w:r>
        <w:rPr>
          <w:rFonts w:ascii="Public Sans" w:hAnsi="Public Sans"/>
          <w:b w:val="0"/>
          <w:i w:val="0"/>
          <w:color w:val="3D3E3E"/>
          <w:sz w:val="19"/>
        </w:rPr>
        <w:t xml:space="preserve"> works the UK/France fiscal-risk scenarios. </w:t>
      </w:r>
      <w:r>
        <w:rPr>
          <w:rFonts w:ascii="Public Sans" w:hAnsi="Public Sans"/>
          <w:b/>
          <w:i w:val="0"/>
          <w:color w:val="3D3E3E"/>
          <w:sz w:val="19"/>
        </w:rPr>
        <w:t>GBP firmed +0.35% DoD</w:t>
      </w:r>
      <w:r>
        <w:rPr>
          <w:rFonts w:ascii="Public Sans" w:hAnsi="Public Sans"/>
          <w:b w:val="0"/>
          <w:i w:val="0"/>
          <w:color w:val="3D3E3E"/>
          <w:sz w:val="19"/>
        </w:rPr>
        <w:t xml:space="preserve"> on the soft US CPI (FX.fact_fx_rate) and SONIA rallied with the US (2y −2.7bp / 10y −1.9bp — cash gilts not loaded, so this is the OIS read). UK GDP prints 16-Jul (m/m survey 0.1%).</w:t>
      </w:r>
    </w:p>
    <w:p>
      <w:pPr>
        <w:spacing w:after="80" w:line="283" w:lineRule="auto"/>
      </w:pPr>
      <w:r>
        <w:rPr>
          <w:rFonts w:ascii="Public Sans" w:hAnsi="Public Sans"/>
          <w:b/>
          <w:i w:val="0"/>
          <w:color w:val="3D3E3E"/>
          <w:sz w:val="19"/>
        </w:rPr>
        <w:t>C · Consensus views</w:t>
      </w:r>
      <w:r>
        <w:rPr>
          <w:rFonts w:ascii="Public Sans" w:hAnsi="Public Sans"/>
          <w:b w:val="0"/>
          <w:i w:val="0"/>
          <w:color w:val="3D3E3E"/>
          <w:sz w:val="19"/>
        </w:rPr>
        <w:t xml:space="preserve"> Limited independent in-window UK-macro coverage; the anchor is HSBC's dovish fade of the oil-driven hike pricing plus JPM's Burnham-fiscal read, against a market pricing an ~80% September hike.</w:t>
      </w:r>
    </w:p>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27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40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49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49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49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49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2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HSBC</w:t>
            </w:r>
          </w:p>
        </w:tc>
        <w:tc>
          <w:tcPr>
            <w:tcW w:type="dxa" w:w="4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Rates/GBP</w:t>
            </w:r>
          </w:p>
        </w:tc>
        <w:tc>
          <w:tcPr>
            <w:tcW w:type="dxa" w:w="249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Receive GBP 1Y1Y (4.35%) — the oil-led hike repricing overshoots; BoE stays patient</w:t>
            </w:r>
          </w:p>
        </w:tc>
        <w:tc>
          <w:tcPr>
            <w:tcW w:type="dxa" w:w="249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Actively fades a market pricing ~80% Sep hike; ties it to ME/oil stabilising</w:t>
            </w:r>
          </w:p>
        </w:tc>
        <w:tc>
          <w:tcPr>
            <w:tcW w:type="dxa" w:w="249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Oil/ME stabilises; weak growth undermines the hike case</w:t>
            </w:r>
          </w:p>
        </w:tc>
        <w:tc>
          <w:tcPr>
            <w:tcW w:type="dxa" w:w="249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Higher oil / hawkish data extend the sell-off (stop 4.60%)</w:t>
            </w:r>
          </w:p>
        </w:tc>
      </w:tr>
      <w:tr>
        <w:tc>
          <w:tcPr>
            <w:tcW w:type="dxa" w:w="27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JPM</w:t>
            </w:r>
          </w:p>
        </w:tc>
        <w:tc>
          <w:tcPr>
            <w:tcW w:type="dxa" w:w="40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Rates/GBP</w:t>
            </w:r>
          </w:p>
        </w:tc>
        <w:tc>
          <w:tcPr>
            <w:tcW w:type="dxa" w:w="249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Burnham Budget: significant policy, no big net stimulus; two years of parliament already gone</w:t>
            </w:r>
          </w:p>
        </w:tc>
        <w:tc>
          <w:tcPr>
            <w:tcW w:type="dxa" w:w="249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Frames the fiscal transition as credibility-building, not stimulus</w:t>
            </w:r>
          </w:p>
        </w:tc>
        <w:tc>
          <w:tcPr>
            <w:tcW w:type="dxa" w:w="249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Burnham prioritises market credibility over pre-election spend</w:t>
            </w:r>
          </w:p>
        </w:tc>
        <w:tc>
          <w:tcPr>
            <w:tcW w:type="dxa" w:w="249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 larger-than-expected net stimulus / fiscal-rule loosening</w:t>
            </w:r>
          </w:p>
        </w:tc>
      </w:tr>
    </w:tbl>
    <w:p>
      <w:pPr>
        <w:spacing w:after="80" w:line="283" w:lineRule="auto"/>
      </w:pPr>
      <w:r>
        <w:rPr>
          <w:rFonts w:ascii="Public Sans" w:hAnsi="Public Sans"/>
          <w:b w:val="0"/>
          <w:i w:val="0"/>
          <w:color w:val="3D3E3E"/>
          <w:sz w:val="19"/>
        </w:rPr>
        <w:t xml:space="preserve">Trade rows: </w:t>
      </w:r>
      <w:r>
        <w:rPr>
          <w:rFonts w:ascii="Public Sans" w:hAnsi="Public Sans"/>
          <w:b/>
          <w:i w:val="0"/>
          <w:color w:val="3D3E3E"/>
          <w:sz w:val="19"/>
        </w:rPr>
        <w:t>#4</w:t>
      </w:r>
      <w:r>
        <w:rPr>
          <w:rFonts w:ascii="Public Sans" w:hAnsi="Public Sans"/>
          <w:b w:val="0"/>
          <w:i w:val="0"/>
          <w:color w:val="3D3E3E"/>
          <w:sz w:val="19"/>
        </w:rPr>
        <w:t xml:space="preserve">. </w:t>
      </w:r>
      <w:r>
        <w:rPr>
          <w:rFonts w:ascii="Public Sans" w:hAnsi="Public Sans"/>
          <w:b/>
          <w:i w:val="0"/>
          <w:color w:val="3D3E3E"/>
          <w:sz w:val="19"/>
        </w:rPr>
        <w:t>DEPTH:</w:t>
      </w:r>
      <w:r>
        <w:rPr>
          <w:rFonts w:ascii="Public Sans" w:hAnsi="Public Sans"/>
          <w:b w:val="0"/>
          <w:i w:val="0"/>
          <w:color w:val="3D3E3E"/>
          <w:sz w:val="19"/>
        </w:rPr>
        <w:t xml:space="preserve"> UK econ.fact_indicator thin (most macro not loaded) — the verified anchor is the 2026-06-18 BoE hold 7-2. </w:t>
      </w:r>
      <w:r>
        <w:rPr>
          <w:rFonts w:ascii="Public Sans" w:hAnsi="Public Sans"/>
          <w:b/>
          <w:i w:val="0"/>
          <w:color w:val="3D3E3E"/>
          <w:sz w:val="19"/>
        </w:rPr>
        <w:t>Flags:</w:t>
      </w:r>
      <w:r>
        <w:rPr>
          <w:rFonts w:ascii="Public Sans" w:hAnsi="Public Sans"/>
          <w:b w:val="0"/>
          <w:i w:val="0"/>
          <w:color w:val="3D3E3E"/>
          <w:sz w:val="19"/>
        </w:rPr>
        <w:t xml:space="preserve"> UK GDP 16-Jul forward; HSBC's dovish fade vs the market's ~80% Sep-hike pricing unreconciled (both shown); CPI/fiscal figures sell-side (VIEW).</w:t>
      </w:r>
    </w:p>
    <w:p>
      <w:pPr>
        <w:spacing w:before="200" w:after="60"/>
        <w:keepNext/>
        <w:pBdr>
          <w:bottom w:val="single" w:sz="4" w:space="2" w:color="E0E9E4"/>
        </w:pBdr>
      </w:pPr>
      <w:r>
        <w:rPr>
          <w:rFonts w:ascii="Georgia" w:hAnsi="Georgia"/>
          <w:b/>
          <w:color w:val="4D806A"/>
          <w:sz w:val="23"/>
        </w:rPr>
        <w:t>China — Q2 GDP prints mixed: headline misses, June activity beats; record trade surplus</w:t>
      </w:r>
    </w:p>
    <w:p>
      <w:pPr>
        <w:spacing w:after="80" w:line="283" w:lineRule="auto"/>
      </w:pPr>
      <w:r>
        <w:rPr>
          <w:rFonts w:ascii="Public Sans" w:hAnsi="Public Sans"/>
          <w:b w:val="0"/>
          <w:i/>
          <w:color w:val="3D3E3E"/>
          <w:sz w:val="19"/>
        </w:rPr>
        <w:t>Flagships read: GS "Trade growth accelerated further in June" (18092) + "15th FYP for Expanding Consumption" (18093); JPM "China: Trade resilient, but hard to sustain growth alone" (18216); Barclays "China: Booming yet bifurcated exports" (18117); UBS China Economic Comment "Another positive surprise in exports" (18231); Nomura "Li Qiang urges countercyclical policy" (18156) + "Growth of both exports and imports surged" (18161); DB China Macro (18090 consumption pivot / 18091 trade surge); HSBC "China trade: Surging higher" (18098) + China Macro Tracker (18359); ANZ China trade (18115/18085); Citi "AI Supercycle Powers a Structural Export Upswing" (18122); StanC "Infrastructure spending likely to pick up in H2" (18082, carried).</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36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24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22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245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336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36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24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Q2 GDP mixed — headline 4.3% miss, June activity beat</w:t>
            </w:r>
          </w:p>
        </w:tc>
        <w:tc>
          <w:tcPr>
            <w:tcW w:type="dxa" w:w="122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 CNH, equities</w:t>
            </w:r>
          </w:p>
        </w:tc>
        <w:tc>
          <w:tcPr>
            <w:tcW w:type="dxa" w:w="245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UBS, StanC, Nomura</w:t>
            </w:r>
          </w:p>
        </w:tc>
        <w:tc>
          <w:tcPr>
            <w:tcW w:type="dxa" w:w="33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Weakest sequential since 2022, but IP + retail firmer than expected</w:t>
            </w:r>
          </w:p>
        </w:tc>
      </w:tr>
      <w:tr>
        <w:tc>
          <w:tcPr>
            <w:tcW w:type="dxa" w:w="36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24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Record June trade surplus ($125.6bn)</w:t>
            </w:r>
          </w:p>
        </w:tc>
        <w:tc>
          <w:tcPr>
            <w:tcW w:type="dxa" w:w="122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CNH, rates, equities</w:t>
            </w:r>
          </w:p>
        </w:tc>
        <w:tc>
          <w:tcPr>
            <w:tcW w:type="dxa" w:w="245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GS, JPM, Barclays, UBS, Nomura, HSBC, DB</w:t>
            </w:r>
          </w:p>
        </w:tc>
        <w:tc>
          <w:tcPr>
            <w:tcW w:type="dxa" w:w="33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Export machine offsets soft domestic demand — the growth engine</w:t>
            </w:r>
          </w:p>
        </w:tc>
      </w:tr>
      <w:tr>
        <w:tc>
          <w:tcPr>
            <w:tcW w:type="dxa" w:w="36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24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H2 "countercyclical" policy signalled</w:t>
            </w:r>
          </w:p>
        </w:tc>
        <w:tc>
          <w:tcPr>
            <w:tcW w:type="dxa" w:w="122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 equities</w:t>
            </w:r>
          </w:p>
        </w:tc>
        <w:tc>
          <w:tcPr>
            <w:tcW w:type="dxa" w:w="245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Nomura, StanC, DB</w:t>
            </w:r>
          </w:p>
        </w:tc>
        <w:tc>
          <w:tcPr>
            <w:tcW w:type="dxa" w:w="336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Li Qiang urges stepped-up support; H2 infra re-acceleration</w:t>
            </w:r>
          </w:p>
        </w:tc>
      </w:tr>
      <w:tr>
        <w:tc>
          <w:tcPr>
            <w:tcW w:type="dxa" w:w="36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324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Exports "bifurcated" — price not volume</w:t>
            </w:r>
          </w:p>
        </w:tc>
        <w:tc>
          <w:tcPr>
            <w:tcW w:type="dxa" w:w="122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Equities</w:t>
            </w:r>
          </w:p>
        </w:tc>
        <w:tc>
          <w:tcPr>
            <w:tcW w:type="dxa" w:w="245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Barclays, GS, Citi</w:t>
            </w:r>
          </w:p>
        </w:tc>
        <w:tc>
          <w:tcPr>
            <w:tcW w:type="dxa" w:w="336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Semis value +121.9% but volume −0.5% — AI-price-led, not broad</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China's Q2 GDP delivered a two-sided print. </w:t>
      </w:r>
      <w:r>
        <w:rPr>
          <w:rFonts w:ascii="Public Sans" w:hAnsi="Public Sans"/>
          <w:b/>
          <w:i w:val="0"/>
          <w:color w:val="3D3E3E"/>
          <w:sz w:val="19"/>
        </w:rPr>
        <w:t>Headline growth came in at 4.3% y/y</w:t>
      </w:r>
      <w:r>
        <w:rPr>
          <w:rFonts w:ascii="Public Sans" w:hAnsi="Public Sans"/>
          <w:b w:val="0"/>
          <w:i w:val="0"/>
          <w:color w:val="3D3E3E"/>
          <w:sz w:val="19"/>
        </w:rPr>
        <w:t xml:space="preserve"> (cb_events 60929; survey 4.5%, forecast 4.6%, from 5.0% in Q1) — a </w:t>
      </w:r>
      <w:r>
        <w:rPr>
          <w:rFonts w:ascii="Public Sans" w:hAnsi="Public Sans"/>
          <w:b/>
          <w:i w:val="0"/>
          <w:color w:val="3D3E3E"/>
          <w:sz w:val="19"/>
        </w:rPr>
        <w:t>miss</w:t>
      </w:r>
      <w:r>
        <w:rPr>
          <w:rFonts w:ascii="Public Sans" w:hAnsi="Public Sans"/>
          <w:b w:val="0"/>
          <w:i w:val="0"/>
          <w:color w:val="3D3E3E"/>
          <w:sz w:val="19"/>
        </w:rPr>
        <w:t xml:space="preserve">, and with the sequential pace at </w:t>
      </w:r>
      <w:r>
        <w:rPr>
          <w:rFonts w:ascii="Public Sans" w:hAnsi="Public Sans"/>
          <w:b/>
          <w:i w:val="0"/>
          <w:color w:val="3D3E3E"/>
          <w:sz w:val="19"/>
        </w:rPr>
        <w:t>0.9% qoq</w:t>
      </w:r>
      <w:r>
        <w:rPr>
          <w:rFonts w:ascii="Public Sans" w:hAnsi="Public Sans"/>
          <w:b w:val="0"/>
          <w:i w:val="0"/>
          <w:color w:val="3D3E3E"/>
          <w:sz w:val="19"/>
        </w:rPr>
        <w:t xml:space="preserve"> (60933; in line with survey, below the 1.0% forecast) the </w:t>
      </w:r>
      <w:r>
        <w:rPr>
          <w:rFonts w:ascii="Public Sans" w:hAnsi="Public Sans"/>
          <w:b/>
          <w:i w:val="0"/>
          <w:color w:val="3D3E3E"/>
          <w:sz w:val="19"/>
        </w:rPr>
        <w:t>weakest sequential quarter since 2022</w:t>
      </w:r>
      <w:r>
        <w:rPr>
          <w:rFonts w:ascii="Public Sans" w:hAnsi="Public Sans"/>
          <w:b w:val="0"/>
          <w:i w:val="0"/>
          <w:color w:val="3D3E3E"/>
          <w:sz w:val="19"/>
        </w:rPr>
        <w:t xml:space="preserve">. Fixed-asset investment stayed weak at </w:t>
      </w:r>
      <w:r>
        <w:rPr>
          <w:rFonts w:ascii="Public Sans" w:hAnsi="Public Sans"/>
          <w:b/>
          <w:i w:val="0"/>
          <w:color w:val="3D3E3E"/>
          <w:sz w:val="19"/>
        </w:rPr>
        <w:t>−5.7% ytd</w:t>
      </w:r>
      <w:r>
        <w:rPr>
          <w:rFonts w:ascii="Public Sans" w:hAnsi="Public Sans"/>
          <w:b w:val="0"/>
          <w:i w:val="0"/>
          <w:color w:val="3D3E3E"/>
          <w:sz w:val="19"/>
        </w:rPr>
        <w:t xml:space="preserve"> (60932; worse than the −4.9% survey). But June activity ran </w:t>
      </w:r>
      <w:r>
        <w:rPr>
          <w:rFonts w:ascii="Public Sans" w:hAnsi="Public Sans"/>
          <w:b/>
          <w:i w:val="0"/>
          <w:color w:val="3D3E3E"/>
          <w:sz w:val="19"/>
        </w:rPr>
        <w:t>firmer than expected</w:t>
      </w:r>
      <w:r>
        <w:rPr>
          <w:rFonts w:ascii="Public Sans" w:hAnsi="Public Sans"/>
          <w:b w:val="0"/>
          <w:i w:val="0"/>
          <w:color w:val="3D3E3E"/>
          <w:sz w:val="19"/>
        </w:rPr>
        <w:t xml:space="preserve">: </w:t>
      </w:r>
      <w:r>
        <w:rPr>
          <w:rFonts w:ascii="Public Sans" w:hAnsi="Public Sans"/>
          <w:b/>
          <w:i w:val="0"/>
          <w:color w:val="3D3E3E"/>
          <w:sz w:val="19"/>
        </w:rPr>
        <w:t>industrial production 5.3% y/y</w:t>
      </w:r>
      <w:r>
        <w:rPr>
          <w:rFonts w:ascii="Public Sans" w:hAnsi="Public Sans"/>
          <w:b w:val="0"/>
          <w:i w:val="0"/>
          <w:color w:val="3D3E3E"/>
          <w:sz w:val="19"/>
        </w:rPr>
        <w:t xml:space="preserve"> (60930; survey 4.6%) and </w:t>
      </w:r>
      <w:r>
        <w:rPr>
          <w:rFonts w:ascii="Public Sans" w:hAnsi="Public Sans"/>
          <w:b/>
          <w:i w:val="0"/>
          <w:color w:val="3D3E3E"/>
          <w:sz w:val="19"/>
        </w:rPr>
        <w:t>retail sales turned positive at +1.0%</w:t>
      </w:r>
      <w:r>
        <w:rPr>
          <w:rFonts w:ascii="Public Sans" w:hAnsi="Public Sans"/>
          <w:b w:val="0"/>
          <w:i w:val="0"/>
          <w:color w:val="3D3E3E"/>
          <w:sz w:val="19"/>
        </w:rPr>
        <w:t xml:space="preserve"> (60931; survey −0.1%, prior −0.6%) — the first positive retail print in the run — with </w:t>
      </w:r>
      <w:r>
        <w:rPr>
          <w:rFonts w:ascii="Public Sans" w:hAnsi="Public Sans"/>
          <w:b/>
          <w:i w:val="0"/>
          <w:color w:val="3D3E3E"/>
          <w:sz w:val="19"/>
        </w:rPr>
        <w:t>industrial capacity utilisation 73%</w:t>
      </w:r>
      <w:r>
        <w:rPr>
          <w:rFonts w:ascii="Public Sans" w:hAnsi="Public Sans"/>
          <w:b w:val="0"/>
          <w:i w:val="0"/>
          <w:color w:val="3D3E3E"/>
          <w:sz w:val="19"/>
        </w:rPr>
        <w:t xml:space="preserve"> (60934) and unemployment easing to </w:t>
      </w:r>
      <w:r>
        <w:rPr>
          <w:rFonts w:ascii="Public Sans" w:hAnsi="Public Sans"/>
          <w:b/>
          <w:i w:val="0"/>
          <w:color w:val="3D3E3E"/>
          <w:sz w:val="19"/>
        </w:rPr>
        <w:t>5.0%</w:t>
      </w:r>
      <w:r>
        <w:rPr>
          <w:rFonts w:ascii="Public Sans" w:hAnsi="Public Sans"/>
          <w:b w:val="0"/>
          <w:i w:val="0"/>
          <w:color w:val="3D3E3E"/>
          <w:sz w:val="19"/>
        </w:rPr>
        <w:t xml:space="preserve"> (60935, from 5.1%). The net is a mixed, stabilising-on-stimulus read: the level of growth disappointed but the momentum in the two most-watched activity gauges improved. The 07-15 CNH/equity reaction is still forming. This sits on top of a </w:t>
      </w:r>
      <w:r>
        <w:rPr>
          <w:rFonts w:ascii="Public Sans" w:hAnsi="Public Sans"/>
          <w:b/>
          <w:i w:val="0"/>
          <w:color w:val="3D3E3E"/>
          <w:sz w:val="19"/>
        </w:rPr>
        <w:t>record June trade surplus</w:t>
      </w:r>
      <w:r>
        <w:rPr>
          <w:rFonts w:ascii="Public Sans" w:hAnsi="Public Sans"/>
          <w:b w:val="0"/>
          <w:i w:val="0"/>
          <w:color w:val="3D3E3E"/>
          <w:sz w:val="19"/>
        </w:rPr>
        <w:t xml:space="preserve"> (cb_events 60864-60866): $125.6bn (from $105.4bn), </w:t>
      </w:r>
      <w:r>
        <w:rPr>
          <w:rFonts w:ascii="Public Sans" w:hAnsi="Public Sans"/>
          <w:b/>
          <w:i w:val="0"/>
          <w:color w:val="3D3E3E"/>
          <w:sz w:val="19"/>
        </w:rPr>
        <w:t>exports +27% yoy, imports +36% yoy</w:t>
      </w:r>
      <w:r>
        <w:rPr>
          <w:rFonts w:ascii="Public Sans" w:hAnsi="Public Sans"/>
          <w:b w:val="0"/>
          <w:i w:val="0"/>
          <w:color w:val="3D3E3E"/>
          <w:sz w:val="19"/>
        </w:rPr>
        <w:t xml:space="preserve"> — both far above consensus. </w:t>
      </w:r>
      <w:r>
        <w:rPr>
          <w:rFonts w:ascii="Public Sans" w:hAnsi="Public Sans"/>
          <w:b/>
          <w:i w:val="0"/>
          <w:color w:val="3D3E3E"/>
          <w:sz w:val="19"/>
        </w:rPr>
        <w:t>GS (18092):</w:t>
      </w:r>
      <w:r>
        <w:rPr>
          <w:rFonts w:ascii="Public Sans" w:hAnsi="Public Sans"/>
          <w:b w:val="0"/>
          <w:i w:val="0"/>
          <w:color w:val="3D3E3E"/>
          <w:sz w:val="19"/>
        </w:rPr>
        <w:t xml:space="preserve"> sequential exports +6.9% sa non-annualised, led by AI-related products and autos (motor-vehicle exports +69.6% yoy, aluminium +77%); semiconductor export </w:t>
      </w:r>
      <w:r>
        <w:rPr>
          <w:rFonts w:ascii="Public Sans" w:hAnsi="Public Sans"/>
          <w:b w:val="0"/>
          <w:i/>
          <w:color w:val="3D3E3E"/>
          <w:sz w:val="19"/>
        </w:rPr>
        <w:t>value</w:t>
      </w:r>
      <w:r>
        <w:rPr>
          <w:rFonts w:ascii="Public Sans" w:hAnsi="Public Sans"/>
          <w:b w:val="0"/>
          <w:i w:val="0"/>
          <w:color w:val="3D3E3E"/>
          <w:sz w:val="19"/>
        </w:rPr>
        <w:t xml:space="preserve"> rose +121.9% yoy but </w:t>
      </w:r>
      <w:r>
        <w:rPr>
          <w:rFonts w:ascii="Public Sans" w:hAnsi="Public Sans"/>
          <w:b w:val="0"/>
          <w:i/>
          <w:color w:val="3D3E3E"/>
          <w:sz w:val="19"/>
        </w:rPr>
        <w:t>volume</w:t>
      </w:r>
      <w:r>
        <w:rPr>
          <w:rFonts w:ascii="Public Sans" w:hAnsi="Public Sans"/>
          <w:b w:val="0"/>
          <w:i w:val="0"/>
          <w:color w:val="3D3E3E"/>
          <w:sz w:val="19"/>
        </w:rPr>
        <w:t xml:space="preserve"> fell −0.5% — strength is price, not units; exports to the US decelerated (+13.9% yoy vs +35.4% May) while ASEAN (+34.5%) stayed strong. </w:t>
      </w:r>
      <w:r>
        <w:rPr>
          <w:rFonts w:ascii="Public Sans" w:hAnsi="Public Sans"/>
          <w:b/>
          <w:i w:val="0"/>
          <w:color w:val="3D3E3E"/>
          <w:sz w:val="19"/>
        </w:rPr>
        <w:t>Barclays (18117):</w:t>
      </w:r>
      <w:r>
        <w:rPr>
          <w:rFonts w:ascii="Public Sans" w:hAnsi="Public Sans"/>
          <w:b w:val="0"/>
          <w:i w:val="0"/>
          <w:color w:val="3D3E3E"/>
          <w:sz w:val="19"/>
        </w:rPr>
        <w:t xml:space="preserve"> "booming yet bifurcated." </w:t>
      </w:r>
      <w:r>
        <w:rPr>
          <w:rFonts w:ascii="Public Sans" w:hAnsi="Public Sans"/>
          <w:b/>
          <w:i w:val="0"/>
          <w:color w:val="3D3E3E"/>
          <w:sz w:val="19"/>
        </w:rPr>
        <w:t>UBS (18231):</w:t>
      </w:r>
      <w:r>
        <w:rPr>
          <w:rFonts w:ascii="Public Sans" w:hAnsi="Public Sans"/>
          <w:b w:val="0"/>
          <w:i w:val="0"/>
          <w:color w:val="3D3E3E"/>
          <w:sz w:val="19"/>
        </w:rPr>
        <w:t xml:space="preserve"> "another positive surprise" in exports. </w:t>
      </w:r>
      <w:r>
        <w:rPr>
          <w:rFonts w:ascii="Public Sans" w:hAnsi="Public Sans"/>
          <w:b/>
          <w:i w:val="0"/>
          <w:color w:val="3D3E3E"/>
          <w:sz w:val="19"/>
        </w:rPr>
        <w:t>JPM (18216):</w:t>
      </w:r>
      <w:r>
        <w:rPr>
          <w:rFonts w:ascii="Public Sans" w:hAnsi="Public Sans"/>
          <w:b w:val="0"/>
          <w:i w:val="0"/>
          <w:color w:val="3D3E3E"/>
          <w:sz w:val="19"/>
        </w:rPr>
        <w:t xml:space="preserve"> trade is resilient but "hard to sustain growth alone" — the activity beat is the counterpoint. </w:t>
      </w:r>
      <w:r>
        <w:rPr>
          <w:rFonts w:ascii="Public Sans" w:hAnsi="Public Sans"/>
          <w:b/>
          <w:i w:val="0"/>
          <w:color w:val="3D3E3E"/>
          <w:sz w:val="19"/>
        </w:rPr>
        <w:t>Nomura (18156):</w:t>
      </w:r>
      <w:r>
        <w:rPr>
          <w:rFonts w:ascii="Public Sans" w:hAnsi="Public Sans"/>
          <w:b w:val="0"/>
          <w:i w:val="0"/>
          <w:color w:val="3D3E3E"/>
          <w:sz w:val="19"/>
        </w:rPr>
        <w:t xml:space="preserve"> at a 13-July symposium Premier Li Qiang urged "countercyclical" policy be "stepped up again" in H2; </w:t>
      </w:r>
      <w:r>
        <w:rPr>
          <w:rFonts w:ascii="Public Sans" w:hAnsi="Public Sans"/>
          <w:b/>
          <w:i w:val="0"/>
          <w:color w:val="3D3E3E"/>
          <w:sz w:val="19"/>
        </w:rPr>
        <w:t>StanC (18082):</w:t>
      </w:r>
      <w:r>
        <w:rPr>
          <w:rFonts w:ascii="Public Sans" w:hAnsi="Public Sans"/>
          <w:b w:val="0"/>
          <w:i w:val="0"/>
          <w:color w:val="3D3E3E"/>
          <w:sz w:val="19"/>
        </w:rPr>
        <w:t xml:space="preserve"> H2 infrastructure should pick up using the existing quota. CNH firmed +0.18% DoD; HIBOR backed up (2y +6.3bp / 10y +4.3bp — the Asian close, pre-US-CPI), and Hong Kong equities rose (HSI +0.52%, HSCE +0.46%).</w:t>
      </w:r>
    </w:p>
    <w:p>
      <w:pPr>
        <w:spacing w:after="80" w:line="283" w:lineRule="auto"/>
      </w:pPr>
      <w:r>
        <w:rPr>
          <w:rFonts w:ascii="Public Sans" w:hAnsi="Public Sans"/>
          <w:b w:val="0"/>
          <w:i w:val="0"/>
          <w:color w:val="3D3E3E"/>
          <w:sz w:val="19"/>
        </w:rPr>
        <w:t>spiderchart</w:t>
      </w:r>
    </w:p>
    <w:p>
      <w:pPr>
        <w:spacing w:after="80" w:line="283" w:lineRule="auto"/>
      </w:pPr>
      <w:r>
        <w:rPr>
          <w:rFonts w:ascii="Public Sans" w:hAnsi="Public Sans"/>
          <w:b w:val="0"/>
          <w:i w:val="0"/>
          <w:color w:val="3D3E3E"/>
          <w:sz w:val="19"/>
        </w:rPr>
        <w:t>{"type":"bar","title":"China Q2: headline GDP missed, but June IP and retail beat","caption":"Grounded: calendar.cb_events (ids 60929/60930/60931), printed actual vs survey. Headline GDP y/y undershot while industrial production and retail sales came in above consensus — a mixed, stabilising-on-stimulus print. Retail turned positive (+1.0%) against a call for a further contraction.","series":[{"name":"Actual","color":"#2b5a86","points":[["GDP y/y",4.3],["IP y/y",5.3],["Retail y/y",1.0]]},{"name":"Survey","color":"#b5761f","points":[["GDP y/y",4.5],["IP y/y",4.6],["Retail y/y",-0.1]]}]}</w:t>
      </w:r>
    </w:p>
    <w:p>
      <w:pPr>
        <w:spacing w:after="80" w:line="283" w:lineRule="auto"/>
      </w:pPr>
    </w:p>
    <w:p>
      <w:pPr>
        <w:spacing w:before="120" w:after="40"/>
        <w:keepNext/>
      </w:pPr>
      <w:r>
        <w:rPr>
          <w:rFonts w:ascii="Public Sans" w:hAnsi="Public Sans"/>
          <w:b/>
          <w:i w:val="0"/>
          <w:color w:val="001830"/>
          <w:sz w:val="19"/>
        </w:rPr>
        <w:t>C · Consensus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219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38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246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214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246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w:t>
            </w:r>
          </w:p>
        </w:tc>
      </w:tr>
      <w:tr>
        <w:tc>
          <w:tcPr>
            <w:tcW w:type="dxa" w:w="219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Exports strong but price/AI-driven and bifurcated</w:t>
            </w:r>
          </w:p>
        </w:tc>
        <w:tc>
          <w:tcPr>
            <w:tcW w:type="dxa" w:w="138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Barclays, UBS, HSBC, Nomura</w:t>
            </w:r>
          </w:p>
        </w:tc>
        <w:tc>
          <w:tcPr>
            <w:tcW w:type="dxa" w:w="24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Record surplus; semis value up on price, volume flat</w:t>
            </w:r>
          </w:p>
        </w:tc>
        <w:tc>
          <w:tcPr>
            <w:tcW w:type="dxa" w:w="214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Semis +121.9% value / −0.5% volume; autos +69.6%</w:t>
            </w:r>
          </w:p>
        </w:tc>
        <w:tc>
          <w:tcPr>
            <w:tcW w:type="dxa" w:w="24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June activity beat (IP 5.3%, retail +1.0%) partly answers the domestic-demand doubt</w:t>
            </w:r>
          </w:p>
        </w:tc>
      </w:tr>
      <w:tr>
        <w:tc>
          <w:tcPr>
            <w:tcW w:type="dxa" w:w="219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H2 needs / will get more policy support</w:t>
            </w:r>
          </w:p>
        </w:tc>
        <w:tc>
          <w:tcPr>
            <w:tcW w:type="dxa" w:w="138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Nomura, StanC, DB</w:t>
            </w:r>
          </w:p>
        </w:tc>
        <w:tc>
          <w:tcPr>
            <w:tcW w:type="dxa" w:w="24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Countercyclical support steps up; H2 infra re-accelerates</w:t>
            </w:r>
          </w:p>
        </w:tc>
        <w:tc>
          <w:tcPr>
            <w:tcW w:type="dxa" w:w="214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Li Qiang symposium; existing LGSB quota</w:t>
            </w:r>
          </w:p>
        </w:tc>
        <w:tc>
          <w:tcPr>
            <w:tcW w:type="dxa" w:w="24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Magnitude — the headline GDP miss + weak FAI vs the activity beat leaves the size of any push open</w:t>
            </w:r>
          </w:p>
        </w:tc>
      </w:tr>
    </w:tbl>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27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36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51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51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47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51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2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GS</w:t>
            </w:r>
          </w:p>
        </w:tc>
        <w:tc>
          <w:tcPr>
            <w:tcW w:type="dxa" w:w="3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Equities</w:t>
            </w:r>
          </w:p>
        </w:tc>
        <w:tc>
          <w:tcPr>
            <w:tcW w:type="dxa" w:w="251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Trade + 15th FYP "supply-side push" for consumption; exports price-led, not a demand signal</w:t>
            </w:r>
          </w:p>
        </w:tc>
        <w:tc>
          <w:tcPr>
            <w:tcW w:type="dxa" w:w="251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Reads the surplus as nominal/price, not a growth-strength tell</w:t>
            </w:r>
          </w:p>
        </w:tc>
        <w:tc>
          <w:tcPr>
            <w:tcW w:type="dxa" w:w="247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AI-price effect flatters headline exports; volume flat</w:t>
            </w:r>
          </w:p>
        </w:tc>
        <w:tc>
          <w:tcPr>
            <w:tcW w:type="dxa" w:w="251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Sustained broad-based volume acceleration (the June retail beat is an early counter-signal)</w:t>
            </w:r>
          </w:p>
        </w:tc>
      </w:tr>
      <w:tr>
        <w:tc>
          <w:tcPr>
            <w:tcW w:type="dxa" w:w="2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JPM</w:t>
            </w:r>
          </w:p>
        </w:tc>
        <w:tc>
          <w:tcPr>
            <w:tcW w:type="dxa" w:w="36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Macro</w:t>
            </w:r>
          </w:p>
        </w:tc>
        <w:tc>
          <w:tcPr>
            <w:tcW w:type="dxa" w:w="251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Trade resilient but "hard to sustain growth alone" — domestic demand the binding constraint</w:t>
            </w:r>
          </w:p>
        </w:tc>
        <w:tc>
          <w:tcPr>
            <w:tcW w:type="dxa" w:w="251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Least willing to read the trade beat as a growth upgrade</w:t>
            </w:r>
          </w:p>
        </w:tc>
        <w:tc>
          <w:tcPr>
            <w:tcW w:type="dxa" w:w="247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External strength doesn't fix domestic weakness</w:t>
            </w:r>
          </w:p>
        </w:tc>
        <w:tc>
          <w:tcPr>
            <w:tcW w:type="dxa" w:w="251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 run of firmer domestic prints (June IP + retail already beat)</w:t>
            </w:r>
          </w:p>
        </w:tc>
      </w:tr>
      <w:tr>
        <w:tc>
          <w:tcPr>
            <w:tcW w:type="dxa" w:w="2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Citi</w:t>
            </w:r>
          </w:p>
        </w:tc>
        <w:tc>
          <w:tcPr>
            <w:tcW w:type="dxa" w:w="36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Equities</w:t>
            </w:r>
          </w:p>
        </w:tc>
        <w:tc>
          <w:tcPr>
            <w:tcW w:type="dxa" w:w="251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An "AI Supercycle" powers a </w:t>
            </w:r>
            <w:r>
              <w:rPr>
                <w:rFonts w:ascii="Public Sans" w:hAnsi="Public Sans"/>
                <w:b w:val="0"/>
                <w:i/>
                <w:color w:val="3D3E3E"/>
                <w:sz w:val="16"/>
              </w:rPr>
              <w:t>structural</w:t>
            </w:r>
            <w:r>
              <w:rPr>
                <w:rFonts w:ascii="Public Sans" w:hAnsi="Public Sans"/>
                <w:b w:val="0"/>
                <w:i w:val="0"/>
                <w:color w:val="3D3E3E"/>
                <w:sz w:val="16"/>
              </w:rPr>
              <w:t xml:space="preserve"> export upswing</w:t>
            </w:r>
          </w:p>
        </w:tc>
        <w:tc>
          <w:tcPr>
            <w:tcW w:type="dxa" w:w="251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Frames the semis strength as durable/structural, not a one-off price effect</w:t>
            </w:r>
          </w:p>
        </w:tc>
        <w:tc>
          <w:tcPr>
            <w:tcW w:type="dxa" w:w="247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AI-capex demand persists; not just a price spike</w:t>
            </w:r>
          </w:p>
        </w:tc>
        <w:tc>
          <w:tcPr>
            <w:tcW w:type="dxa" w:w="251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semis price effect fades / volume stays flat</w:t>
            </w:r>
          </w:p>
        </w:tc>
      </w:tr>
    </w:tbl>
    <w:p>
      <w:pPr>
        <w:spacing w:after="80" w:line="283" w:lineRule="auto"/>
      </w:pPr>
      <w:r>
        <w:rPr>
          <w:rFonts w:ascii="Public Sans" w:hAnsi="Public Sans"/>
          <w:b w:val="0"/>
          <w:i w:val="0"/>
          <w:color w:val="3D3E3E"/>
          <w:sz w:val="19"/>
        </w:rPr>
        <w:t xml:space="preserve">Trade rows: none direct (China expressed via CNH/HK). </w:t>
      </w:r>
      <w:r>
        <w:rPr>
          <w:rFonts w:ascii="Public Sans" w:hAnsi="Public Sans"/>
          <w:b/>
          <w:i w:val="0"/>
          <w:color w:val="3D3E3E"/>
          <w:sz w:val="19"/>
        </w:rPr>
        <w:t>DEPTH:</w:t>
      </w:r>
      <w:r>
        <w:rPr>
          <w:rFonts w:ascii="Public Sans" w:hAnsi="Public Sans"/>
          <w:b w:val="0"/>
          <w:i w:val="0"/>
          <w:color w:val="3D3E3E"/>
          <w:sz w:val="19"/>
        </w:rPr>
        <w:t xml:space="preserve"> China econ.fact_indicator deep (HK/CN loaded); Q2 GDP + June activity (IP/retail/FAI) and June trade are all FACT in cb_events (60929-60935, 60864-60866). </w:t>
      </w:r>
      <w:r>
        <w:rPr>
          <w:rFonts w:ascii="Public Sans" w:hAnsi="Public Sans"/>
          <w:b/>
          <w:i w:val="0"/>
          <w:color w:val="3D3E3E"/>
          <w:sz w:val="19"/>
        </w:rPr>
        <w:t>Flags:</w:t>
      </w:r>
      <w:r>
        <w:rPr>
          <w:rFonts w:ascii="Public Sans" w:hAnsi="Public Sans"/>
          <w:b w:val="0"/>
          <w:i w:val="0"/>
          <w:color w:val="3D3E3E"/>
          <w:sz w:val="19"/>
        </w:rPr>
        <w:t xml:space="preserve"> the 07-15 CNH/equity reaction to the print is still developing; a detailed by-country/product trade breakdown is due 20-Jul (GS).</w:t>
      </w:r>
    </w:p>
    <w:p>
      <w:pPr>
        <w:spacing w:before="200" w:after="60"/>
        <w:keepNext/>
        <w:pBdr>
          <w:bottom w:val="single" w:sz="4" w:space="2" w:color="E0E9E4"/>
        </w:pBdr>
      </w:pPr>
      <w:r>
        <w:rPr>
          <w:rFonts w:ascii="Georgia" w:hAnsi="Georgia"/>
          <w:b/>
          <w:color w:val="4D806A"/>
          <w:sz w:val="23"/>
        </w:rPr>
        <w:t>Japan — The long end keeps richening on the GPIF/Katayama repatriation theme</w:t>
      </w:r>
    </w:p>
    <w:p>
      <w:pPr>
        <w:spacing w:after="80" w:line="283" w:lineRule="auto"/>
      </w:pPr>
      <w:r>
        <w:rPr>
          <w:rFonts w:ascii="Public Sans" w:hAnsi="Public Sans"/>
          <w:b w:val="0"/>
          <w:i/>
          <w:color w:val="3D3E3E"/>
          <w:sz w:val="19"/>
        </w:rPr>
        <w:t>Flagships read: Citi "Will Japanese pension funds repatriate investment?" (18123) + "The BoJ's JGB Holdings as of July 10" (18348) + The Point for Japan (18319); Nomura Japan Economic Weekly (18291) + Yen Rates Daily Monitor (18159) + Yen RV Analytics (18158) + JPY Intraday (18222) + Japan Research Pack (18368); GS "CPI Base-Year Revision" (18138) + GS Tokyo Daily (18357) + JGBs note (18351); UBS Japan Economic Comment "Limited impact of 2025 benchmark change" (18106); MS "The Viewpoint: 10 questions about BoJ policy" (18288); BNP "JPY rates: long 10s20s box" (18063); Barclays "GPIF FY25 rebalancing" (18062, carried).</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45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55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68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204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393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45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55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GPIF/Katayama repatriation caps the long end</w:t>
            </w:r>
          </w:p>
        </w:tc>
        <w:tc>
          <w:tcPr>
            <w:tcW w:type="dxa" w:w="6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JGBs, JPY</w:t>
            </w:r>
          </w:p>
        </w:tc>
        <w:tc>
          <w:tcPr>
            <w:tcW w:type="dxa" w:w="204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 Nomura, BNP, Barclays</w:t>
            </w:r>
          </w:p>
        </w:tc>
        <w:tc>
          <w:tcPr>
            <w:tcW w:type="dxa" w:w="393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10-20y JGBs richer; JPY-supportive flow</w:t>
            </w:r>
          </w:p>
        </w:tc>
      </w:tr>
      <w:tr>
        <w:tc>
          <w:tcPr>
            <w:tcW w:type="dxa" w:w="45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55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Govt revising Basic Policy MP wording</w:t>
            </w:r>
          </w:p>
        </w:tc>
        <w:tc>
          <w:tcPr>
            <w:tcW w:type="dxa" w:w="6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204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Nomura</w:t>
            </w:r>
          </w:p>
        </w:tc>
        <w:tc>
          <w:tcPr>
            <w:tcW w:type="dxa" w:w="393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After the long-end rise; still favours accommodation</w:t>
            </w:r>
          </w:p>
        </w:tc>
      </w:tr>
      <w:tr>
        <w:tc>
          <w:tcPr>
            <w:tcW w:type="dxa" w:w="45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55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June hike "retrospectively" supported</w:t>
            </w:r>
          </w:p>
        </w:tc>
        <w:tc>
          <w:tcPr>
            <w:tcW w:type="dxa" w:w="68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204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Nomura</w:t>
            </w:r>
          </w:p>
        </w:tc>
        <w:tc>
          <w:tcPr>
            <w:tcW w:type="dxa" w:w="393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Branch managers report proactive price hikes</w:t>
            </w:r>
          </w:p>
        </w:tc>
      </w:tr>
      <w:tr>
        <w:tc>
          <w:tcPr>
            <w:tcW w:type="dxa" w:w="45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355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CPI base-year revision (Jan-Jun to be restated)</w:t>
            </w:r>
          </w:p>
        </w:tc>
        <w:tc>
          <w:tcPr>
            <w:tcW w:type="dxa" w:w="68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204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GS, UBS</w:t>
            </w:r>
          </w:p>
        </w:tc>
        <w:tc>
          <w:tcPr>
            <w:tcW w:type="dxa" w:w="393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Data-continuity issue; limited signal impact</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Japan's long end kept rallying on the pension-repatriation theme. </w:t>
      </w:r>
      <w:r>
        <w:rPr>
          <w:rFonts w:ascii="Public Sans" w:hAnsi="Public Sans"/>
          <w:b/>
          <w:i w:val="0"/>
          <w:color w:val="3D3E3E"/>
          <w:sz w:val="19"/>
        </w:rPr>
        <w:t>Citi (18123):</w:t>
      </w:r>
      <w:r>
        <w:rPr>
          <w:rFonts w:ascii="Public Sans" w:hAnsi="Public Sans"/>
          <w:b w:val="0"/>
          <w:i w:val="0"/>
          <w:color w:val="3D3E3E"/>
          <w:sz w:val="19"/>
        </w:rPr>
        <w:t xml:space="preserve"> Finance Minister Katayama's 10-July call for the GPIF and other public pension funds to invest in Japanese assets fits the Takaichi government's JPY-defence and its aim to </w:t>
      </w:r>
      <w:r>
        <w:rPr>
          <w:rFonts w:ascii="Public Sans" w:hAnsi="Public Sans"/>
          <w:b w:val="0"/>
          <w:i/>
          <w:color w:val="3D3E3E"/>
          <w:sz w:val="19"/>
        </w:rPr>
        <w:t>stabilise JGB yields</w:t>
      </w:r>
      <w:r>
        <w:rPr>
          <w:rFonts w:ascii="Public Sans" w:hAnsi="Public Sans"/>
          <w:b w:val="0"/>
          <w:i w:val="0"/>
          <w:color w:val="3D3E3E"/>
          <w:sz w:val="19"/>
        </w:rPr>
        <w:t xml:space="preserve"> (critical to its public/private capex program). But Citi reads it as likely </w:t>
      </w:r>
      <w:r>
        <w:rPr>
          <w:rFonts w:ascii="Public Sans" w:hAnsi="Public Sans"/>
          <w:b/>
          <w:i w:val="0"/>
          <w:color w:val="3D3E3E"/>
          <w:sz w:val="19"/>
        </w:rPr>
        <w:t>incremental</w:t>
      </w:r>
      <w:r>
        <w:rPr>
          <w:rFonts w:ascii="Public Sans" w:hAnsi="Public Sans"/>
          <w:b w:val="0"/>
          <w:i w:val="0"/>
          <w:color w:val="3D3E3E"/>
          <w:sz w:val="19"/>
        </w:rPr>
        <w:t xml:space="preserve">: the GPIF basic-portfolio review is not due until late 2029 (any change applies from spring 2030), and the March-2026 annual review left the portfolio unchanged — so the near-term route is the allowance for deviation from the basic portfolio, plus corporate pension funds gradually adding JGBs on higher yields, which "should provide some support to the JPY." </w:t>
      </w:r>
      <w:r>
        <w:rPr>
          <w:rFonts w:ascii="Public Sans" w:hAnsi="Public Sans"/>
          <w:b/>
          <w:i w:val="0"/>
          <w:color w:val="3D3E3E"/>
          <w:sz w:val="19"/>
        </w:rPr>
        <w:t>Nomura (18291):</w:t>
      </w:r>
      <w:r>
        <w:rPr>
          <w:rFonts w:ascii="Public Sans" w:hAnsi="Public Sans"/>
          <w:b w:val="0"/>
          <w:i w:val="0"/>
          <w:color w:val="3D3E3E"/>
          <w:sz w:val="19"/>
        </w:rPr>
        <w:t xml:space="preserve"> the government is revising the Basic Policy wording on monetary policy after the market reaction (rising long-term rates) but will keep favouring accommodation; the July BoJ branch-managers' meeting reported solid corporate activity and proactive price hikes in response to higher oil — "retrospective support for the June rate hike," though no fresh signal on the outlook. </w:t>
      </w:r>
      <w:r>
        <w:rPr>
          <w:rFonts w:ascii="Public Sans" w:hAnsi="Public Sans"/>
          <w:b/>
          <w:i w:val="0"/>
          <w:color w:val="3D3E3E"/>
          <w:sz w:val="19"/>
        </w:rPr>
        <w:t>TONAR 10y −9.5bp DoD</w:t>
      </w:r>
      <w:r>
        <w:rPr>
          <w:rFonts w:ascii="Public Sans" w:hAnsi="Public Sans"/>
          <w:b w:val="0"/>
          <w:i w:val="0"/>
          <w:color w:val="3D3E3E"/>
          <w:sz w:val="19"/>
        </w:rPr>
        <w:t xml:space="preserve"> (richer; 2y −2.3bp) — the long-end rally is the clearest universe rates move. </w:t>
      </w:r>
      <w:r>
        <w:rPr>
          <w:rFonts w:ascii="Public Sans" w:hAnsi="Public Sans"/>
          <w:b/>
          <w:i w:val="0"/>
          <w:color w:val="3D3E3E"/>
          <w:sz w:val="19"/>
        </w:rPr>
        <w:t>GS (18138):</w:t>
      </w:r>
      <w:r>
        <w:rPr>
          <w:rFonts w:ascii="Public Sans" w:hAnsi="Public Sans"/>
          <w:b w:val="0"/>
          <w:i w:val="0"/>
          <w:color w:val="3D3E3E"/>
          <w:sz w:val="19"/>
        </w:rPr>
        <w:t xml:space="preserve"> a CPI base-year revision will restate Jan-Jun 2026 inflation (UBS 18106: "limited impact"). Equities rebounded from Monday's rout (Nikkei +0.75%, TOPIX +0.79%); June IP final was soft (0.1% m/m, −2.1% yoy). JPY ~flat (+0.14%).</w:t>
      </w:r>
    </w:p>
    <w:p>
      <w:pPr>
        <w:spacing w:before="120" w:after="40"/>
        <w:keepNext/>
      </w:pPr>
      <w:r>
        <w:rPr>
          <w:rFonts w:ascii="Public Sans" w:hAnsi="Public Sans"/>
          <w:b/>
          <w:i w:val="0"/>
          <w:color w:val="001830"/>
          <w:sz w:val="19"/>
        </w:rPr>
        <w:t>C · Consensus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243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29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167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262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262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w:t>
            </w:r>
          </w:p>
        </w:tc>
      </w:tr>
      <w:tr>
        <w:tc>
          <w:tcPr>
            <w:tcW w:type="dxa" w:w="243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Pension-repatriation flow caps/richens the long end</w:t>
            </w:r>
          </w:p>
        </w:tc>
        <w:tc>
          <w:tcPr>
            <w:tcW w:type="dxa" w:w="129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 Nomura, BNP, Barclays</w:t>
            </w:r>
          </w:p>
        </w:tc>
        <w:tc>
          <w:tcPr>
            <w:tcW w:type="dxa" w:w="16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10-20y JGBs supported; JPY tailwind</w:t>
            </w:r>
          </w:p>
        </w:tc>
        <w:tc>
          <w:tcPr>
            <w:tcW w:type="dxa" w:w="262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Katayama comments; GPIF FY25 rebalancing; TONAR 10y −9.5bp</w:t>
            </w:r>
          </w:p>
        </w:tc>
        <w:tc>
          <w:tcPr>
            <w:tcW w:type="dxa" w:w="262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Timing/size — incremental (Citi: 2029 review) vs a faster signal</w:t>
            </w:r>
          </w:p>
        </w:tc>
      </w:tr>
    </w:tbl>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27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36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50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50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50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50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27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Citi</w:t>
            </w:r>
          </w:p>
        </w:tc>
        <w:tc>
          <w:tcPr>
            <w:tcW w:type="dxa" w:w="36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JGBs/JPY</w:t>
            </w:r>
          </w:p>
        </w:tc>
        <w:tc>
          <w:tcPr>
            <w:tcW w:type="dxa" w:w="25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Repatriation is real but incremental (2029 basic-portfolio review) — corporate pensions the near-term channel</w:t>
            </w:r>
          </w:p>
        </w:tc>
        <w:tc>
          <w:tcPr>
            <w:tcW w:type="dxa" w:w="25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Tempers the repatriation narrative with the institutional timeline</w:t>
            </w:r>
          </w:p>
        </w:tc>
        <w:tc>
          <w:tcPr>
            <w:tcW w:type="dxa" w:w="25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Katayama can't change GPIF policy at will; change applies 2030</w:t>
            </w:r>
          </w:p>
        </w:tc>
        <w:tc>
          <w:tcPr>
            <w:tcW w:type="dxa" w:w="250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discretionary policy-mix change inside the deviation allowance</w:t>
            </w:r>
          </w:p>
        </w:tc>
      </w:tr>
      <w:tr>
        <w:tc>
          <w:tcPr>
            <w:tcW w:type="dxa" w:w="27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BNP</w:t>
            </w:r>
          </w:p>
        </w:tc>
        <w:tc>
          <w:tcPr>
            <w:tcW w:type="dxa" w:w="36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JGBs</w:t>
            </w:r>
          </w:p>
        </w:tc>
        <w:tc>
          <w:tcPr>
            <w:tcW w:type="dxa" w:w="250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Long 10s20s box — belly "behind the curve"</w:t>
            </w:r>
          </w:p>
        </w:tc>
        <w:tc>
          <w:tcPr>
            <w:tcW w:type="dxa" w:w="250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 specific curve expression of the flow-caps-the-long-end view</w:t>
            </w:r>
          </w:p>
        </w:tc>
        <w:tc>
          <w:tcPr>
            <w:tcW w:type="dxa" w:w="250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Flow ambiguity caps the long end; slow BoJ, weak FX</w:t>
            </w:r>
          </w:p>
        </w:tc>
        <w:tc>
          <w:tcPr>
            <w:tcW w:type="dxa" w:w="250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 credible consolidation signal / fast BoJ-to-2%</w:t>
            </w:r>
          </w:p>
        </w:tc>
      </w:tr>
    </w:tbl>
    <w:p>
      <w:pPr>
        <w:spacing w:after="80" w:line="283" w:lineRule="auto"/>
      </w:pPr>
      <w:r>
        <w:rPr>
          <w:rFonts w:ascii="Public Sans" w:hAnsi="Public Sans"/>
          <w:b w:val="0"/>
          <w:i w:val="0"/>
          <w:color w:val="3D3E3E"/>
          <w:sz w:val="19"/>
        </w:rPr>
        <w:t xml:space="preserve">Trade rows: </w:t>
      </w:r>
      <w:r>
        <w:rPr>
          <w:rFonts w:ascii="Public Sans" w:hAnsi="Public Sans"/>
          <w:b/>
          <w:i w:val="0"/>
          <w:color w:val="3D3E3E"/>
          <w:sz w:val="19"/>
        </w:rPr>
        <w:t>#8</w:t>
      </w:r>
      <w:r>
        <w:rPr>
          <w:rFonts w:ascii="Public Sans" w:hAnsi="Public Sans"/>
          <w:b w:val="0"/>
          <w:i w:val="0"/>
          <w:color w:val="3D3E3E"/>
          <w:sz w:val="19"/>
        </w:rPr>
        <w:t xml:space="preserve">. </w:t>
      </w:r>
      <w:r>
        <w:rPr>
          <w:rFonts w:ascii="Public Sans" w:hAnsi="Public Sans"/>
          <w:b/>
          <w:i w:val="0"/>
          <w:color w:val="3D3E3E"/>
          <w:sz w:val="19"/>
        </w:rPr>
        <w:t>DEPTH:</w:t>
      </w:r>
      <w:r>
        <w:rPr>
          <w:rFonts w:ascii="Public Sans" w:hAnsi="Public Sans"/>
          <w:b w:val="0"/>
          <w:i w:val="0"/>
          <w:color w:val="3D3E3E"/>
          <w:sz w:val="19"/>
        </w:rPr>
        <w:t xml:space="preserve"> Japan econ.fact_indicator thin/partial (IP final booked; most macro not loaded — see the JP econ discovery backlog). The verified anchor is the 2026-06-16 BoJ +25bp hike. </w:t>
      </w:r>
      <w:r>
        <w:rPr>
          <w:rFonts w:ascii="Public Sans" w:hAnsi="Public Sans"/>
          <w:b/>
          <w:i w:val="0"/>
          <w:color w:val="3D3E3E"/>
          <w:sz w:val="19"/>
        </w:rPr>
        <w:t>Flags:</w:t>
      </w:r>
      <w:r>
        <w:rPr>
          <w:rFonts w:ascii="Public Sans" w:hAnsi="Public Sans"/>
          <w:b w:val="0"/>
          <w:i w:val="0"/>
          <w:color w:val="3D3E3E"/>
          <w:sz w:val="19"/>
        </w:rPr>
        <w:t xml:space="preserve"> GPIF flow qualitative (VIEW); CPI base-year revision a forthcoming data change; JGB long-end is swap/OIS (fact_bond_yield EMPTY).</w:t>
      </w:r>
    </w:p>
    <w:p>
      <w:pPr>
        <w:spacing w:before="200" w:after="60"/>
        <w:keepNext/>
        <w:pBdr>
          <w:bottom w:val="single" w:sz="4" w:space="2" w:color="E0E9E4"/>
        </w:pBdr>
      </w:pPr>
      <w:r>
        <w:rPr>
          <w:rFonts w:ascii="Georgia" w:hAnsi="Georgia"/>
          <w:b/>
          <w:color w:val="4D806A"/>
          <w:sz w:val="23"/>
        </w:rPr>
        <w:t>Hong Kong — Quiet; HKD firm on the peg, HIBOR backed up, soft US CPI eases Fed-linked pressure</w:t>
      </w:r>
    </w:p>
    <w:p>
      <w:pPr>
        <w:spacing w:after="80" w:line="283" w:lineRule="auto"/>
      </w:pPr>
      <w:r>
        <w:rPr>
          <w:rFonts w:ascii="Public Sans" w:hAnsi="Public Sans"/>
          <w:b w:val="0"/>
          <w:i/>
          <w:color w:val="3D3E3E"/>
          <w:sz w:val="19"/>
        </w:rPr>
        <w:t>Flagships read: HSBC China Macro Tracker (18359, HK/China); GS Asia midday regional update (18139); Citi The Point for Asia Pacific (18347); MS China/HK Flows &amp; Positioning Monthly (18366). No dedicated HK-macro flagship in-window — HK trades off the China tape and the Fed-linked peg.</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46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22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76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99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421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4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22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Fed-linked peg; soft US CPI eases pressure</w:t>
            </w:r>
          </w:p>
        </w:tc>
        <w:tc>
          <w:tcPr>
            <w:tcW w:type="dxa" w:w="76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HKD, HIBOR</w:t>
            </w:r>
          </w:p>
        </w:tc>
        <w:tc>
          <w:tcPr>
            <w:tcW w:type="dxa" w:w="199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(peg mechanics / GS, Citi)</w:t>
            </w:r>
          </w:p>
        </w:tc>
        <w:tc>
          <w:tcPr>
            <w:tcW w:type="dxa" w:w="421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Lower US front-end relieves the linked-rate pressure into 07-15</w:t>
            </w:r>
          </w:p>
        </w:tc>
      </w:tr>
      <w:tr>
        <w:tc>
          <w:tcPr>
            <w:tcW w:type="dxa" w:w="46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22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HK equities track the China trade beat</w:t>
            </w:r>
          </w:p>
        </w:tc>
        <w:tc>
          <w:tcPr>
            <w:tcW w:type="dxa" w:w="76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Equities</w:t>
            </w:r>
          </w:p>
        </w:tc>
        <w:tc>
          <w:tcPr>
            <w:tcW w:type="dxa" w:w="199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MS, GS</w:t>
            </w:r>
          </w:p>
        </w:tc>
        <w:tc>
          <w:tcPr>
            <w:tcW w:type="dxa" w:w="421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HSI +0.52%, HSCE +0.46% on the record surplus</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Hong Kong is a genuinely quiet in-window read, trading off the China tape and the Fed-linked peg rather than any domestic catalyst. </w:t>
      </w:r>
      <w:r>
        <w:rPr>
          <w:rFonts w:ascii="Public Sans" w:hAnsi="Public Sans"/>
          <w:b/>
          <w:i w:val="0"/>
          <w:color w:val="3D3E3E"/>
          <w:sz w:val="19"/>
        </w:rPr>
        <w:t>HKD was flat (0.00% DoD)</w:t>
      </w:r>
      <w:r>
        <w:rPr>
          <w:rFonts w:ascii="Public Sans" w:hAnsi="Public Sans"/>
          <w:b w:val="0"/>
          <w:i w:val="0"/>
          <w:color w:val="3D3E3E"/>
          <w:sz w:val="19"/>
        </w:rPr>
        <w:t xml:space="preserve"> on the peg; </w:t>
      </w:r>
      <w:r>
        <w:rPr>
          <w:rFonts w:ascii="Public Sans" w:hAnsi="Public Sans"/>
          <w:b/>
          <w:i w:val="0"/>
          <w:color w:val="3D3E3E"/>
          <w:sz w:val="19"/>
        </w:rPr>
        <w:t>HIBOR backed up (2y +6.3bp / 10y +4.3bp)</w:t>
      </w:r>
      <w:r>
        <w:rPr>
          <w:rFonts w:ascii="Public Sans" w:hAnsi="Public Sans"/>
          <w:b w:val="0"/>
          <w:i w:val="0"/>
          <w:color w:val="3D3E3E"/>
          <w:sz w:val="19"/>
        </w:rPr>
        <w:t xml:space="preserve"> — but that last tick is the Tuesday Asian close, </w:t>
      </w:r>
      <w:r>
        <w:rPr>
          <w:rFonts w:ascii="Public Sans" w:hAnsi="Public Sans"/>
          <w:b w:val="0"/>
          <w:i/>
          <w:color w:val="3D3E3E"/>
          <w:sz w:val="19"/>
        </w:rPr>
        <w:t>before</w:t>
      </w:r>
      <w:r>
        <w:rPr>
          <w:rFonts w:ascii="Public Sans" w:hAnsi="Public Sans"/>
          <w:b w:val="0"/>
          <w:i w:val="0"/>
          <w:color w:val="3D3E3E"/>
          <w:sz w:val="19"/>
        </w:rPr>
        <w:t xml:space="preserve"> the soft US CPI, so it carries the pre-print hawkish/Fed-linked tone; the soft US front-end (SOFR 2y −8.8bp) should relieve that pressure on the 07-15 session. HK equities tracked the record China trade surplus higher (HSI +0.52%, HSCE +0.46%, HSTECH +0.07%). The one thing to watch: HK unemployment prints 17-Jul (prior 3.7%). No house floated a fresh HK-specific rates or FX trade in-window.</w:t>
      </w:r>
    </w:p>
    <w:p>
      <w:pPr>
        <w:spacing w:after="80" w:line="283" w:lineRule="auto"/>
      </w:pPr>
      <w:r>
        <w:rPr>
          <w:rFonts w:ascii="Public Sans" w:hAnsi="Public Sans"/>
          <w:b/>
          <w:i w:val="0"/>
          <w:color w:val="3D3E3E"/>
          <w:sz w:val="19"/>
        </w:rPr>
        <w:t>C · Consensus views</w:t>
      </w:r>
      <w:r>
        <w:rPr>
          <w:rFonts w:ascii="Public Sans" w:hAnsi="Public Sans"/>
          <w:b w:val="0"/>
          <w:i w:val="0"/>
          <w:color w:val="3D3E3E"/>
          <w:sz w:val="19"/>
        </w:rPr>
        <w:t xml:space="preserve"> No independent HK-specific macro cluster in-window; HK sits inside the China-trade and Fed-linked-peg reads above.</w:t>
      </w:r>
    </w:p>
    <w:p>
      <w:pPr>
        <w:spacing w:after="80" w:line="283" w:lineRule="auto"/>
      </w:pPr>
      <w:r>
        <w:rPr>
          <w:rFonts w:ascii="Public Sans" w:hAnsi="Public Sans"/>
          <w:b/>
          <w:i w:val="0"/>
          <w:color w:val="3D3E3E"/>
          <w:sz w:val="19"/>
        </w:rPr>
        <w:t>D · Differentiated / unique views</w:t>
      </w:r>
      <w:r>
        <w:rPr>
          <w:rFonts w:ascii="Public Sans" w:hAnsi="Public Sans"/>
          <w:b w:val="0"/>
          <w:i w:val="0"/>
          <w:color w:val="3D3E3E"/>
          <w:sz w:val="19"/>
        </w:rPr>
        <w:t xml:space="preserve"> None HK-specific in-window.</w:t>
      </w:r>
    </w:p>
    <w:p>
      <w:pPr>
        <w:spacing w:after="80" w:line="283" w:lineRule="auto"/>
      </w:pPr>
      <w:r>
        <w:rPr>
          <w:rFonts w:ascii="Public Sans" w:hAnsi="Public Sans"/>
          <w:b w:val="0"/>
          <w:i w:val="0"/>
          <w:color w:val="3D3E3E"/>
          <w:sz w:val="19"/>
        </w:rPr>
        <w:t xml:space="preserve">Trade rows: none. </w:t>
      </w:r>
      <w:r>
        <w:rPr>
          <w:rFonts w:ascii="Public Sans" w:hAnsi="Public Sans"/>
          <w:b/>
          <w:i w:val="0"/>
          <w:color w:val="3D3E3E"/>
          <w:sz w:val="19"/>
        </w:rPr>
        <w:t>DEPTH:</w:t>
      </w:r>
      <w:r>
        <w:rPr>
          <w:rFonts w:ascii="Public Sans" w:hAnsi="Public Sans"/>
          <w:b w:val="0"/>
          <w:i w:val="0"/>
          <w:color w:val="3D3E3E"/>
          <w:sz w:val="19"/>
        </w:rPr>
        <w:t xml:space="preserve"> HK econ.fact_indicator deep (loaded); the verified anchor is the USD-peg / LAF band (no HKMA decision — linked to the Fed). </w:t>
      </w:r>
      <w:r>
        <w:rPr>
          <w:rFonts w:ascii="Public Sans" w:hAnsi="Public Sans"/>
          <w:b/>
          <w:i w:val="0"/>
          <w:color w:val="3D3E3E"/>
          <w:sz w:val="19"/>
        </w:rPr>
        <w:t>Flags:</w:t>
      </w:r>
      <w:r>
        <w:rPr>
          <w:rFonts w:ascii="Public Sans" w:hAnsi="Public Sans"/>
          <w:b w:val="0"/>
          <w:i w:val="0"/>
          <w:color w:val="3D3E3E"/>
          <w:sz w:val="19"/>
        </w:rPr>
        <w:t xml:space="preserve"> HKD/HIBOR moves are the pre-US-CPI Asian close (the soft-CPI relief lands 07-15); HK unemployment 17-Jul forward.</w:t>
      </w:r>
    </w:p>
    <w:p>
      <w:pPr>
        <w:spacing w:before="200" w:after="60"/>
        <w:keepNext/>
        <w:pBdr>
          <w:bottom w:val="single" w:sz="4" w:space="2" w:color="E0E9E4"/>
        </w:pBdr>
      </w:pPr>
      <w:r>
        <w:rPr>
          <w:rFonts w:ascii="Georgia" w:hAnsi="Georgia"/>
          <w:b/>
          <w:color w:val="4D806A"/>
          <w:sz w:val="23"/>
        </w:rPr>
        <w:t>New Zealand — QSBO shows acute pricing; ANZ and UBS both keep the RBNZ hiking</w:t>
      </w:r>
    </w:p>
    <w:p>
      <w:pPr>
        <w:spacing w:after="80" w:line="283" w:lineRule="auto"/>
      </w:pPr>
      <w:r>
        <w:rPr>
          <w:rFonts w:ascii="Public Sans" w:hAnsi="Public Sans"/>
          <w:b w:val="0"/>
          <w:i/>
          <w:color w:val="3D3E3E"/>
          <w:sz w:val="19"/>
        </w:rPr>
        <w:t>Flagships read: ANZ "NZ NZIER QSBO: weak activity; acute inflation pressures" (18030) + NZD Update (18061) + REINZ housing (18340); UBS "New Zealand Economic Comment: QSBO pricing intentions surge" (18107) + Australian/NZ Rates Strategy "flatten NZ's 3s..." (18165); JPM "RBNZ, Conway: Finding signal in the inflation noise" (18078); GS "Conway: Monetary policy may need to respond more firmly" (18068) + "NZIER QSBO: activity improves, inflation measures..." (18070); DB "Macro Notes: NZ: Quick take on the QSBO" (18067); Westpac "First Impressions: NZIER QSBO" (18059) + NZD FX Weekly (18083).</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42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43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71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214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393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42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4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QSBO: acute pricing (selling price 22→41)</w:t>
            </w:r>
          </w:p>
        </w:tc>
        <w:tc>
          <w:tcPr>
            <w:tcW w:type="dxa" w:w="71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 NZD</w:t>
            </w:r>
          </w:p>
        </w:tc>
        <w:tc>
          <w:tcPr>
            <w:tcW w:type="dxa" w:w="214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ANZ, UBS, GS, JPM, DB, Westpac</w:t>
            </w:r>
          </w:p>
        </w:tc>
        <w:tc>
          <w:tcPr>
            <w:tcW w:type="dxa" w:w="39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Corroborates the RBNZ's July kick-off and signalled follow-up hikes</w:t>
            </w:r>
          </w:p>
        </w:tc>
      </w:tr>
      <w:tr>
        <w:tc>
          <w:tcPr>
            <w:tcW w:type="dxa" w:w="42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4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Conway (dove) flags price-setting asymmetry</w:t>
            </w:r>
          </w:p>
        </w:tc>
        <w:tc>
          <w:tcPr>
            <w:tcW w:type="dxa" w:w="71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214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ANZ, GS, JPM</w:t>
            </w:r>
          </w:p>
        </w:tc>
        <w:tc>
          <w:tcPr>
            <w:tcW w:type="dxa" w:w="39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 dovish official warns firms pass costs up but not down</w:t>
            </w:r>
          </w:p>
        </w:tc>
      </w:tr>
      <w:tr>
        <w:tc>
          <w:tcPr>
            <w:tcW w:type="dxa" w:w="42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4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Activity soft but improving; negative output gap</w:t>
            </w:r>
          </w:p>
        </w:tc>
        <w:tc>
          <w:tcPr>
            <w:tcW w:type="dxa" w:w="71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214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ANZ, UBS, DB</w:t>
            </w:r>
          </w:p>
        </w:tc>
        <w:tc>
          <w:tcPr>
            <w:tcW w:type="dxa" w:w="39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Q2 GDP forecast −0.2% q/q; capacity consistent with slack</w:t>
            </w:r>
          </w:p>
        </w:tc>
      </w:tr>
      <w:tr>
        <w:tc>
          <w:tcPr>
            <w:tcW w:type="dxa" w:w="42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34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NZD firmest in the universe (+0.85%)</w:t>
            </w:r>
          </w:p>
        </w:tc>
        <w:tc>
          <w:tcPr>
            <w:tcW w:type="dxa" w:w="71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NZD</w:t>
            </w:r>
          </w:p>
        </w:tc>
        <w:tc>
          <w:tcPr>
            <w:tcW w:type="dxa" w:w="214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ANZ, Westpac</w:t>
            </w:r>
          </w:p>
        </w:tc>
        <w:tc>
          <w:tcPr>
            <w:tcW w:type="dxa" w:w="39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Soft US CPI + hawkish RBNZ tailwind</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New Zealand added a second hawkish signal to its freshly-started hiking cycle. The </w:t>
      </w:r>
      <w:r>
        <w:rPr>
          <w:rFonts w:ascii="Public Sans" w:hAnsi="Public Sans"/>
          <w:b/>
          <w:i w:val="0"/>
          <w:color w:val="3D3E3E"/>
          <w:sz w:val="19"/>
        </w:rPr>
        <w:t>NZIER Q2 QSBO</w:t>
      </w:r>
      <w:r>
        <w:rPr>
          <w:rFonts w:ascii="Public Sans" w:hAnsi="Public Sans"/>
          <w:b w:val="0"/>
          <w:i w:val="0"/>
          <w:color w:val="3D3E3E"/>
          <w:sz w:val="19"/>
        </w:rPr>
        <w:t xml:space="preserve"> (ANZ 18030) showed a partial rebound in headline business confidence (to +12 sa, from +1) but </w:t>
      </w:r>
      <w:r>
        <w:rPr>
          <w:rFonts w:ascii="Public Sans" w:hAnsi="Public Sans"/>
          <w:b/>
          <w:i w:val="0"/>
          <w:color w:val="3D3E3E"/>
          <w:sz w:val="19"/>
        </w:rPr>
        <w:t>acute cost and pricing pressures — the average selling-price gauge jumped 22→41</w:t>
      </w:r>
      <w:r>
        <w:rPr>
          <w:rFonts w:ascii="Public Sans" w:hAnsi="Public Sans"/>
          <w:b w:val="0"/>
          <w:i w:val="0"/>
          <w:color w:val="3D3E3E"/>
          <w:sz w:val="19"/>
        </w:rPr>
        <w:t xml:space="preserve"> — alongside soft activity and capacity indicators "very much consistent with a negative output gap." ANZ: today's cost/pricing signals "will be of some concern" to the RBNZ, and the data are "consistent with the view that the July kick-off to the hiking cycle (and signalled follow-up hikes) was justified" — it keeps </w:t>
      </w:r>
      <w:r>
        <w:rPr>
          <w:rFonts w:ascii="Public Sans" w:hAnsi="Public Sans"/>
          <w:b/>
          <w:i w:val="0"/>
          <w:color w:val="3D3E3E"/>
          <w:sz w:val="19"/>
        </w:rPr>
        <w:t>+25bp in both September and October</w:t>
      </w:r>
      <w:r>
        <w:rPr>
          <w:rFonts w:ascii="Public Sans" w:hAnsi="Public Sans"/>
          <w:b w:val="0"/>
          <w:i w:val="0"/>
          <w:color w:val="3D3E3E"/>
          <w:sz w:val="19"/>
        </w:rPr>
        <w:t xml:space="preserve">, its Q2 GDP forecast at −0.2% q/q (annual growth accelerating to 1.9% y/y). </w:t>
      </w:r>
      <w:r>
        <w:rPr>
          <w:rFonts w:ascii="Public Sans" w:hAnsi="Public Sans"/>
          <w:b/>
          <w:i w:val="0"/>
          <w:color w:val="3D3E3E"/>
          <w:sz w:val="19"/>
        </w:rPr>
        <w:t>UBS (18107):</w:t>
      </w:r>
      <w:r>
        <w:rPr>
          <w:rFonts w:ascii="Public Sans" w:hAnsi="Public Sans"/>
          <w:b w:val="0"/>
          <w:i w:val="0"/>
          <w:color w:val="3D3E3E"/>
          <w:sz w:val="19"/>
        </w:rPr>
        <w:t xml:space="preserve"> "QSBO pricing intentions surge despite lower oil," selling prices "remain relatively high compared with the RBNZ's 2% target midpoint," domestic trading activity ticked up to +1 (implying a real-GDP recovery), employment intentions bounced to −1 — UBS keeps </w:t>
      </w:r>
      <w:r>
        <w:rPr>
          <w:rFonts w:ascii="Public Sans" w:hAnsi="Public Sans"/>
          <w:b/>
          <w:i w:val="0"/>
          <w:color w:val="3D3E3E"/>
          <w:sz w:val="19"/>
        </w:rPr>
        <w:t>+25bp in September and December to 3.00%</w:t>
      </w:r>
      <w:r>
        <w:rPr>
          <w:rFonts w:ascii="Public Sans" w:hAnsi="Public Sans"/>
          <w:b w:val="0"/>
          <w:i w:val="0"/>
          <w:color w:val="3D3E3E"/>
          <w:sz w:val="19"/>
        </w:rPr>
        <w:t xml:space="preserve">, though it cautions the confidence rebound (survey ran 10-Jun to 7-Jul, spanning the fuel-crisis MoU) "may be overstated." </w:t>
      </w:r>
      <w:r>
        <w:rPr>
          <w:rFonts w:ascii="Public Sans" w:hAnsi="Public Sans"/>
          <w:b/>
          <w:i w:val="0"/>
          <w:color w:val="3D3E3E"/>
          <w:sz w:val="19"/>
        </w:rPr>
        <w:t>GS (18068):</w:t>
      </w:r>
      <w:r>
        <w:rPr>
          <w:rFonts w:ascii="Public Sans" w:hAnsi="Public Sans"/>
          <w:b w:val="0"/>
          <w:i w:val="0"/>
          <w:color w:val="3D3E3E"/>
          <w:sz w:val="19"/>
        </w:rPr>
        <w:t xml:space="preserve"> Chief Economist Conway (the RBNZ's most dovish member) noted "unhelpful asymmetry" — firms pass the cost shock into prices but may not pass the reversal back — read as "clearly hawkish." </w:t>
      </w:r>
      <w:r>
        <w:rPr>
          <w:rFonts w:ascii="Public Sans" w:hAnsi="Public Sans"/>
          <w:b/>
          <w:i w:val="0"/>
          <w:color w:val="3D3E3E"/>
          <w:sz w:val="19"/>
        </w:rPr>
        <w:t>NZD was the firmest currency in the universe (+0.85% DoD)</w:t>
      </w:r>
      <w:r>
        <w:rPr>
          <w:rFonts w:ascii="Public Sans" w:hAnsi="Public Sans"/>
          <w:b w:val="0"/>
          <w:i w:val="0"/>
          <w:color w:val="3D3E3E"/>
          <w:sz w:val="19"/>
        </w:rPr>
        <w:t xml:space="preserve"> on the soft US CPI plus the hawkish domestic tone; NZIONA front rallied slightly (2y −2.1bp, the Asian close). The 21-Jul Q2 CPI is the arbiter.</w:t>
      </w:r>
    </w:p>
    <w:p>
      <w:pPr>
        <w:spacing w:before="120" w:after="40"/>
        <w:keepNext/>
      </w:pPr>
      <w:r>
        <w:rPr>
          <w:rFonts w:ascii="Public Sans" w:hAnsi="Public Sans"/>
          <w:b/>
          <w:i w:val="0"/>
          <w:color w:val="001830"/>
          <w:sz w:val="19"/>
        </w:rPr>
        <w:t>C · Consensus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241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05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256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186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276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w:t>
            </w:r>
          </w:p>
        </w:tc>
      </w:tr>
      <w:tr>
        <w:tc>
          <w:tcPr>
            <w:tcW w:type="dxa" w:w="241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QSBO pricing is acute; RBNZ hikes are justified</w:t>
            </w:r>
          </w:p>
        </w:tc>
        <w:tc>
          <w:tcPr>
            <w:tcW w:type="dxa" w:w="105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ANZ, UBS, GS, JPM, DB</w:t>
            </w:r>
          </w:p>
        </w:tc>
        <w:tc>
          <w:tcPr>
            <w:tcW w:type="dxa" w:w="25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Selling-price gauge surged; more hikes coming</w:t>
            </w:r>
          </w:p>
        </w:tc>
        <w:tc>
          <w:tcPr>
            <w:tcW w:type="dxa" w:w="18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Selling price 22→41; Conway asymmetry</w:t>
            </w:r>
          </w:p>
        </w:tc>
        <w:tc>
          <w:tcPr>
            <w:tcW w:type="dxa" w:w="27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Sep+Oct (ANZ) vs Sep+Dec (UBS) — the timing/pair of hikes</w:t>
            </w:r>
          </w:p>
        </w:tc>
      </w:tr>
      <w:tr>
        <w:tc>
          <w:tcPr>
            <w:tcW w:type="dxa" w:w="241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Activity soft but improving; output gap negative</w:t>
            </w:r>
          </w:p>
        </w:tc>
        <w:tc>
          <w:tcPr>
            <w:tcW w:type="dxa" w:w="1056"/>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ANZ, UBS, DB</w:t>
            </w:r>
          </w:p>
        </w:tc>
        <w:tc>
          <w:tcPr>
            <w:tcW w:type="dxa" w:w="25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Trading activity +1; capacity consistent with slack</w:t>
            </w:r>
          </w:p>
        </w:tc>
        <w:tc>
          <w:tcPr>
            <w:tcW w:type="dxa" w:w="186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QSBO capacity/activity; GDP −0.2% q/q</w:t>
            </w:r>
          </w:p>
        </w:tc>
        <w:tc>
          <w:tcPr>
            <w:tcW w:type="dxa" w:w="276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How fast the recovery firms vs how sticky the pricing is</w:t>
            </w:r>
          </w:p>
        </w:tc>
      </w:tr>
    </w:tbl>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27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27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55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42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55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55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2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ANZ</w:t>
            </w:r>
          </w:p>
        </w:tc>
        <w:tc>
          <w:tcPr>
            <w:tcW w:type="dxa" w:w="2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25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 xml:space="preserve">+25bp in </w:t>
            </w:r>
            <w:r>
              <w:rPr>
                <w:rFonts w:ascii="Public Sans" w:hAnsi="Public Sans"/>
                <w:b w:val="0"/>
                <w:i/>
                <w:color w:val="3D3E3E"/>
                <w:sz w:val="16"/>
              </w:rPr>
              <w:t>both</w:t>
            </w:r>
            <w:r>
              <w:rPr>
                <w:rFonts w:ascii="Public Sans" w:hAnsi="Public Sans"/>
                <w:b w:val="0"/>
                <w:i w:val="0"/>
                <w:color w:val="3D3E3E"/>
                <w:sz w:val="16"/>
              </w:rPr>
              <w:t xml:space="preserve"> Sep and Oct (a back-to-back pair)</w:t>
            </w:r>
          </w:p>
        </w:tc>
        <w:tc>
          <w:tcPr>
            <w:tcW w:type="dxa" w:w="242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Most front-loaded hike path in the cluster</w:t>
            </w:r>
          </w:p>
        </w:tc>
        <w:tc>
          <w:tcPr>
            <w:tcW w:type="dxa" w:w="25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Pricing stays acute; the cost shock doesn't reverse cleanly</w:t>
            </w:r>
          </w:p>
        </w:tc>
        <w:tc>
          <w:tcPr>
            <w:tcW w:type="dxa" w:w="255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soft 21-Jul Q2 CPI / pricing gauge rolls over</w:t>
            </w:r>
          </w:p>
        </w:tc>
      </w:tr>
      <w:tr>
        <w:tc>
          <w:tcPr>
            <w:tcW w:type="dxa" w:w="2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UBS</w:t>
            </w:r>
          </w:p>
        </w:tc>
        <w:tc>
          <w:tcPr>
            <w:tcW w:type="dxa" w:w="27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255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+25bp Sep and Dec to 3.00%; confidence rebound "may be overstated"</w:t>
            </w:r>
          </w:p>
        </w:tc>
        <w:tc>
          <w:tcPr>
            <w:tcW w:type="dxa" w:w="242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Spaces the hikes and discounts the confidence bounce</w:t>
            </w:r>
          </w:p>
        </w:tc>
        <w:tc>
          <w:tcPr>
            <w:tcW w:type="dxa" w:w="255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MoU-driven confidence lift is not durable</w:t>
            </w:r>
          </w:p>
        </w:tc>
        <w:tc>
          <w:tcPr>
            <w:tcW w:type="dxa" w:w="255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 durable confidence/activity acceleration pulls hikes forward</w:t>
            </w:r>
          </w:p>
        </w:tc>
      </w:tr>
    </w:tbl>
    <w:p>
      <w:pPr>
        <w:spacing w:after="80" w:line="283" w:lineRule="auto"/>
      </w:pPr>
      <w:r>
        <w:rPr>
          <w:rFonts w:ascii="Public Sans" w:hAnsi="Public Sans"/>
          <w:b w:val="0"/>
          <w:i w:val="0"/>
          <w:color w:val="3D3E3E"/>
          <w:sz w:val="19"/>
        </w:rPr>
        <w:t xml:space="preserve">Trade rows: (Nomura short GBP/NZD 2.25, row 7; UBS flatten-NZ-3s carried). </w:t>
      </w:r>
      <w:r>
        <w:rPr>
          <w:rFonts w:ascii="Public Sans" w:hAnsi="Public Sans"/>
          <w:b/>
          <w:i w:val="0"/>
          <w:color w:val="3D3E3E"/>
          <w:sz w:val="19"/>
        </w:rPr>
        <w:t>DEPTH:</w:t>
      </w:r>
      <w:r>
        <w:rPr>
          <w:rFonts w:ascii="Public Sans" w:hAnsi="Public Sans"/>
          <w:b w:val="0"/>
          <w:i w:val="0"/>
          <w:color w:val="3D3E3E"/>
          <w:sz w:val="19"/>
        </w:rPr>
        <w:t xml:space="preserve"> NZ econ.fact_indicator loaded; QSBO is a proprietary survey (per flow, not cb_events). The verified anchor is the 2026-07-08 RBNZ +25bp hike. </w:t>
      </w:r>
      <w:r>
        <w:rPr>
          <w:rFonts w:ascii="Public Sans" w:hAnsi="Public Sans"/>
          <w:b/>
          <w:i w:val="0"/>
          <w:color w:val="3D3E3E"/>
          <w:sz w:val="19"/>
        </w:rPr>
        <w:t>Flags:</w:t>
      </w:r>
      <w:r>
        <w:rPr>
          <w:rFonts w:ascii="Public Sans" w:hAnsi="Public Sans"/>
          <w:b w:val="0"/>
          <w:i w:val="0"/>
          <w:color w:val="3D3E3E"/>
          <w:sz w:val="19"/>
        </w:rPr>
        <w:t xml:space="preserve"> Q2 CPI 21-Jul forward; QSBO figures per flow (18030); ANZ Sep+Oct vs UBS Sep+Dec unreconciled (both shown).</w:t>
      </w:r>
    </w:p>
    <w:p>
      <w:pPr>
        <w:spacing w:before="200" w:after="60"/>
        <w:keepNext/>
        <w:pBdr>
          <w:bottom w:val="single" w:sz="4" w:space="2" w:color="E0E9E4"/>
        </w:pBdr>
      </w:pPr>
      <w:r>
        <w:rPr>
          <w:rFonts w:ascii="Georgia" w:hAnsi="Georgia"/>
          <w:b/>
          <w:color w:val="4D806A"/>
          <w:sz w:val="23"/>
        </w:rPr>
        <w:t>Australia — Data improved (NAB, consumer confidence); ANZ stays short AUD rates on the RBA's inflation skew</w:t>
      </w:r>
    </w:p>
    <w:p>
      <w:pPr>
        <w:spacing w:after="80" w:line="283" w:lineRule="auto"/>
      </w:pPr>
      <w:r>
        <w:rPr>
          <w:rFonts w:ascii="Public Sans" w:hAnsi="Public Sans"/>
          <w:b w:val="0"/>
          <w:i/>
          <w:color w:val="3D3E3E"/>
          <w:sz w:val="19"/>
        </w:rPr>
        <w:t>Flagships read: GS "Consumer Sentiment: Modest improvement" (18072) + "NAB Business Survey: Conditions Steady" (18073); JPM "Australian NAB survey: Further improvement" (18076); UBS "Australian Economic Comment: Business conditions steady" (18164) + Global Strategy "Rates Map — Waller's wake-up call" (18110); Westpac "Consumer pessimism eases" (18084) + "Australian Business Conditions and Confidence" (18112) + Antipodean Daily Wrap (18167); ANZ "AUD Rates Update: inflation risks favour being short AUD rates" (18342) + Daily Rates RV Pack (18029/18341) + Roy Morgan Consumer Confidence (18060).</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46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50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77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63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427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46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50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NAB + consumer confidence improved</w:t>
            </w:r>
          </w:p>
        </w:tc>
        <w:tc>
          <w:tcPr>
            <w:tcW w:type="dxa" w:w="77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 AUD</w:t>
            </w:r>
          </w:p>
        </w:tc>
        <w:tc>
          <w:tcPr>
            <w:tcW w:type="dxa" w:w="16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JPM, UBS, Westpac</w:t>
            </w:r>
          </w:p>
        </w:tc>
        <w:tc>
          <w:tcPr>
            <w:tcW w:type="dxa" w:w="427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Firmer surveys support the RBA's inflation focus</w:t>
            </w:r>
          </w:p>
        </w:tc>
      </w:tr>
      <w:tr>
        <w:tc>
          <w:tcPr>
            <w:tcW w:type="dxa" w:w="46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50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ANZ: short AUD rates (paid Dec-26 RBA OIS)</w:t>
            </w:r>
          </w:p>
        </w:tc>
        <w:tc>
          <w:tcPr>
            <w:tcW w:type="dxa" w:w="77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16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ANZ</w:t>
            </w:r>
          </w:p>
        </w:tc>
        <w:tc>
          <w:tcPr>
            <w:tcW w:type="dxa" w:w="427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RBA reaction function "heavily skewed" to inflation; terminal underpriced</w:t>
            </w:r>
          </w:p>
        </w:tc>
      </w:tr>
      <w:tr>
        <w:tc>
          <w:tcPr>
            <w:tcW w:type="dxa" w:w="46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50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Supply-shock world keeps long-end yields high</w:t>
            </w:r>
          </w:p>
        </w:tc>
        <w:tc>
          <w:tcPr>
            <w:tcW w:type="dxa" w:w="77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16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ANZ, UBS</w:t>
            </w:r>
          </w:p>
        </w:tc>
        <w:tc>
          <w:tcPr>
            <w:tcW w:type="dxa" w:w="427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Goods-inflation/unemployment beta has risen</w:t>
            </w:r>
          </w:p>
        </w:tc>
      </w:tr>
      <w:tr>
        <w:tc>
          <w:tcPr>
            <w:tcW w:type="dxa" w:w="46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350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AUD strong on soft US CPI (+0.82%)</w:t>
            </w:r>
          </w:p>
        </w:tc>
        <w:tc>
          <w:tcPr>
            <w:tcW w:type="dxa" w:w="77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AUD</w:t>
            </w:r>
          </w:p>
        </w:tc>
        <w:tc>
          <w:tcPr>
            <w:tcW w:type="dxa" w:w="16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(market)</w:t>
            </w:r>
          </w:p>
        </w:tc>
        <w:tc>
          <w:tcPr>
            <w:tcW w:type="dxa" w:w="427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Second-firmest universe currency</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Australia's surveys improved and the rates desk stayed hawkish. </w:t>
      </w:r>
      <w:r>
        <w:rPr>
          <w:rFonts w:ascii="Public Sans" w:hAnsi="Public Sans"/>
          <w:b/>
          <w:i w:val="0"/>
          <w:color w:val="3D3E3E"/>
          <w:sz w:val="19"/>
        </w:rPr>
        <w:t>NAB business confidence rose to −5</w:t>
      </w:r>
      <w:r>
        <w:rPr>
          <w:rFonts w:ascii="Public Sans" w:hAnsi="Public Sans"/>
          <w:b w:val="0"/>
          <w:i w:val="0"/>
          <w:color w:val="3D3E3E"/>
          <w:sz w:val="19"/>
        </w:rPr>
        <w:t xml:space="preserve"> (from −14, cb_events 60860) and conditions held steady at +3 (GS 18073); </w:t>
      </w:r>
      <w:r>
        <w:rPr>
          <w:rFonts w:ascii="Public Sans" w:hAnsi="Public Sans"/>
          <w:b/>
          <w:i w:val="0"/>
          <w:color w:val="3D3E3E"/>
          <w:sz w:val="19"/>
        </w:rPr>
        <w:t>Westpac consumer confidence rose +4.1%</w:t>
      </w:r>
      <w:r>
        <w:rPr>
          <w:rFonts w:ascii="Public Sans" w:hAnsi="Public Sans"/>
          <w:b w:val="0"/>
          <w:i w:val="0"/>
          <w:color w:val="3D3E3E"/>
          <w:sz w:val="19"/>
        </w:rPr>
        <w:t xml:space="preserve"> (from −2.9%, 60858; GS 18072 "modest improvement," Westpac 18084 "pessimism eases"). </w:t>
      </w:r>
      <w:r>
        <w:rPr>
          <w:rFonts w:ascii="Public Sans" w:hAnsi="Public Sans"/>
          <w:b/>
          <w:i w:val="0"/>
          <w:color w:val="3D3E3E"/>
          <w:sz w:val="19"/>
        </w:rPr>
        <w:t>ANZ (18342)</w:t>
      </w:r>
      <w:r>
        <w:rPr>
          <w:rFonts w:ascii="Public Sans" w:hAnsi="Public Sans"/>
          <w:b w:val="0"/>
          <w:i w:val="0"/>
          <w:color w:val="3D3E3E"/>
          <w:sz w:val="19"/>
        </w:rPr>
        <w:t xml:space="preserve"> is the sharpest read: it "remains short AUD and USD rates," holding its </w:t>
      </w:r>
      <w:r>
        <w:rPr>
          <w:rFonts w:ascii="Public Sans" w:hAnsi="Public Sans"/>
          <w:b/>
          <w:i w:val="0"/>
          <w:color w:val="3D3E3E"/>
          <w:sz w:val="19"/>
        </w:rPr>
        <w:t>paid Dec-26 RBA OIS</w:t>
      </w:r>
      <w:r>
        <w:rPr>
          <w:rFonts w:ascii="Public Sans" w:hAnsi="Public Sans"/>
          <w:b w:val="0"/>
          <w:i w:val="0"/>
          <w:color w:val="3D3E3E"/>
          <w:sz w:val="19"/>
        </w:rPr>
        <w:t xml:space="preserve"> recommendation because the RBA's reaction function is "heavily skewed towards concerns about too-high inflation" and terminal pricing "doesn't fully factor this risk in." ANZ leans on Assistant Governor Hunter's recent speech (the labour-market/inflation trade-off has worsened) and argues the world is "more prone to supply shocks," which should keep AUD long-end yields "in a higher range" — noting the unusual steepening in the goods-inflation/unemployment beta reflects global supply chains rather than domestic drivers. It favours paying the belly on a 1y/1y1y/2y1y fly (lower duration beta than curve trades). </w:t>
      </w:r>
      <w:r>
        <w:rPr>
          <w:rFonts w:ascii="Public Sans" w:hAnsi="Public Sans"/>
          <w:b/>
          <w:i w:val="0"/>
          <w:color w:val="3D3E3E"/>
          <w:sz w:val="19"/>
        </w:rPr>
        <w:t>UBS's Rates Map (18110)</w:t>
      </w:r>
      <w:r>
        <w:rPr>
          <w:rFonts w:ascii="Public Sans" w:hAnsi="Public Sans"/>
          <w:b w:val="0"/>
          <w:i w:val="0"/>
          <w:color w:val="3D3E3E"/>
          <w:sz w:val="19"/>
        </w:rPr>
        <w:t xml:space="preserve"> frames the global backdrop as "Waller's wake-up call" (pre-CPI). </w:t>
      </w:r>
      <w:r>
        <w:rPr>
          <w:rFonts w:ascii="Public Sans" w:hAnsi="Public Sans"/>
          <w:b/>
          <w:i w:val="0"/>
          <w:color w:val="3D3E3E"/>
          <w:sz w:val="19"/>
        </w:rPr>
        <w:t>AUD firmed +0.82% DoD</w:t>
      </w:r>
      <w:r>
        <w:rPr>
          <w:rFonts w:ascii="Public Sans" w:hAnsi="Public Sans"/>
          <w:b w:val="0"/>
          <w:i w:val="0"/>
          <w:color w:val="3D3E3E"/>
          <w:sz w:val="19"/>
        </w:rPr>
        <w:t xml:space="preserve"> on the soft US CPI; AONIA front rallied slightly (2y −2.7bp, the Asian close). Q2 CPI (29-Jul) is the domestic fork.</w:t>
      </w:r>
    </w:p>
    <w:p>
      <w:pPr>
        <w:spacing w:before="120" w:after="40"/>
        <w:keepNext/>
      </w:pPr>
      <w:r>
        <w:rPr>
          <w:rFonts w:ascii="Public Sans" w:hAnsi="Public Sans"/>
          <w:b/>
          <w:i w:val="0"/>
          <w:color w:val="001830"/>
          <w:sz w:val="19"/>
        </w:rPr>
        <w:t>C · Consensus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232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08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269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170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284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w:t>
            </w:r>
          </w:p>
        </w:tc>
      </w:tr>
      <w:tr>
        <w:tc>
          <w:tcPr>
            <w:tcW w:type="dxa" w:w="232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Surveys improved; RBA stays inflation-focused</w:t>
            </w:r>
          </w:p>
        </w:tc>
        <w:tc>
          <w:tcPr>
            <w:tcW w:type="dxa" w:w="108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GS, JPM, UBS, Westpac</w:t>
            </w:r>
          </w:p>
        </w:tc>
        <w:tc>
          <w:tcPr>
            <w:tcW w:type="dxa" w:w="269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NAB confidence −5, consumer +4.1%; conditions steady</w:t>
            </w:r>
          </w:p>
        </w:tc>
        <w:tc>
          <w:tcPr>
            <w:tcW w:type="dxa" w:w="170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NAB survey; Westpac consumer conf</w:t>
            </w:r>
          </w:p>
        </w:tc>
        <w:tc>
          <w:tcPr>
            <w:tcW w:type="dxa" w:w="284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Whether the improvement survives the oil re-spike (surveys pre-date it)</w:t>
            </w:r>
          </w:p>
        </w:tc>
      </w:tr>
    </w:tbl>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27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27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5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5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5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52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2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ANZ</w:t>
            </w:r>
          </w:p>
        </w:tc>
        <w:tc>
          <w:tcPr>
            <w:tcW w:type="dxa" w:w="27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25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Short AUD rates (paid Dec-26 RBA OIS); pay the belly fly — terminal underpriced</w:t>
            </w:r>
          </w:p>
        </w:tc>
        <w:tc>
          <w:tcPr>
            <w:tcW w:type="dxa" w:w="25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Actively trades the RBA's inflation skew + a supply-shock long-end thesis</w:t>
            </w:r>
          </w:p>
        </w:tc>
        <w:tc>
          <w:tcPr>
            <w:tcW w:type="dxa" w:w="25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RBA stays inflation-focused; supply shocks keep long-end high</w:t>
            </w:r>
          </w:p>
        </w:tc>
        <w:tc>
          <w:tcPr>
            <w:tcW w:type="dxa" w:w="252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dovish RBA pivot / growth cools / oil drops / soft Q2 CPI</w:t>
            </w:r>
          </w:p>
        </w:tc>
      </w:tr>
    </w:tbl>
    <w:p>
      <w:pPr>
        <w:spacing w:after="80" w:line="283" w:lineRule="auto"/>
      </w:pPr>
      <w:r>
        <w:rPr>
          <w:rFonts w:ascii="Public Sans" w:hAnsi="Public Sans"/>
          <w:b w:val="0"/>
          <w:i w:val="0"/>
          <w:color w:val="3D3E3E"/>
          <w:sz w:val="19"/>
        </w:rPr>
        <w:t xml:space="preserve">Trade rows: </w:t>
      </w:r>
      <w:r>
        <w:rPr>
          <w:rFonts w:ascii="Public Sans" w:hAnsi="Public Sans"/>
          <w:b/>
          <w:i w:val="0"/>
          <w:color w:val="3D3E3E"/>
          <w:sz w:val="19"/>
        </w:rPr>
        <w:t>#9</w:t>
      </w:r>
      <w:r>
        <w:rPr>
          <w:rFonts w:ascii="Public Sans" w:hAnsi="Public Sans"/>
          <w:b w:val="0"/>
          <w:i w:val="0"/>
          <w:color w:val="3D3E3E"/>
          <w:sz w:val="19"/>
        </w:rPr>
        <w:t xml:space="preserve"> (and Nomura pay AU3m1y vs US3m1y, row 7). </w:t>
      </w:r>
      <w:r>
        <w:rPr>
          <w:rFonts w:ascii="Public Sans" w:hAnsi="Public Sans"/>
          <w:b/>
          <w:i w:val="0"/>
          <w:color w:val="3D3E3E"/>
          <w:sz w:val="19"/>
        </w:rPr>
        <w:t>DEPTH:</w:t>
      </w:r>
      <w:r>
        <w:rPr>
          <w:rFonts w:ascii="Public Sans" w:hAnsi="Public Sans"/>
          <w:b w:val="0"/>
          <w:i w:val="0"/>
          <w:color w:val="3D3E3E"/>
          <w:sz w:val="19"/>
        </w:rPr>
        <w:t xml:space="preserve"> AU econ.fact_indicator deep (loaded); NAB/consumer confidence booked in cb_events. The verified anchor is the 2026-06-16 RBA hold. </w:t>
      </w:r>
      <w:r>
        <w:rPr>
          <w:rFonts w:ascii="Public Sans" w:hAnsi="Public Sans"/>
          <w:b/>
          <w:i w:val="0"/>
          <w:color w:val="3D3E3E"/>
          <w:sz w:val="19"/>
        </w:rPr>
        <w:t>Flags:</w:t>
      </w:r>
      <w:r>
        <w:rPr>
          <w:rFonts w:ascii="Public Sans" w:hAnsi="Public Sans"/>
          <w:b w:val="0"/>
          <w:i w:val="0"/>
          <w:color w:val="3D3E3E"/>
          <w:sz w:val="19"/>
        </w:rPr>
        <w:t xml:space="preserve"> the NAB/consumer surveys pre-date the oil re-spike (a data-timing caveat); Q2 CPI 29-Jul forward; AONIA is the pre-US-CPI Asian close.</w:t>
      </w:r>
    </w:p>
    <w:p>
      <w:pPr>
        <w:spacing w:before="200" w:after="60"/>
        <w:keepNext/>
        <w:pBdr>
          <w:bottom w:val="single" w:sz="4" w:space="2" w:color="E0E9E4"/>
        </w:pBdr>
      </w:pPr>
      <w:r>
        <w:rPr>
          <w:rFonts w:ascii="Georgia" w:hAnsi="Georgia"/>
          <w:b/>
          <w:color w:val="4D806A"/>
          <w:sz w:val="23"/>
        </w:rPr>
        <w:t>Singapore — Advance Q2 GDP beats at 5.7%; Citi reiterates its July S$NEER steepening call</w:t>
      </w:r>
    </w:p>
    <w:p>
      <w:pPr>
        <w:spacing w:after="80" w:line="283" w:lineRule="auto"/>
      </w:pPr>
      <w:r>
        <w:rPr>
          <w:rFonts w:ascii="Public Sans" w:hAnsi="Public Sans"/>
          <w:b w:val="0"/>
          <w:i/>
          <w:color w:val="3D3E3E"/>
          <w:sz w:val="19"/>
        </w:rPr>
        <w:t>Flagships read: JPM "Singapore: Growth momentum unbowed, unbent, unbroken" (18103); Citi "Reiterating Our Jul Steepening Call On Above-trend 2Q26 GDP" (18125); Nomura "First Insights — Singapore: Strong growth momentum sustained" (18157); GS "Growth holds firm, led by tech and services" (18096); SocGen SG Inflation Newsflow Monitor (18226).</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47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34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79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67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437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47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3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Advance Q2 GDP 5.7% (beat 5.5%)</w:t>
            </w:r>
          </w:p>
        </w:tc>
        <w:tc>
          <w:tcPr>
            <w:tcW w:type="dxa" w:w="79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 SGD</w:t>
            </w:r>
          </w:p>
        </w:tc>
        <w:tc>
          <w:tcPr>
            <w:tcW w:type="dxa" w:w="167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JPM, Citi, Nomura, GS</w:t>
            </w:r>
          </w:p>
        </w:tc>
        <w:tc>
          <w:tcPr>
            <w:tcW w:type="dxa" w:w="43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Third year of above-trend growth; 1Q revised up to 6.3%</w:t>
            </w:r>
          </w:p>
        </w:tc>
      </w:tr>
      <w:tr>
        <w:tc>
          <w:tcPr>
            <w:tcW w:type="dxa" w:w="47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34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Citi reiterates July S$NEER steepening</w:t>
            </w:r>
          </w:p>
        </w:tc>
        <w:tc>
          <w:tcPr>
            <w:tcW w:type="dxa" w:w="79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167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Citi</w:t>
            </w:r>
          </w:p>
        </w:tc>
        <w:tc>
          <w:tcPr>
            <w:tcW w:type="dxa" w:w="43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Above-trend growth supports a steeper slope into the MAS</w:t>
            </w:r>
          </w:p>
        </w:tc>
      </w:tr>
      <w:tr>
        <w:tc>
          <w:tcPr>
            <w:tcW w:type="dxa" w:w="47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3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Manufacturing rebounded (23.1% ar)</w:t>
            </w:r>
          </w:p>
        </w:tc>
        <w:tc>
          <w:tcPr>
            <w:tcW w:type="dxa" w:w="79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167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JPM, GS</w:t>
            </w:r>
          </w:p>
        </w:tc>
        <w:tc>
          <w:tcPr>
            <w:tcW w:type="dxa" w:w="43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Tech/semis + trade-related services lead</w:t>
            </w:r>
          </w:p>
        </w:tc>
      </w:tr>
      <w:tr>
        <w:tc>
          <w:tcPr>
            <w:tcW w:type="dxa" w:w="47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334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MAS MPS is the late-Jul window — NOT today</w:t>
            </w:r>
          </w:p>
        </w:tc>
        <w:tc>
          <w:tcPr>
            <w:tcW w:type="dxa" w:w="79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167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(calendar)</w:t>
            </w:r>
          </w:p>
        </w:tc>
        <w:tc>
          <w:tcPr>
            <w:tcW w:type="dxa" w:w="43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The resolved SG event is the GDP; MAS is 24–31 Jul</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Singapore's advance Q2 GDP came in strong. </w:t>
      </w:r>
      <w:r>
        <w:rPr>
          <w:rFonts w:ascii="Public Sans" w:hAnsi="Public Sans"/>
          <w:b/>
          <w:i w:val="0"/>
          <w:color w:val="3D3E3E"/>
          <w:sz w:val="19"/>
        </w:rPr>
        <w:t>5.7% y/y</w:t>
      </w:r>
      <w:r>
        <w:rPr>
          <w:rFonts w:ascii="Public Sans" w:hAnsi="Public Sans"/>
          <w:b w:val="0"/>
          <w:i w:val="0"/>
          <w:color w:val="3D3E3E"/>
          <w:sz w:val="19"/>
        </w:rPr>
        <w:t xml:space="preserve"> (cb_events 60857; survey 5.5%, forecast 5.0%) with 1Q revised </w:t>
      </w:r>
      <w:r>
        <w:rPr>
          <w:rFonts w:ascii="Public Sans" w:hAnsi="Public Sans"/>
          <w:b/>
          <w:i w:val="0"/>
          <w:color w:val="3D3E3E"/>
          <w:sz w:val="19"/>
        </w:rPr>
        <w:t>up to 6.3% (from 6.0%)</w:t>
      </w:r>
      <w:r>
        <w:rPr>
          <w:rFonts w:ascii="Public Sans" w:hAnsi="Public Sans"/>
          <w:b w:val="0"/>
          <w:i w:val="0"/>
          <w:color w:val="3D3E3E"/>
          <w:sz w:val="19"/>
        </w:rPr>
        <w:t xml:space="preserve">; sequential 1.1% qoq (4.6% ar). </w:t>
      </w:r>
      <w:r>
        <w:rPr>
          <w:rFonts w:ascii="Public Sans" w:hAnsi="Public Sans"/>
          <w:b/>
          <w:i w:val="0"/>
          <w:color w:val="3D3E3E"/>
          <w:sz w:val="19"/>
        </w:rPr>
        <w:t>JPM (18103)</w:t>
      </w:r>
      <w:r>
        <w:rPr>
          <w:rFonts w:ascii="Public Sans" w:hAnsi="Public Sans"/>
          <w:b w:val="0"/>
          <w:i w:val="0"/>
          <w:color w:val="3D3E3E"/>
          <w:sz w:val="19"/>
        </w:rPr>
        <w:t xml:space="preserve"> — "unbowed, unbent, unbroken" — GDP "powered ahead despite Middle-East conflict": manufacturing momentum rebounded to 23.1% ar (cycle-high 12.2% yoy) after the 1Q pharma-unwind contraction, trade-related services stayed the driver, construction still +12.5% ar for 1H; it maintains an above-consensus </w:t>
      </w:r>
      <w:r>
        <w:rPr>
          <w:rFonts w:ascii="Public Sans" w:hAnsi="Public Sans"/>
          <w:b/>
          <w:i w:val="0"/>
          <w:color w:val="3D3E3E"/>
          <w:sz w:val="19"/>
        </w:rPr>
        <w:t>4.6% full-year forecast</w:t>
      </w:r>
      <w:r>
        <w:rPr>
          <w:rFonts w:ascii="Public Sans" w:hAnsi="Public Sans"/>
          <w:b w:val="0"/>
          <w:i w:val="0"/>
          <w:color w:val="3D3E3E"/>
          <w:sz w:val="19"/>
        </w:rPr>
        <w:t xml:space="preserve"> (consensus 3.7%) but expects growth to step down to ~1% ar in 2H on moderating trade-services and slower real manufacturing even as tech prices flatter nominal exports. </w:t>
      </w:r>
      <w:r>
        <w:rPr>
          <w:rFonts w:ascii="Public Sans" w:hAnsi="Public Sans"/>
          <w:b/>
          <w:i w:val="0"/>
          <w:color w:val="3D3E3E"/>
          <w:sz w:val="19"/>
        </w:rPr>
        <w:t>Citi (18125):</w:t>
      </w:r>
      <w:r>
        <w:rPr>
          <w:rFonts w:ascii="Public Sans" w:hAnsi="Public Sans"/>
          <w:b w:val="0"/>
          <w:i w:val="0"/>
          <w:color w:val="3D3E3E"/>
          <w:sz w:val="19"/>
        </w:rPr>
        <w:t xml:space="preserve"> the above-trend 2Q print supports </w:t>
      </w:r>
      <w:r>
        <w:rPr>
          <w:rFonts w:ascii="Public Sans" w:hAnsi="Public Sans"/>
          <w:b/>
          <w:i w:val="0"/>
          <w:color w:val="3D3E3E"/>
          <w:sz w:val="19"/>
        </w:rPr>
        <w:t>reiterating its July S$NEER steepening call</w:t>
      </w:r>
      <w:r>
        <w:rPr>
          <w:rFonts w:ascii="Public Sans" w:hAnsi="Public Sans"/>
          <w:b w:val="0"/>
          <w:i w:val="0"/>
          <w:color w:val="3D3E3E"/>
          <w:sz w:val="19"/>
        </w:rPr>
        <w:t xml:space="preserve">. </w:t>
      </w:r>
      <w:r>
        <w:rPr>
          <w:rFonts w:ascii="Public Sans" w:hAnsi="Public Sans"/>
          <w:b/>
          <w:i w:val="0"/>
          <w:color w:val="3D3E3E"/>
          <w:sz w:val="19"/>
        </w:rPr>
        <w:t>Nomura (18157):</w:t>
      </w:r>
      <w:r>
        <w:rPr>
          <w:rFonts w:ascii="Public Sans" w:hAnsi="Public Sans"/>
          <w:b w:val="0"/>
          <w:i w:val="0"/>
          <w:color w:val="3D3E3E"/>
          <w:sz w:val="19"/>
        </w:rPr>
        <w:t xml:space="preserve"> "strong growth momentum sustained." </w:t>
      </w:r>
      <w:r>
        <w:rPr>
          <w:rFonts w:ascii="Public Sans" w:hAnsi="Public Sans"/>
          <w:b/>
          <w:i w:val="0"/>
          <w:color w:val="3D3E3E"/>
          <w:sz w:val="19"/>
        </w:rPr>
        <w:t>GS (18096):</w:t>
      </w:r>
      <w:r>
        <w:rPr>
          <w:rFonts w:ascii="Public Sans" w:hAnsi="Public Sans"/>
          <w:b w:val="0"/>
          <w:i w:val="0"/>
          <w:color w:val="3D3E3E"/>
          <w:sz w:val="19"/>
        </w:rPr>
        <w:t xml:space="preserve"> "growth holds firm, led by tech and services." </w:t>
      </w:r>
      <w:r>
        <w:rPr>
          <w:rFonts w:ascii="Public Sans" w:hAnsi="Public Sans"/>
          <w:b/>
          <w:i w:val="0"/>
          <w:color w:val="3D3E3E"/>
          <w:sz w:val="19"/>
        </w:rPr>
        <w:t>SGD firmed +0.28% DoD</w:t>
      </w:r>
      <w:r>
        <w:rPr>
          <w:rFonts w:ascii="Public Sans" w:hAnsi="Public Sans"/>
          <w:b w:val="0"/>
          <w:i w:val="0"/>
          <w:color w:val="3D3E3E"/>
          <w:sz w:val="19"/>
        </w:rPr>
        <w:t xml:space="preserve"> on the soft US CPI; </w:t>
      </w:r>
      <w:r>
        <w:rPr>
          <w:rFonts w:ascii="Public Sans" w:hAnsi="Public Sans"/>
          <w:b/>
          <w:i w:val="0"/>
          <w:color w:val="3D3E3E"/>
          <w:sz w:val="19"/>
        </w:rPr>
        <w:t>SORA backed up (2y +4.8bp / 10y +5.8bp)</w:t>
      </w:r>
      <w:r>
        <w:rPr>
          <w:rFonts w:ascii="Public Sans" w:hAnsi="Public Sans"/>
          <w:b w:val="0"/>
          <w:i w:val="0"/>
          <w:color w:val="3D3E3E"/>
          <w:sz w:val="19"/>
        </w:rPr>
        <w:t xml:space="preserve"> on the strong print (the Asian close, pre-US-CPI). </w:t>
      </w:r>
      <w:r>
        <w:rPr>
          <w:rFonts w:ascii="Public Sans" w:hAnsi="Public Sans"/>
          <w:b/>
          <w:i w:val="0"/>
          <w:color w:val="3D3E3E"/>
          <w:sz w:val="19"/>
        </w:rPr>
        <w:t>Important:</w:t>
      </w:r>
      <w:r>
        <w:rPr>
          <w:rFonts w:ascii="Public Sans" w:hAnsi="Public Sans"/>
          <w:b w:val="0"/>
          <w:i w:val="0"/>
          <w:color w:val="3D3E3E"/>
          <w:sz w:val="19"/>
        </w:rPr>
        <w:t xml:space="preserve"> the MAS MPS is the </w:t>
      </w:r>
      <w:r>
        <w:rPr>
          <w:rFonts w:ascii="Public Sans" w:hAnsi="Public Sans"/>
          <w:b/>
          <w:i w:val="0"/>
          <w:color w:val="3D3E3E"/>
          <w:sz w:val="19"/>
        </w:rPr>
        <w:t>24–31 July window — not today</w:t>
      </w:r>
      <w:r>
        <w:rPr>
          <w:rFonts w:ascii="Public Sans" w:hAnsi="Public Sans"/>
          <w:b w:val="0"/>
          <w:i w:val="0"/>
          <w:color w:val="3D3E3E"/>
          <w:sz w:val="19"/>
        </w:rPr>
        <w:t>; the resolved SG event is the advance GDP. (Any prior cb_events row placing MAS on 14-Jul was a bad estimated row, since deleted.)</w:t>
      </w:r>
    </w:p>
    <w:p>
      <w:pPr>
        <w:spacing w:before="120" w:after="40"/>
        <w:keepNext/>
      </w:pPr>
      <w:r>
        <w:rPr>
          <w:rFonts w:ascii="Public Sans" w:hAnsi="Public Sans"/>
          <w:b/>
          <w:i w:val="0"/>
          <w:color w:val="001830"/>
          <w:sz w:val="19"/>
        </w:rPr>
        <w:t>C · Consensus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290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10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247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137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2796"/>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w:t>
            </w:r>
          </w:p>
        </w:tc>
      </w:tr>
      <w:tr>
        <w:tc>
          <w:tcPr>
            <w:tcW w:type="dxa" w:w="290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Q2 GDP beat; growth above trend, tech/manufacturing-led</w:t>
            </w:r>
          </w:p>
        </w:tc>
        <w:tc>
          <w:tcPr>
            <w:tcW w:type="dxa" w:w="110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JPM, Citi, Nomura, GS</w:t>
            </w:r>
          </w:p>
        </w:tc>
        <w:tc>
          <w:tcPr>
            <w:tcW w:type="dxa" w:w="247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5.7% beat; 1Q revised up; manufacturing rebound</w:t>
            </w:r>
          </w:p>
        </w:tc>
        <w:tc>
          <w:tcPr>
            <w:tcW w:type="dxa" w:w="137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5.7% vs 5.5%; mfg 23.1% ar</w:t>
            </w:r>
          </w:p>
        </w:tc>
        <w:tc>
          <w:tcPr>
            <w:tcW w:type="dxa" w:w="2796"/>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2H step-down (JPM ~1% ar) vs the current momentum</w:t>
            </w:r>
          </w:p>
        </w:tc>
      </w:tr>
    </w:tbl>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29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29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66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66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66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08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29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Citi</w:t>
            </w:r>
          </w:p>
        </w:tc>
        <w:tc>
          <w:tcPr>
            <w:tcW w:type="dxa" w:w="29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266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Reiterate July S$NEER steepening on above-trend growth</w:t>
            </w:r>
          </w:p>
        </w:tc>
        <w:tc>
          <w:tcPr>
            <w:tcW w:type="dxa" w:w="266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only house with an explicit MAS-slope trade off the GDP</w:t>
            </w:r>
          </w:p>
        </w:tc>
        <w:tc>
          <w:tcPr>
            <w:tcW w:type="dxa" w:w="266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MAS tilts hawkish at the late-Jul MPS; growth stays firm</w:t>
            </w:r>
          </w:p>
        </w:tc>
        <w:tc>
          <w:tcPr>
            <w:tcW w:type="dxa" w:w="208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A dovish MAS hold / a 2H growth undershoot</w:t>
            </w:r>
          </w:p>
        </w:tc>
      </w:tr>
      <w:tr>
        <w:tc>
          <w:tcPr>
            <w:tcW w:type="dxa" w:w="29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JPM</w:t>
            </w:r>
          </w:p>
        </w:tc>
        <w:tc>
          <w:tcPr>
            <w:tcW w:type="dxa" w:w="29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Macro</w:t>
            </w:r>
          </w:p>
        </w:tc>
        <w:tc>
          <w:tcPr>
            <w:tcW w:type="dxa" w:w="266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Above-consensus 4.6% FY, but a sharp 2H step-down to ~1% ar</w:t>
            </w:r>
          </w:p>
        </w:tc>
        <w:tc>
          <w:tcPr>
            <w:tcW w:type="dxa" w:w="266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Pairs the beat with the most explicit deceleration call</w:t>
            </w:r>
          </w:p>
        </w:tc>
        <w:tc>
          <w:tcPr>
            <w:tcW w:type="dxa" w:w="266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Trade-services moderate; tech prices flatter, not volumes</w:t>
            </w:r>
          </w:p>
        </w:tc>
        <w:tc>
          <w:tcPr>
            <w:tcW w:type="dxa" w:w="208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2H momentum holds / manufacturing stays hot</w:t>
            </w:r>
          </w:p>
        </w:tc>
      </w:tr>
    </w:tbl>
    <w:p>
      <w:pPr>
        <w:spacing w:after="80" w:line="283" w:lineRule="auto"/>
      </w:pPr>
      <w:r>
        <w:rPr>
          <w:rFonts w:ascii="Public Sans" w:hAnsi="Public Sans"/>
          <w:b w:val="0"/>
          <w:i w:val="0"/>
          <w:color w:val="3D3E3E"/>
          <w:sz w:val="19"/>
        </w:rPr>
        <w:t xml:space="preserve">Trade rows: </w:t>
      </w:r>
      <w:r>
        <w:rPr>
          <w:rFonts w:ascii="Public Sans" w:hAnsi="Public Sans"/>
          <w:b/>
          <w:i w:val="0"/>
          <w:color w:val="3D3E3E"/>
          <w:sz w:val="19"/>
        </w:rPr>
        <w:t>#5</w:t>
      </w:r>
      <w:r>
        <w:rPr>
          <w:rFonts w:ascii="Public Sans" w:hAnsi="Public Sans"/>
          <w:b w:val="0"/>
          <w:i w:val="0"/>
          <w:color w:val="3D3E3E"/>
          <w:sz w:val="19"/>
        </w:rPr>
        <w:t xml:space="preserve">. </w:t>
      </w:r>
      <w:r>
        <w:rPr>
          <w:rFonts w:ascii="Public Sans" w:hAnsi="Public Sans"/>
          <w:b/>
          <w:i w:val="0"/>
          <w:color w:val="3D3E3E"/>
          <w:sz w:val="19"/>
        </w:rPr>
        <w:t>DEPTH:</w:t>
      </w:r>
      <w:r>
        <w:rPr>
          <w:rFonts w:ascii="Public Sans" w:hAnsi="Public Sans"/>
          <w:b w:val="0"/>
          <w:i w:val="0"/>
          <w:color w:val="3D3E3E"/>
          <w:sz w:val="19"/>
        </w:rPr>
        <w:t xml:space="preserve"> SG econ.fact_indicator loaded; advance Q2 GDP is FACT in cb_events. The verified anchor is the MAS S$NEER band (no rate decision). </w:t>
      </w:r>
      <w:r>
        <w:rPr>
          <w:rFonts w:ascii="Public Sans" w:hAnsi="Public Sans"/>
          <w:b/>
          <w:i w:val="0"/>
          <w:color w:val="3D3E3E"/>
          <w:sz w:val="19"/>
        </w:rPr>
        <w:t>Flags:</w:t>
      </w:r>
      <w:r>
        <w:rPr>
          <w:rFonts w:ascii="Public Sans" w:hAnsi="Public Sans"/>
          <w:b w:val="0"/>
          <w:i w:val="0"/>
          <w:color w:val="3D3E3E"/>
          <w:sz w:val="19"/>
        </w:rPr>
        <w:t xml:space="preserve"> MAS MPS 24–31 Jul forward (NOT today); SORA is the pre-US-CPI Asian close.</w:t>
      </w:r>
    </w:p>
    <w:p>
      <w:pPr>
        <w:spacing w:before="200" w:after="60"/>
        <w:keepNext/>
        <w:pBdr>
          <w:bottom w:val="single" w:sz="4" w:space="2" w:color="E0E9E4"/>
        </w:pBdr>
      </w:pPr>
      <w:r>
        <w:rPr>
          <w:rFonts w:ascii="Georgia" w:hAnsi="Georgia"/>
          <w:b/>
          <w:color w:val="4D806A"/>
          <w:sz w:val="23"/>
        </w:rPr>
        <w:t>Indonesia — 2026 fiscal deficit target raised to 2.85%; JPM stays MW IDR / MW IndoGBs</w:t>
      </w:r>
    </w:p>
    <w:p>
      <w:pPr>
        <w:spacing w:after="80" w:line="283" w:lineRule="auto"/>
      </w:pPr>
      <w:r>
        <w:rPr>
          <w:rFonts w:ascii="Public Sans" w:hAnsi="Public Sans"/>
          <w:b w:val="0"/>
          <w:i/>
          <w:color w:val="3D3E3E"/>
          <w:sz w:val="19"/>
        </w:rPr>
        <w:t>Flagships read: JPM "Indonesia: Fiscal outlook and market implications" (18151).</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48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87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80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04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444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48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87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2026 deficit target raised to 2.85% (from 2.68%)</w:t>
            </w:r>
          </w:p>
        </w:tc>
        <w:tc>
          <w:tcPr>
            <w:tcW w:type="dxa" w:w="80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 IDR</w:t>
            </w:r>
          </w:p>
        </w:tc>
        <w:tc>
          <w:tcPr>
            <w:tcW w:type="dxa" w:w="104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JPM</w:t>
            </w:r>
          </w:p>
        </w:tc>
        <w:tc>
          <w:tcPr>
            <w:tcW w:type="dxa" w:w="44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Higher fuel-subsidy spend, still below the statutory ceiling</w:t>
            </w:r>
          </w:p>
        </w:tc>
      </w:tr>
      <w:tr>
        <w:tc>
          <w:tcPr>
            <w:tcW w:type="dxa" w:w="48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87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BI hawkish pivot anchors the rupiah</w:t>
            </w:r>
          </w:p>
        </w:tc>
        <w:tc>
          <w:tcPr>
            <w:tcW w:type="dxa" w:w="80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IDR</w:t>
            </w:r>
          </w:p>
        </w:tc>
        <w:tc>
          <w:tcPr>
            <w:tcW w:type="dxa" w:w="104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JPM</w:t>
            </w:r>
          </w:p>
        </w:tc>
        <w:tc>
          <w:tcPr>
            <w:tcW w:type="dxa" w:w="444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BOP firm but sentimental; weak seasonals a headwind</w:t>
            </w:r>
          </w:p>
        </w:tc>
      </w:tr>
      <w:tr>
        <w:tc>
          <w:tcPr>
            <w:tcW w:type="dxa" w:w="48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87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IndoGB risk premia skew wider but bottoming</w:t>
            </w:r>
          </w:p>
        </w:tc>
        <w:tc>
          <w:tcPr>
            <w:tcW w:type="dxa" w:w="80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104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JPM</w:t>
            </w:r>
          </w:p>
        </w:tc>
        <w:tc>
          <w:tcPr>
            <w:tcW w:type="dxa" w:w="444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Net debt issuance the key catalyst to watch</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Indonesia is a fiscal-and-positioning read this window. </w:t>
      </w:r>
      <w:r>
        <w:rPr>
          <w:rFonts w:ascii="Public Sans" w:hAnsi="Public Sans"/>
          <w:b/>
          <w:i w:val="0"/>
          <w:color w:val="3D3E3E"/>
          <w:sz w:val="19"/>
        </w:rPr>
        <w:t>JPM (18151):</w:t>
      </w:r>
      <w:r>
        <w:rPr>
          <w:rFonts w:ascii="Public Sans" w:hAnsi="Public Sans"/>
          <w:b w:val="0"/>
          <w:i w:val="0"/>
          <w:color w:val="3D3E3E"/>
          <w:sz w:val="19"/>
        </w:rPr>
        <w:t xml:space="preserve"> the </w:t>
      </w:r>
      <w:r>
        <w:rPr>
          <w:rFonts w:ascii="Public Sans" w:hAnsi="Public Sans"/>
          <w:b/>
          <w:i w:val="0"/>
          <w:color w:val="3D3E3E"/>
          <w:sz w:val="19"/>
        </w:rPr>
        <w:t>2026 fiscal deficit target was raised to 2.85% of GDP (from 2.68%)</w:t>
      </w:r>
      <w:r>
        <w:rPr>
          <w:rFonts w:ascii="Public Sans" w:hAnsi="Public Sans"/>
          <w:b w:val="0"/>
          <w:i w:val="0"/>
          <w:color w:val="3D3E3E"/>
          <w:sz w:val="19"/>
        </w:rPr>
        <w:t xml:space="preserve">, reflecting higher fuel-subsidy spending but remaining below the statutory ceiling; the planned consolidation via expenditure cuts is "encouraging," though implementation faces the government's growth objectives. On strategy: BOP fundamentals are "firm but sentimental," with foreign-inflow signs improving; a hawkish BI pivot provides an anchor, but weak seasonals and a stronger USD point to "moderate IDR underperformance ahead." JPM stays </w:t>
      </w:r>
      <w:r>
        <w:rPr>
          <w:rFonts w:ascii="Public Sans" w:hAnsi="Public Sans"/>
          <w:b/>
          <w:i w:val="0"/>
          <w:color w:val="3D3E3E"/>
          <w:sz w:val="19"/>
        </w:rPr>
        <w:t>MW IDR FX and MW IndoGBs</w:t>
      </w:r>
      <w:r>
        <w:rPr>
          <w:rFonts w:ascii="Public Sans" w:hAnsi="Public Sans"/>
          <w:b w:val="0"/>
          <w:i w:val="0"/>
          <w:color w:val="3D3E3E"/>
          <w:sz w:val="19"/>
        </w:rPr>
        <w:t xml:space="preserve"> (net debt issuance the catalyst; heavy UW positioning already prices well-known fiscal risks; risk premia may widen further on FX pressure and reduced BI support), and expresses relative value as </w:t>
      </w:r>
      <w:r>
        <w:rPr>
          <w:rFonts w:ascii="Public Sans" w:hAnsi="Public Sans"/>
          <w:b/>
          <w:i w:val="0"/>
          <w:color w:val="3D3E3E"/>
          <w:sz w:val="19"/>
        </w:rPr>
        <w:t>long INR vs PHP and IDR</w:t>
      </w:r>
      <w:r>
        <w:rPr>
          <w:rFonts w:ascii="Public Sans" w:hAnsi="Public Sans"/>
          <w:b w:val="0"/>
          <w:i w:val="0"/>
          <w:color w:val="3D3E3E"/>
          <w:sz w:val="19"/>
        </w:rPr>
        <w:t xml:space="preserve">. On credit, it </w:t>
      </w:r>
      <w:r>
        <w:rPr>
          <w:rFonts w:ascii="Public Sans" w:hAnsi="Public Sans"/>
          <w:b/>
          <w:i w:val="0"/>
          <w:color w:val="3D3E3E"/>
          <w:sz w:val="19"/>
        </w:rPr>
        <w:t>reduces its UW in INDONs</w:t>
      </w:r>
      <w:r>
        <w:rPr>
          <w:rFonts w:ascii="Public Sans" w:hAnsi="Public Sans"/>
          <w:b w:val="0"/>
          <w:i w:val="0"/>
          <w:color w:val="3D3E3E"/>
          <w:sz w:val="19"/>
        </w:rPr>
        <w:t xml:space="preserve">, taking partial profit on a 116bp underperformance while still calling valuations rich. </w:t>
      </w:r>
      <w:r>
        <w:rPr>
          <w:rFonts w:ascii="Public Sans" w:hAnsi="Public Sans"/>
          <w:b/>
          <w:i w:val="0"/>
          <w:color w:val="3D3E3E"/>
          <w:sz w:val="19"/>
        </w:rPr>
        <w:t>IDR firmed +0.27% DoD</w:t>
      </w:r>
      <w:r>
        <w:rPr>
          <w:rFonts w:ascii="Public Sans" w:hAnsi="Public Sans"/>
          <w:b w:val="0"/>
          <w:i w:val="0"/>
          <w:color w:val="3D3E3E"/>
          <w:sz w:val="19"/>
        </w:rPr>
        <w:t xml:space="preserve"> on the soft US CPI; JIBOR 10y +5.3bp (the Asian close). BI decides 22-Jul.</w:t>
      </w:r>
    </w:p>
    <w:p>
      <w:pPr>
        <w:spacing w:after="80" w:line="283" w:lineRule="auto"/>
      </w:pPr>
      <w:r>
        <w:rPr>
          <w:rFonts w:ascii="Public Sans" w:hAnsi="Public Sans"/>
          <w:b/>
          <w:i w:val="0"/>
          <w:color w:val="3D3E3E"/>
          <w:sz w:val="19"/>
        </w:rPr>
        <w:t>C · Consensus views</w:t>
      </w:r>
      <w:r>
        <w:rPr>
          <w:rFonts w:ascii="Public Sans" w:hAnsi="Public Sans"/>
          <w:b w:val="0"/>
          <w:i w:val="0"/>
          <w:color w:val="3D3E3E"/>
          <w:sz w:val="19"/>
        </w:rPr>
        <w:t xml:space="preserve"> No independent second-house Indonesia-macro cluster in-window; JPM's fiscal-and-positioning note is the anchor, sitting with Citi's carried EM-book o/w IDR.</w:t>
      </w:r>
    </w:p>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26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66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43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43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43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43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26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JPM</w:t>
            </w:r>
          </w:p>
        </w:tc>
        <w:tc>
          <w:tcPr>
            <w:tcW w:type="dxa" w:w="6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FX/rates/credit</w:t>
            </w:r>
          </w:p>
        </w:tc>
        <w:tc>
          <w:tcPr>
            <w:tcW w:type="dxa" w:w="243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MW IDR, MW IndoGBs, reduce UW INDONs; long INR vs PHP &amp; IDR</w:t>
            </w:r>
          </w:p>
        </w:tc>
        <w:tc>
          <w:tcPr>
            <w:tcW w:type="dxa" w:w="243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most complete cross-asset Indonesia positioning read in-window</w:t>
            </w:r>
          </w:p>
        </w:tc>
        <w:tc>
          <w:tcPr>
            <w:tcW w:type="dxa" w:w="243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BI stays hawkish; FA flows keep improving; consolidation delivers</w:t>
            </w:r>
          </w:p>
        </w:tc>
        <w:tc>
          <w:tcPr>
            <w:tcW w:type="dxa" w:w="243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Fiscal slippage / FX pressure widens IndoGB risk premia</w:t>
            </w:r>
          </w:p>
        </w:tc>
      </w:tr>
    </w:tbl>
    <w:p>
      <w:pPr>
        <w:spacing w:after="80" w:line="283" w:lineRule="auto"/>
      </w:pPr>
      <w:r>
        <w:rPr>
          <w:rFonts w:ascii="Public Sans" w:hAnsi="Public Sans"/>
          <w:b w:val="0"/>
          <w:i w:val="0"/>
          <w:color w:val="3D3E3E"/>
          <w:sz w:val="19"/>
        </w:rPr>
        <w:t xml:space="preserve">Trade rows: </w:t>
      </w:r>
      <w:r>
        <w:rPr>
          <w:rFonts w:ascii="Public Sans" w:hAnsi="Public Sans"/>
          <w:b/>
          <w:i w:val="0"/>
          <w:color w:val="3D3E3E"/>
          <w:sz w:val="19"/>
        </w:rPr>
        <w:t>#10</w:t>
      </w:r>
      <w:r>
        <w:rPr>
          <w:rFonts w:ascii="Public Sans" w:hAnsi="Public Sans"/>
          <w:b w:val="0"/>
          <w:i w:val="0"/>
          <w:color w:val="3D3E3E"/>
          <w:sz w:val="19"/>
        </w:rPr>
        <w:t xml:space="preserve">. </w:t>
      </w:r>
      <w:r>
        <w:rPr>
          <w:rFonts w:ascii="Public Sans" w:hAnsi="Public Sans"/>
          <w:b/>
          <w:i w:val="0"/>
          <w:color w:val="3D3E3E"/>
          <w:sz w:val="19"/>
        </w:rPr>
        <w:t>DEPTH:</w:t>
      </w:r>
      <w:r>
        <w:rPr>
          <w:rFonts w:ascii="Public Sans" w:hAnsi="Public Sans"/>
          <w:b w:val="0"/>
          <w:i w:val="0"/>
          <w:color w:val="3D3E3E"/>
          <w:sz w:val="19"/>
        </w:rPr>
        <w:t xml:space="preserve"> ID econ.fact_indicator deep (loaded). The verified anchor is the 2026-06-18 BI +25bp hike. </w:t>
      </w:r>
      <w:r>
        <w:rPr>
          <w:rFonts w:ascii="Public Sans" w:hAnsi="Public Sans"/>
          <w:b/>
          <w:i w:val="0"/>
          <w:color w:val="3D3E3E"/>
          <w:sz w:val="19"/>
        </w:rPr>
        <w:t>Flags:</w:t>
      </w:r>
      <w:r>
        <w:rPr>
          <w:rFonts w:ascii="Public Sans" w:hAnsi="Public Sans"/>
          <w:b w:val="0"/>
          <w:i w:val="0"/>
          <w:color w:val="3D3E3E"/>
          <w:sz w:val="19"/>
        </w:rPr>
        <w:t xml:space="preserve"> BI decision 22-Jul forward; the fiscal-deficit figure is a government target (per flow / JPM 18151).</w:t>
      </w:r>
    </w:p>
    <w:p>
      <w:pPr>
        <w:spacing w:before="200" w:after="60"/>
        <w:keepNext/>
        <w:pBdr>
          <w:bottom w:val="single" w:sz="4" w:space="2" w:color="E0E9E4"/>
        </w:pBdr>
      </w:pPr>
      <w:r>
        <w:rPr>
          <w:rFonts w:ascii="Georgia" w:hAnsi="Georgia"/>
          <w:b/>
          <w:color w:val="4D806A"/>
          <w:sz w:val="23"/>
        </w:rPr>
        <w:t>Thailand — Quiet; Citi's booked long USD/THB carries, BoT on hold; THB flat, rates backed up</w:t>
      </w:r>
    </w:p>
    <w:p>
      <w:pPr>
        <w:spacing w:after="80" w:line="283" w:lineRule="auto"/>
      </w:pPr>
      <w:r>
        <w:rPr>
          <w:rFonts w:ascii="Public Sans" w:hAnsi="Public Sans"/>
          <w:b w:val="0"/>
          <w:i/>
          <w:color w:val="3D3E3E"/>
          <w:sz w:val="19"/>
        </w:rPr>
        <w:t>Flagships read: Citi "Strategy: TP on Long USDTHB Exposure; Rolling Over Bearish [PHP]" (18064); Citi The Point for Asia Pacific (18347); SocGen EM/FX Asia Pulse (18163); Nomura SDR FX Analysis — Asia (18370). No dedicated Thailand-macro flagship in-window.</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42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93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71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64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393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42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9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Citi's booked long USD/THB (+82bp), FX-intervention anchor</w:t>
            </w:r>
          </w:p>
        </w:tc>
        <w:tc>
          <w:tcPr>
            <w:tcW w:type="dxa" w:w="71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THB</w:t>
            </w:r>
          </w:p>
        </w:tc>
        <w:tc>
          <w:tcPr>
            <w:tcW w:type="dxa" w:w="164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Citi</w:t>
            </w:r>
          </w:p>
        </w:tc>
        <w:tc>
          <w:tcPr>
            <w:tcW w:type="dxa" w:w="39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Expects intervention to anchor USD/THB after the profit-take</w:t>
            </w:r>
          </w:p>
        </w:tc>
      </w:tr>
      <w:tr>
        <w:tc>
          <w:tcPr>
            <w:tcW w:type="dxa" w:w="42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9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BoT on hold; THB flat, rates backed up</w:t>
            </w:r>
          </w:p>
        </w:tc>
        <w:tc>
          <w:tcPr>
            <w:tcW w:type="dxa" w:w="71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 THB</w:t>
            </w:r>
          </w:p>
        </w:tc>
        <w:tc>
          <w:tcPr>
            <w:tcW w:type="dxa" w:w="164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StanC (carried), Nomura</w:t>
            </w:r>
          </w:p>
        </w:tc>
        <w:tc>
          <w:tcPr>
            <w:tcW w:type="dxa" w:w="39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THOR +4-6bp (Asian close); no domestic catalyst in-window</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Thailand is quiet in-window, trading off FX-positioning and the BoT's on-hold stance. </w:t>
      </w:r>
      <w:r>
        <w:rPr>
          <w:rFonts w:ascii="Public Sans" w:hAnsi="Public Sans"/>
          <w:b/>
          <w:i w:val="0"/>
          <w:color w:val="3D3E3E"/>
          <w:sz w:val="19"/>
        </w:rPr>
        <w:t>Citi (18064)</w:t>
      </w:r>
      <w:r>
        <w:rPr>
          <w:rFonts w:ascii="Public Sans" w:hAnsi="Public Sans"/>
          <w:b w:val="0"/>
          <w:i w:val="0"/>
          <w:color w:val="3D3E3E"/>
          <w:sz w:val="19"/>
        </w:rPr>
        <w:t xml:space="preserve"> took profit on its long USD/THB (2m EKO) exposure (+82bp, carried from the prior window) and expects FX intervention to anchor the pair — while rolling over its bearish PHP structure. </w:t>
      </w:r>
      <w:r>
        <w:rPr>
          <w:rFonts w:ascii="Public Sans" w:hAnsi="Public Sans"/>
          <w:b/>
          <w:i w:val="0"/>
          <w:color w:val="3D3E3E"/>
          <w:sz w:val="19"/>
        </w:rPr>
        <w:t>THB was ~flat (+0.14% DoD)</w:t>
      </w:r>
      <w:r>
        <w:rPr>
          <w:rFonts w:ascii="Public Sans" w:hAnsi="Public Sans"/>
          <w:b w:val="0"/>
          <w:i w:val="0"/>
          <w:color w:val="3D3E3E"/>
          <w:sz w:val="19"/>
        </w:rPr>
        <w:t xml:space="preserve">; </w:t>
      </w:r>
      <w:r>
        <w:rPr>
          <w:rFonts w:ascii="Public Sans" w:hAnsi="Public Sans"/>
          <w:b/>
          <w:i w:val="0"/>
          <w:color w:val="3D3E3E"/>
          <w:sz w:val="19"/>
        </w:rPr>
        <w:t>THOR backed up (2y +4.3bp / 10y +5.9bp)</w:t>
      </w:r>
      <w:r>
        <w:rPr>
          <w:rFonts w:ascii="Public Sans" w:hAnsi="Public Sans"/>
          <w:b w:val="0"/>
          <w:i w:val="0"/>
          <w:color w:val="3D3E3E"/>
          <w:sz w:val="19"/>
        </w:rPr>
        <w:t xml:space="preserve"> on the Tuesday Asian close (pre-US-CPI), the most in ASEAN alongside SG — the soft-CPI relief should temper that on 07-15. StanC (carried) keeps the BoT on hold both years. No fresh Thailand-specific macro print or house-forecast note landed in-window; CPI/policy are post-window.</w:t>
      </w:r>
    </w:p>
    <w:p>
      <w:pPr>
        <w:spacing w:after="80" w:line="283" w:lineRule="auto"/>
      </w:pPr>
      <w:r>
        <w:rPr>
          <w:rFonts w:ascii="Public Sans" w:hAnsi="Public Sans"/>
          <w:b/>
          <w:i w:val="0"/>
          <w:color w:val="3D3E3E"/>
          <w:sz w:val="19"/>
        </w:rPr>
        <w:t>C · Consensus views</w:t>
      </w:r>
      <w:r>
        <w:rPr>
          <w:rFonts w:ascii="Public Sans" w:hAnsi="Public Sans"/>
          <w:b w:val="0"/>
          <w:i w:val="0"/>
          <w:color w:val="3D3E3E"/>
          <w:sz w:val="19"/>
        </w:rPr>
        <w:t xml:space="preserve"> No independent Thailand-macro cluster in-window; THB sits inside Citi's EM options book and the on-hold BoT read.</w:t>
      </w:r>
    </w:p>
    <w:p>
      <w:pPr>
        <w:spacing w:after="80" w:line="283" w:lineRule="auto"/>
      </w:pPr>
      <w:r>
        <w:rPr>
          <w:rFonts w:ascii="Public Sans" w:hAnsi="Public Sans"/>
          <w:b/>
          <w:i w:val="0"/>
          <w:color w:val="3D3E3E"/>
          <w:sz w:val="19"/>
        </w:rPr>
        <w:t>D · Differentiated / unique views</w:t>
      </w:r>
      <w:r>
        <w:rPr>
          <w:rFonts w:ascii="Public Sans" w:hAnsi="Public Sans"/>
          <w:b w:val="0"/>
          <w:i w:val="0"/>
          <w:color w:val="3D3E3E"/>
          <w:sz w:val="19"/>
        </w:rPr>
        <w:t xml:space="preserve"> None fresh Thailand-specific in-window (Citi's USD/THB is a booked/managed position, row 11).</w:t>
      </w:r>
    </w:p>
    <w:p>
      <w:pPr>
        <w:spacing w:after="80" w:line="283" w:lineRule="auto"/>
      </w:pPr>
      <w:r>
        <w:rPr>
          <w:rFonts w:ascii="Public Sans" w:hAnsi="Public Sans"/>
          <w:b w:val="0"/>
          <w:i w:val="0"/>
          <w:color w:val="3D3E3E"/>
          <w:sz w:val="19"/>
        </w:rPr>
        <w:t xml:space="preserve">Trade rows: </w:t>
      </w:r>
      <w:r>
        <w:rPr>
          <w:rFonts w:ascii="Public Sans" w:hAnsi="Public Sans"/>
          <w:b/>
          <w:i w:val="0"/>
          <w:color w:val="3D3E3E"/>
          <w:sz w:val="19"/>
        </w:rPr>
        <w:t>#11</w:t>
      </w:r>
      <w:r>
        <w:rPr>
          <w:rFonts w:ascii="Public Sans" w:hAnsi="Public Sans"/>
          <w:b w:val="0"/>
          <w:i w:val="0"/>
          <w:color w:val="3D3E3E"/>
          <w:sz w:val="19"/>
        </w:rPr>
        <w:t xml:space="preserve"> (carried). </w:t>
      </w:r>
      <w:r>
        <w:rPr>
          <w:rFonts w:ascii="Public Sans" w:hAnsi="Public Sans"/>
          <w:b/>
          <w:i w:val="0"/>
          <w:color w:val="3D3E3E"/>
          <w:sz w:val="19"/>
        </w:rPr>
        <w:t>DEPTH:</w:t>
      </w:r>
      <w:r>
        <w:rPr>
          <w:rFonts w:ascii="Public Sans" w:hAnsi="Public Sans"/>
          <w:b w:val="0"/>
          <w:i w:val="0"/>
          <w:color w:val="3D3E3E"/>
          <w:sz w:val="19"/>
        </w:rPr>
        <w:t xml:space="preserve"> TH econ.fact_indicator partial. The verified anchor is the 2026-06-24 BoT hold. </w:t>
      </w:r>
      <w:r>
        <w:rPr>
          <w:rFonts w:ascii="Public Sans" w:hAnsi="Public Sans"/>
          <w:b/>
          <w:i w:val="0"/>
          <w:color w:val="3D3E3E"/>
          <w:sz w:val="19"/>
        </w:rPr>
        <w:t>Flags:</w:t>
      </w:r>
      <w:r>
        <w:rPr>
          <w:rFonts w:ascii="Public Sans" w:hAnsi="Public Sans"/>
          <w:b w:val="0"/>
          <w:i w:val="0"/>
          <w:color w:val="3D3E3E"/>
          <w:sz w:val="19"/>
        </w:rPr>
        <w:t xml:space="preserve"> no in-window Thailand-macro flagship (traded off FX + BoT-on-hold); THOR is the pre-US-CPI Asian close.</w:t>
      </w:r>
    </w:p>
    <w:p>
      <w:pPr>
        <w:spacing w:before="200" w:after="60"/>
        <w:keepNext/>
        <w:pBdr>
          <w:bottom w:val="single" w:sz="4" w:space="2" w:color="E0E9E4"/>
        </w:pBdr>
      </w:pPr>
      <w:r>
        <w:rPr>
          <w:rFonts w:ascii="Georgia" w:hAnsi="Georgia"/>
          <w:b/>
          <w:color w:val="4D806A"/>
          <w:sz w:val="23"/>
        </w:rPr>
        <w:t>Malaysia — Quiet ahead of Thursday's CPI + Q2 GDP double print</w:t>
      </w:r>
    </w:p>
    <w:p>
      <w:pPr>
        <w:spacing w:after="80" w:line="283" w:lineRule="auto"/>
      </w:pPr>
      <w:r>
        <w:rPr>
          <w:rFonts w:ascii="Public Sans" w:hAnsi="Public Sans"/>
          <w:b w:val="0"/>
          <w:i/>
          <w:color w:val="3D3E3E"/>
          <w:sz w:val="19"/>
        </w:rPr>
        <w:t>Flagships read: no dedicated Malaysia-macro flagship in-window; MYR/rates trade off the regional tape into the 17-Jul releases. (Prior-window: Barclays Sep-hike call, GS "continuity" on Johor — carried.)</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54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07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90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17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496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5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07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CPI + Q2 GDP prelim both 17-Jul</w:t>
            </w:r>
          </w:p>
        </w:tc>
        <w:tc>
          <w:tcPr>
            <w:tcW w:type="dxa" w:w="90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 MYR</w:t>
            </w:r>
          </w:p>
        </w:tc>
        <w:tc>
          <w:tcPr>
            <w:tcW w:type="dxa" w:w="11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(calendar)</w:t>
            </w:r>
          </w:p>
        </w:tc>
        <w:tc>
          <w:tcPr>
            <w:tcW w:type="dxa" w:w="496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CPI survey 2.0%, GDP prelim fcst 5.3% — Thursday's fork</w:t>
            </w:r>
          </w:p>
        </w:tc>
      </w:tr>
      <w:tr>
        <w:tc>
          <w:tcPr>
            <w:tcW w:type="dxa" w:w="5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07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MYR firmer on soft US CPI (+0.25%)</w:t>
            </w:r>
          </w:p>
        </w:tc>
        <w:tc>
          <w:tcPr>
            <w:tcW w:type="dxa" w:w="90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MYR</w:t>
            </w:r>
          </w:p>
        </w:tc>
        <w:tc>
          <w:tcPr>
            <w:tcW w:type="dxa" w:w="11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(market)</w:t>
            </w:r>
          </w:p>
        </w:tc>
        <w:tc>
          <w:tcPr>
            <w:tcW w:type="dxa" w:w="496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 nudged up (KLIBOR +2-3bp, Asian close)</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Malaysia is genuinely quiet in-window, ahead of a Thursday double print. </w:t>
      </w:r>
      <w:r>
        <w:rPr>
          <w:rFonts w:ascii="Public Sans" w:hAnsi="Public Sans"/>
          <w:b/>
          <w:i w:val="0"/>
          <w:color w:val="3D3E3E"/>
          <w:sz w:val="19"/>
        </w:rPr>
        <w:t>CPI (17-Jul, survey 2.0% yoy) and advance Q2 GDP (17-Jul, forecast 5.3%, prior 5.4%)</w:t>
      </w:r>
      <w:r>
        <w:rPr>
          <w:rFonts w:ascii="Public Sans" w:hAnsi="Public Sans"/>
          <w:b w:val="0"/>
          <w:i w:val="0"/>
          <w:color w:val="3D3E3E"/>
          <w:sz w:val="19"/>
        </w:rPr>
        <w:t xml:space="preserve"> are the fork; no dedicated Malaysia-macro flagship landed on 07-14/07-15. </w:t>
      </w:r>
      <w:r>
        <w:rPr>
          <w:rFonts w:ascii="Public Sans" w:hAnsi="Public Sans"/>
          <w:b/>
          <w:i w:val="0"/>
          <w:color w:val="3D3E3E"/>
          <w:sz w:val="19"/>
        </w:rPr>
        <w:t>MYR firmed +0.25% DoD</w:t>
      </w:r>
      <w:r>
        <w:rPr>
          <w:rFonts w:ascii="Public Sans" w:hAnsi="Public Sans"/>
          <w:b w:val="0"/>
          <w:i w:val="0"/>
          <w:color w:val="3D3E3E"/>
          <w:sz w:val="19"/>
        </w:rPr>
        <w:t xml:space="preserve"> on the soft US CPI; KLIBOR nudged up (2y +2.3bp / 10y +2.5bp, the Asian close). The carried house frame — Barclays keeping a September +25bp to 3.00% vs GS "continuity" on the Johor politics — awaits Thursday's growth/inflation data to advance. The one thing to watch: whether the Q2 GDP prelim confirms above-5% growth that would keep the Barclays Sep-hike case alive.</w:t>
      </w:r>
    </w:p>
    <w:p>
      <w:pPr>
        <w:spacing w:after="80" w:line="283" w:lineRule="auto"/>
      </w:pPr>
      <w:r>
        <w:rPr>
          <w:rFonts w:ascii="Public Sans" w:hAnsi="Public Sans"/>
          <w:b/>
          <w:i w:val="0"/>
          <w:color w:val="3D3E3E"/>
          <w:sz w:val="19"/>
        </w:rPr>
        <w:t>C · Consensus views</w:t>
      </w:r>
      <w:r>
        <w:rPr>
          <w:rFonts w:ascii="Public Sans" w:hAnsi="Public Sans"/>
          <w:b w:val="0"/>
          <w:i w:val="0"/>
          <w:color w:val="3D3E3E"/>
          <w:sz w:val="19"/>
        </w:rPr>
        <w:t xml:space="preserve"> No independent Malaysia-macro cluster in-window; the read waits on the 17-Jul CPI + GDP.</w:t>
      </w:r>
    </w:p>
    <w:p>
      <w:pPr>
        <w:spacing w:after="80" w:line="283" w:lineRule="auto"/>
      </w:pPr>
      <w:r>
        <w:rPr>
          <w:rFonts w:ascii="Public Sans" w:hAnsi="Public Sans"/>
          <w:b/>
          <w:i w:val="0"/>
          <w:color w:val="3D3E3E"/>
          <w:sz w:val="19"/>
        </w:rPr>
        <w:t>D · Differentiated / unique views</w:t>
      </w:r>
      <w:r>
        <w:rPr>
          <w:rFonts w:ascii="Public Sans" w:hAnsi="Public Sans"/>
          <w:b w:val="0"/>
          <w:i w:val="0"/>
          <w:color w:val="3D3E3E"/>
          <w:sz w:val="19"/>
        </w:rPr>
        <w:t xml:space="preserve"> None fresh Malaysia-specific in-window (carried: Barclays Sep-hike vs GS continuity).</w:t>
      </w:r>
    </w:p>
    <w:p>
      <w:pPr>
        <w:spacing w:after="80" w:line="283" w:lineRule="auto"/>
      </w:pPr>
      <w:r>
        <w:rPr>
          <w:rFonts w:ascii="Public Sans" w:hAnsi="Public Sans"/>
          <w:b w:val="0"/>
          <w:i w:val="0"/>
          <w:color w:val="3D3E3E"/>
          <w:sz w:val="19"/>
        </w:rPr>
        <w:t xml:space="preserve">Trade rows: none direct. </w:t>
      </w:r>
      <w:r>
        <w:rPr>
          <w:rFonts w:ascii="Public Sans" w:hAnsi="Public Sans"/>
          <w:b/>
          <w:i w:val="0"/>
          <w:color w:val="3D3E3E"/>
          <w:sz w:val="19"/>
        </w:rPr>
        <w:t>DEPTH:</w:t>
      </w:r>
      <w:r>
        <w:rPr>
          <w:rFonts w:ascii="Public Sans" w:hAnsi="Public Sans"/>
          <w:b w:val="0"/>
          <w:i w:val="0"/>
          <w:color w:val="3D3E3E"/>
          <w:sz w:val="19"/>
        </w:rPr>
        <w:t xml:space="preserve"> MY econ.fact_indicator partial. The verified anchor is the 2026-07-09 BNM hold at 2.75%. </w:t>
      </w:r>
      <w:r>
        <w:rPr>
          <w:rFonts w:ascii="Public Sans" w:hAnsi="Public Sans"/>
          <w:b/>
          <w:i w:val="0"/>
          <w:color w:val="3D3E3E"/>
          <w:sz w:val="19"/>
        </w:rPr>
        <w:t>Flags:</w:t>
      </w:r>
      <w:r>
        <w:rPr>
          <w:rFonts w:ascii="Public Sans" w:hAnsi="Public Sans"/>
          <w:b w:val="0"/>
          <w:i w:val="0"/>
          <w:color w:val="3D3E3E"/>
          <w:sz w:val="19"/>
        </w:rPr>
        <w:t xml:space="preserve"> CPI + Q2 GDP prelim 17-Jul forward; no in-window Malaysia flagship.</w:t>
      </w:r>
    </w:p>
    <w:p>
      <w:pPr>
        <w:spacing w:before="200" w:after="60"/>
        <w:keepNext/>
        <w:pBdr>
          <w:bottom w:val="single" w:sz="4" w:space="2" w:color="E0E9E4"/>
        </w:pBdr>
      </w:pPr>
      <w:r>
        <w:rPr>
          <w:rFonts w:ascii="Georgia" w:hAnsi="Georgia"/>
          <w:b/>
          <w:color w:val="4D806A"/>
          <w:sz w:val="23"/>
        </w:rPr>
        <w:t>Philippines — Quiet; peso firmer, PHIREF backed up, UBS flags local equity conviction</w:t>
      </w:r>
    </w:p>
    <w:p>
      <w:pPr>
        <w:spacing w:after="80" w:line="283" w:lineRule="auto"/>
      </w:pPr>
      <w:r>
        <w:rPr>
          <w:rFonts w:ascii="Public Sans" w:hAnsi="Public Sans"/>
          <w:b w:val="0"/>
          <w:i/>
          <w:color w:val="3D3E3E"/>
          <w:sz w:val="19"/>
        </w:rPr>
        <w:t>Flagships read: UBS "Philippine Equity Strategy: Word on the Street — local conviction" (18233); Citi rolled bearish PHP 1x1.5 call ratio 3m (18064); Nomura SDR FX Analysis — Asia (18370). No dedicated Philippines-rates/FX-macro flagship in-window.</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54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25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722"/>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1174"/>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496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5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25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PHIREF front backed up (Asian close)</w:t>
            </w:r>
          </w:p>
        </w:tc>
        <w:tc>
          <w:tcPr>
            <w:tcW w:type="dxa" w:w="72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11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(market)</w:t>
            </w:r>
          </w:p>
        </w:tc>
        <w:tc>
          <w:tcPr>
            <w:tcW w:type="dxa" w:w="496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2y +11.5bp on the pre-CPI tape; soft-CPI relief lands 07-15</w:t>
            </w:r>
          </w:p>
        </w:tc>
      </w:tr>
      <w:tr>
        <w:tc>
          <w:tcPr>
            <w:tcW w:type="dxa" w:w="54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25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Citi's rolled bearish PHP structure</w:t>
            </w:r>
          </w:p>
        </w:tc>
        <w:tc>
          <w:tcPr>
            <w:tcW w:type="dxa" w:w="722"/>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PHP</w:t>
            </w:r>
          </w:p>
        </w:tc>
        <w:tc>
          <w:tcPr>
            <w:tcW w:type="dxa" w:w="1174"/>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Citi</w:t>
            </w:r>
          </w:p>
        </w:tc>
        <w:tc>
          <w:tcPr>
            <w:tcW w:type="dxa" w:w="496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Caps expected PHP strength; rolled 3m</w:t>
            </w:r>
          </w:p>
        </w:tc>
      </w:tr>
      <w:tr>
        <w:tc>
          <w:tcPr>
            <w:tcW w:type="dxa" w:w="54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25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UBS: local equity conviction</w:t>
            </w:r>
          </w:p>
        </w:tc>
        <w:tc>
          <w:tcPr>
            <w:tcW w:type="dxa" w:w="722"/>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Equities</w:t>
            </w:r>
          </w:p>
        </w:tc>
        <w:tc>
          <w:tcPr>
            <w:tcW w:type="dxa" w:w="1174"/>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UBS</w:t>
            </w:r>
          </w:p>
        </w:tc>
        <w:tc>
          <w:tcPr>
            <w:tcW w:type="dxa" w:w="496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Domestic-investor positioning read</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The Philippines is quiet in-window on the macro side, trading off FX-positioning and the front-end. </w:t>
      </w:r>
      <w:r>
        <w:rPr>
          <w:rFonts w:ascii="Public Sans" w:hAnsi="Public Sans"/>
          <w:b/>
          <w:i w:val="0"/>
          <w:color w:val="3D3E3E"/>
          <w:sz w:val="19"/>
        </w:rPr>
        <w:t>PHP firmed modestly (+0.10% DoD)</w:t>
      </w:r>
      <w:r>
        <w:rPr>
          <w:rFonts w:ascii="Public Sans" w:hAnsi="Public Sans"/>
          <w:b w:val="0"/>
          <w:i w:val="0"/>
          <w:color w:val="3D3E3E"/>
          <w:sz w:val="19"/>
        </w:rPr>
        <w:t xml:space="preserve"> on the soft US CPI; </w:t>
      </w:r>
      <w:r>
        <w:rPr>
          <w:rFonts w:ascii="Public Sans" w:hAnsi="Public Sans"/>
          <w:b/>
          <w:i w:val="0"/>
          <w:color w:val="3D3E3E"/>
          <w:sz w:val="19"/>
        </w:rPr>
        <w:t>PHIREF backed up sharply (2y +11.5bp / 10y +3.7bp)</w:t>
      </w:r>
      <w:r>
        <w:rPr>
          <w:rFonts w:ascii="Public Sans" w:hAnsi="Public Sans"/>
          <w:b w:val="0"/>
          <w:i w:val="0"/>
          <w:color w:val="3D3E3E"/>
          <w:sz w:val="19"/>
        </w:rPr>
        <w:t xml:space="preserve"> — but that is the Tuesday Asian close (pre-US-CPI), so the soft-CPI relief should ease it on 07-15. </w:t>
      </w:r>
      <w:r>
        <w:rPr>
          <w:rFonts w:ascii="Public Sans" w:hAnsi="Public Sans"/>
          <w:b/>
          <w:i w:val="0"/>
          <w:color w:val="3D3E3E"/>
          <w:sz w:val="19"/>
        </w:rPr>
        <w:t>Citi (18064)</w:t>
      </w:r>
      <w:r>
        <w:rPr>
          <w:rFonts w:ascii="Public Sans" w:hAnsi="Public Sans"/>
          <w:b w:val="0"/>
          <w:i w:val="0"/>
          <w:color w:val="3D3E3E"/>
          <w:sz w:val="19"/>
        </w:rPr>
        <w:t xml:space="preserve"> rolled its bearish PHP 1x1.5 call ratio 3m (carried), capping expected peso strength. </w:t>
      </w:r>
      <w:r>
        <w:rPr>
          <w:rFonts w:ascii="Public Sans" w:hAnsi="Public Sans"/>
          <w:b/>
          <w:i w:val="0"/>
          <w:color w:val="3D3E3E"/>
          <w:sz w:val="19"/>
        </w:rPr>
        <w:t>UBS (18233)</w:t>
      </w:r>
      <w:r>
        <w:rPr>
          <w:rFonts w:ascii="Public Sans" w:hAnsi="Public Sans"/>
          <w:b w:val="0"/>
          <w:i w:val="0"/>
          <w:color w:val="3D3E3E"/>
          <w:sz w:val="19"/>
        </w:rPr>
        <w:t xml:space="preserve"> flags local-investor conviction in the equity market ("word on the street"). No fresh Philippines-rates or CPI print landed in-window; StanC's carried frame (5.00% August, 2Y-3Y RPGB carry) awaits the next data. The one thing to watch: the impeachment-trial backdrop and any BSP guidance ahead of the August meeting.</w:t>
      </w:r>
    </w:p>
    <w:p>
      <w:pPr>
        <w:spacing w:after="80" w:line="283" w:lineRule="auto"/>
      </w:pPr>
      <w:r>
        <w:rPr>
          <w:rFonts w:ascii="Public Sans" w:hAnsi="Public Sans"/>
          <w:b/>
          <w:i w:val="0"/>
          <w:color w:val="3D3E3E"/>
          <w:sz w:val="19"/>
        </w:rPr>
        <w:t>C · Consensus views</w:t>
      </w:r>
      <w:r>
        <w:rPr>
          <w:rFonts w:ascii="Public Sans" w:hAnsi="Public Sans"/>
          <w:b w:val="0"/>
          <w:i w:val="0"/>
          <w:color w:val="3D3E3E"/>
          <w:sz w:val="19"/>
        </w:rPr>
        <w:t xml:space="preserve"> No independent Philippines-macro cluster in-window; the read sits inside Citi's EM options book and UBS's equity-positioning note.</w:t>
      </w:r>
    </w:p>
    <w:p>
      <w:pPr>
        <w:spacing w:after="80" w:line="283" w:lineRule="auto"/>
      </w:pPr>
      <w:r>
        <w:rPr>
          <w:rFonts w:ascii="Public Sans" w:hAnsi="Public Sans"/>
          <w:b/>
          <w:i w:val="0"/>
          <w:color w:val="3D3E3E"/>
          <w:sz w:val="19"/>
        </w:rPr>
        <w:t>D · Differentiated / unique views</w:t>
      </w:r>
      <w:r>
        <w:rPr>
          <w:rFonts w:ascii="Public Sans" w:hAnsi="Public Sans"/>
          <w:b w:val="0"/>
          <w:i w:val="0"/>
          <w:color w:val="3D3E3E"/>
          <w:sz w:val="19"/>
        </w:rPr>
        <w:t xml:space="preserve"> None fresh Philippines-macro in-window (carried: Citi bearish-PHP roll; StanC 5.00% Aug + RPGB carry).</w:t>
      </w:r>
    </w:p>
    <w:p>
      <w:pPr>
        <w:spacing w:after="80" w:line="283" w:lineRule="auto"/>
      </w:pPr>
      <w:r>
        <w:rPr>
          <w:rFonts w:ascii="Public Sans" w:hAnsi="Public Sans"/>
          <w:b w:val="0"/>
          <w:i w:val="0"/>
          <w:color w:val="3D3E3E"/>
          <w:sz w:val="19"/>
        </w:rPr>
        <w:t xml:space="preserve">Trade rows: </w:t>
      </w:r>
      <w:r>
        <w:rPr>
          <w:rFonts w:ascii="Public Sans" w:hAnsi="Public Sans"/>
          <w:b/>
          <w:i w:val="0"/>
          <w:color w:val="3D3E3E"/>
          <w:sz w:val="19"/>
        </w:rPr>
        <w:t>#11</w:t>
      </w:r>
      <w:r>
        <w:rPr>
          <w:rFonts w:ascii="Public Sans" w:hAnsi="Public Sans"/>
          <w:b w:val="0"/>
          <w:i w:val="0"/>
          <w:color w:val="3D3E3E"/>
          <w:sz w:val="19"/>
        </w:rPr>
        <w:t xml:space="preserve"> (Citi PHP roll, carried) + Nomura long INR vs PHP (row 7 / row 10). </w:t>
      </w:r>
      <w:r>
        <w:rPr>
          <w:rFonts w:ascii="Public Sans" w:hAnsi="Public Sans"/>
          <w:b/>
          <w:i w:val="0"/>
          <w:color w:val="3D3E3E"/>
          <w:sz w:val="19"/>
        </w:rPr>
        <w:t>DEPTH:</w:t>
      </w:r>
      <w:r>
        <w:rPr>
          <w:rFonts w:ascii="Public Sans" w:hAnsi="Public Sans"/>
          <w:b w:val="0"/>
          <w:i w:val="0"/>
          <w:color w:val="3D3E3E"/>
          <w:sz w:val="19"/>
        </w:rPr>
        <w:t xml:space="preserve"> PH econ.fact_indicator deep (loaded). The verified anchor is the 2026-06-18 BSP +25bp hike. </w:t>
      </w:r>
      <w:r>
        <w:rPr>
          <w:rFonts w:ascii="Public Sans" w:hAnsi="Public Sans"/>
          <w:b/>
          <w:i w:val="0"/>
          <w:color w:val="3D3E3E"/>
          <w:sz w:val="19"/>
        </w:rPr>
        <w:t>Flags:</w:t>
      </w:r>
      <w:r>
        <w:rPr>
          <w:rFonts w:ascii="Public Sans" w:hAnsi="Public Sans"/>
          <w:b w:val="0"/>
          <w:i w:val="0"/>
          <w:color w:val="3D3E3E"/>
          <w:sz w:val="19"/>
        </w:rPr>
        <w:t xml:space="preserve"> no in-window Philippines flagship; PHIREF is the pre-US-CPI Asian close; StanC 5.00% Aug carried.</w:t>
      </w:r>
    </w:p>
    <w:p>
      <w:pPr>
        <w:spacing w:before="200" w:after="60"/>
        <w:keepNext/>
        <w:pBdr>
          <w:bottom w:val="single" w:sz="4" w:space="2" w:color="E0E9E4"/>
        </w:pBdr>
      </w:pPr>
      <w:r>
        <w:rPr>
          <w:rFonts w:ascii="Georgia" w:hAnsi="Georgia"/>
          <w:b/>
          <w:color w:val="4D806A"/>
          <w:sz w:val="23"/>
        </w:rPr>
        <w:t>India — CPI (4.38%) and WPI (9.87%) both run hot into a widening trade deficit; INR the sole universe FX lower</w:t>
      </w:r>
    </w:p>
    <w:p>
      <w:pPr>
        <w:spacing w:after="80" w:line="283" w:lineRule="auto"/>
      </w:pPr>
      <w:r>
        <w:rPr>
          <w:rFonts w:ascii="Public Sans" w:hAnsi="Public Sans"/>
          <w:b w:val="0"/>
          <w:i/>
          <w:color w:val="3D3E3E"/>
          <w:sz w:val="19"/>
        </w:rPr>
        <w:t>Flagships read: JPM "India Trade: June deficit widened on higher imports" (18260); Nomura "Asia Insights — India: Both inflation and the trade deficit..." (18160); MS "June WPI at an All-time High" (18152) + "June Trade: Tech Leads, the Rest Catch Up" (18153) + "Monsoon Update" (18105); Barclays "India: June WPI and PPI inflation: relentless rise" (18171); SocGen "Short EUR/INR: take profit as headwinds rise" (18227); GS India F&amp;O Positioning (18094); carried Citi long-INR-basket (17693), UBS INR-payer hedge (17959).</w:t>
      </w:r>
    </w:p>
    <w:p>
      <w:pPr>
        <w:spacing w:before="120" w:after="40"/>
        <w:keepNext/>
      </w:pPr>
      <w:r>
        <w:rPr>
          <w:rFonts w:ascii="Public Sans" w:hAnsi="Public Sans"/>
          <w:b/>
          <w:i w:val="0"/>
          <w:color w:val="001830"/>
          <w:sz w:val="19"/>
        </w:rPr>
        <w:t>A · Themes in play</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467"/>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Rank</w:t>
            </w:r>
          </w:p>
        </w:tc>
        <w:tc>
          <w:tcPr>
            <w:tcW w:type="dxa" w:w="303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77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Assets</w:t>
            </w:r>
          </w:p>
        </w:tc>
        <w:tc>
          <w:tcPr>
            <w:tcW w:type="dxa" w:w="210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 talking</w:t>
            </w:r>
          </w:p>
        </w:tc>
        <w:tc>
          <w:tcPr>
            <w:tcW w:type="dxa" w:w="427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 matters to the PM</w:t>
            </w:r>
          </w:p>
        </w:tc>
      </w:tr>
      <w:tr>
        <w:tc>
          <w:tcPr>
            <w:tcW w:type="dxa" w:w="46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1</w:t>
            </w:r>
          </w:p>
        </w:tc>
        <w:tc>
          <w:tcPr>
            <w:tcW w:type="dxa" w:w="30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CPI 4.38% + WPI 9.87% both hot</w:t>
            </w:r>
          </w:p>
        </w:tc>
        <w:tc>
          <w:tcPr>
            <w:tcW w:type="dxa" w:w="77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 INR</w:t>
            </w:r>
          </w:p>
        </w:tc>
        <w:tc>
          <w:tcPr>
            <w:tcW w:type="dxa" w:w="210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MS, Barclays, Nomura, JPM</w:t>
            </w:r>
          </w:p>
        </w:tc>
        <w:tc>
          <w:tcPr>
            <w:tcW w:type="dxa" w:w="427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18-month-high CPI; all-time-high WPI; headline hot, core the swing</w:t>
            </w:r>
          </w:p>
        </w:tc>
      </w:tr>
      <w:tr>
        <w:tc>
          <w:tcPr>
            <w:tcW w:type="dxa" w:w="46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2</w:t>
            </w:r>
          </w:p>
        </w:tc>
        <w:tc>
          <w:tcPr>
            <w:tcW w:type="dxa" w:w="30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Trade deficit widens to $30.4bn on oil</w:t>
            </w:r>
          </w:p>
        </w:tc>
        <w:tc>
          <w:tcPr>
            <w:tcW w:type="dxa" w:w="77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INR</w:t>
            </w:r>
          </w:p>
        </w:tc>
        <w:tc>
          <w:tcPr>
            <w:tcW w:type="dxa" w:w="210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JPM, MS, Nomura</w:t>
            </w:r>
          </w:p>
        </w:tc>
        <w:tc>
          <w:tcPr>
            <w:tcW w:type="dxa" w:w="427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Above consensus; oil imports the driver; BoP pressure</w:t>
            </w:r>
          </w:p>
        </w:tc>
      </w:tr>
      <w:tr>
        <w:tc>
          <w:tcPr>
            <w:tcW w:type="dxa" w:w="467"/>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3</w:t>
            </w:r>
          </w:p>
        </w:tc>
        <w:tc>
          <w:tcPr>
            <w:tcW w:type="dxa" w:w="303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INR the sole universe FX lower (−0.45%)</w:t>
            </w:r>
          </w:p>
        </w:tc>
        <w:tc>
          <w:tcPr>
            <w:tcW w:type="dxa" w:w="77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INR</w:t>
            </w:r>
          </w:p>
        </w:tc>
        <w:tc>
          <w:tcPr>
            <w:tcW w:type="dxa" w:w="210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(market), SocGen</w:t>
            </w:r>
          </w:p>
        </w:tc>
        <w:tc>
          <w:tcPr>
            <w:tcW w:type="dxa" w:w="427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Hot prints + oil + deficit; SocGen books short EUR/INR</w:t>
            </w:r>
          </w:p>
        </w:tc>
      </w:tr>
      <w:tr>
        <w:tc>
          <w:tcPr>
            <w:tcW w:type="dxa" w:w="467"/>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4</w:t>
            </w:r>
          </w:p>
        </w:tc>
        <w:tc>
          <w:tcPr>
            <w:tcW w:type="dxa" w:w="303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RBI seen looking through benign core</w:t>
            </w:r>
          </w:p>
        </w:tc>
        <w:tc>
          <w:tcPr>
            <w:tcW w:type="dxa" w:w="77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210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(carried Citi/JPM/Barclays)</w:t>
            </w:r>
          </w:p>
        </w:tc>
        <w:tc>
          <w:tcPr>
            <w:tcW w:type="dxa" w:w="427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No 2026 hike unless core sustains higher</w:t>
            </w:r>
          </w:p>
        </w:tc>
      </w:tr>
    </w:tbl>
    <w:p>
      <w:pPr>
        <w:spacing w:after="80" w:line="283" w:lineRule="auto"/>
      </w:pPr>
      <w:r>
        <w:rPr>
          <w:rFonts w:ascii="Public Sans" w:hAnsi="Public Sans"/>
          <w:b/>
          <w:i w:val="0"/>
          <w:color w:val="3D3E3E"/>
          <w:sz w:val="19"/>
        </w:rPr>
        <w:t>B · The "why"</w:t>
      </w:r>
      <w:r>
        <w:rPr>
          <w:rFonts w:ascii="Public Sans" w:hAnsi="Public Sans"/>
          <w:b w:val="0"/>
          <w:i w:val="0"/>
          <w:color w:val="3D3E3E"/>
          <w:sz w:val="19"/>
        </w:rPr>
        <w:t xml:space="preserve"> India ran hot on both inflation gauges into a wider trade deficit — the one place the soft-US-CPI dollar move did not help the local currency. On prices: </w:t>
      </w:r>
      <w:r>
        <w:rPr>
          <w:rFonts w:ascii="Public Sans" w:hAnsi="Public Sans"/>
          <w:b/>
          <w:i w:val="0"/>
          <w:color w:val="3D3E3E"/>
          <w:sz w:val="19"/>
        </w:rPr>
        <w:t>June CPI printed 4.38%</w:t>
      </w:r>
      <w:r>
        <w:rPr>
          <w:rFonts w:ascii="Public Sans" w:hAnsi="Public Sans"/>
          <w:b w:val="0"/>
          <w:i w:val="0"/>
          <w:color w:val="3D3E3E"/>
          <w:sz w:val="19"/>
        </w:rPr>
        <w:t xml:space="preserve"> (cb_events 59043; survey 4.3%, prior 3.93%, an 18-month high, MoM 1.03%), and </w:t>
      </w:r>
      <w:r>
        <w:rPr>
          <w:rFonts w:ascii="Public Sans" w:hAnsi="Public Sans"/>
          <w:b/>
          <w:i w:val="0"/>
          <w:color w:val="3D3E3E"/>
          <w:sz w:val="19"/>
        </w:rPr>
        <w:t>June WPI printed 9.87%</w:t>
      </w:r>
      <w:r>
        <w:rPr>
          <w:rFonts w:ascii="Public Sans" w:hAnsi="Public Sans"/>
          <w:b w:val="0"/>
          <w:i w:val="0"/>
          <w:color w:val="3D3E3E"/>
          <w:sz w:val="19"/>
        </w:rPr>
        <w:t xml:space="preserve"> (60884; survey 9.15%, prior 9.68%) with </w:t>
      </w:r>
      <w:r>
        <w:rPr>
          <w:rFonts w:ascii="Public Sans" w:hAnsi="Public Sans"/>
          <w:b/>
          <w:i w:val="0"/>
          <w:color w:val="3D3E3E"/>
          <w:sz w:val="19"/>
        </w:rPr>
        <w:t>food +6.14%, fuel +27.41%, manufacturing +7.48%</w:t>
      </w:r>
      <w:r>
        <w:rPr>
          <w:rFonts w:ascii="Public Sans" w:hAnsi="Public Sans"/>
          <w:b w:val="0"/>
          <w:i w:val="0"/>
          <w:color w:val="3D3E3E"/>
          <w:sz w:val="19"/>
        </w:rPr>
        <w:t xml:space="preserve"> — Barclays (18171) calls it a "relentless rise," MS (18152) "an all-time high." On trade: </w:t>
      </w:r>
      <w:r>
        <w:rPr>
          <w:rFonts w:ascii="Public Sans" w:hAnsi="Public Sans"/>
          <w:b/>
          <w:i w:val="0"/>
          <w:color w:val="3D3E3E"/>
          <w:sz w:val="19"/>
        </w:rPr>
        <w:t>the June deficit widened to $30.4bn</w:t>
      </w:r>
      <w:r>
        <w:rPr>
          <w:rFonts w:ascii="Public Sans" w:hAnsi="Public Sans"/>
          <w:b w:val="0"/>
          <w:i w:val="0"/>
          <w:color w:val="3D3E3E"/>
          <w:sz w:val="19"/>
        </w:rPr>
        <w:t xml:space="preserve"> (JPM 18260; JPM had $25.6bn, consensus $26.5bn, from $28.2bn in May), driven by higher oil imports — net oil imports broadly unchanged at $14.5bn as the recent oil-price softening hasn't yet fed through on timing; JPM expects oil imports to ease but by less than prices suggest (inventory rebuilding). MS (18153): "tech leads, the rest catch up." Nomura (18160): "both inflation and the trade deficit" moved the wrong way. The market read: </w:t>
      </w:r>
      <w:r>
        <w:rPr>
          <w:rFonts w:ascii="Public Sans" w:hAnsi="Public Sans"/>
          <w:b/>
          <w:i w:val="0"/>
          <w:color w:val="3D3E3E"/>
          <w:sz w:val="19"/>
        </w:rPr>
        <w:t>INR weakened −0.45% DoD</w:t>
      </w:r>
      <w:r>
        <w:rPr>
          <w:rFonts w:ascii="Public Sans" w:hAnsi="Public Sans"/>
          <w:b w:val="0"/>
          <w:i w:val="0"/>
          <w:color w:val="3D3E3E"/>
          <w:sz w:val="19"/>
        </w:rPr>
        <w:t xml:space="preserve"> (the only universe currency lower), and </w:t>
      </w:r>
      <w:r>
        <w:rPr>
          <w:rFonts w:ascii="Public Sans" w:hAnsi="Public Sans"/>
          <w:b/>
          <w:i w:val="0"/>
          <w:color w:val="3D3E3E"/>
          <w:sz w:val="19"/>
        </w:rPr>
        <w:t>MIBOR backed up hardest in the universe (2y +14bp / 10y +15bp)</w:t>
      </w:r>
      <w:r>
        <w:rPr>
          <w:rFonts w:ascii="Public Sans" w:hAnsi="Public Sans"/>
          <w:b w:val="0"/>
          <w:i w:val="0"/>
          <w:color w:val="3D3E3E"/>
          <w:sz w:val="19"/>
        </w:rPr>
        <w:t xml:space="preserve"> — the Tuesday Asian close, carrying the hot-prints + oil tone. </w:t>
      </w:r>
      <w:r>
        <w:rPr>
          <w:rFonts w:ascii="Public Sans" w:hAnsi="Public Sans"/>
          <w:b/>
          <w:i w:val="0"/>
          <w:color w:val="3D3E3E"/>
          <w:sz w:val="19"/>
        </w:rPr>
        <w:t>SocGen (18227)</w:t>
      </w:r>
      <w:r>
        <w:rPr>
          <w:rFonts w:ascii="Public Sans" w:hAnsi="Public Sans"/>
          <w:b w:val="0"/>
          <w:i w:val="0"/>
          <w:color w:val="3D3E3E"/>
          <w:sz w:val="19"/>
        </w:rPr>
        <w:t xml:space="preserve"> took profit on its short EUR/INR "as headwinds rise." The carried house frame is a look-through: Citi/JPM/Barclays see the RBI holding through 2026 (no hike unless core sustains above ~4.5%), against UBS's carried INR-payer hedge on H2 food risk. Nifty 50 fell −0.66% on the hot prints + oil.</w:t>
      </w:r>
    </w:p>
    <w:p>
      <w:pPr>
        <w:spacing w:before="120" w:after="40"/>
        <w:keepNext/>
      </w:pPr>
      <w:r>
        <w:rPr>
          <w:rFonts w:ascii="Public Sans" w:hAnsi="Public Sans"/>
          <w:b/>
          <w:i w:val="0"/>
          <w:color w:val="001830"/>
          <w:sz w:val="19"/>
        </w:rPr>
        <w:t>C · Consensus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2131"/>
        <w:gridCol w:w="2131"/>
        <w:gridCol w:w="2131"/>
        <w:gridCol w:w="2131"/>
        <w:gridCol w:w="2131"/>
      </w:tblGrid>
      <w:tr>
        <w:trPr>
          <w:tblHeader w:val="true"/>
        </w:trPr>
        <w:tc>
          <w:tcPr>
            <w:tcW w:type="dxa" w:w="209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Theme</w:t>
            </w:r>
          </w:p>
        </w:tc>
        <w:tc>
          <w:tcPr>
            <w:tcW w:type="dxa" w:w="1245"/>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Banks</w:t>
            </w:r>
          </w:p>
        </w:tc>
        <w:tc>
          <w:tcPr>
            <w:tcW w:type="dxa" w:w="2191"/>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Shared claim</w:t>
            </w:r>
          </w:p>
        </w:tc>
        <w:tc>
          <w:tcPr>
            <w:tcW w:type="dxa" w:w="239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Evidence cited</w:t>
            </w:r>
          </w:p>
        </w:tc>
        <w:tc>
          <w:tcPr>
            <w:tcW w:type="dxa" w:w="2739"/>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What consensus is missing</w:t>
            </w:r>
          </w:p>
        </w:tc>
      </w:tr>
      <w:tr>
        <w:tc>
          <w:tcPr>
            <w:tcW w:type="dxa" w:w="209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Headline inflation hot (CPI + WPI)</w:t>
            </w:r>
          </w:p>
        </w:tc>
        <w:tc>
          <w:tcPr>
            <w:tcW w:type="dxa" w:w="1245"/>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MS, Barclays, Nomura, JPM</w:t>
            </w:r>
          </w:p>
        </w:tc>
        <w:tc>
          <w:tcPr>
            <w:tcW w:type="dxa" w:w="2191"/>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CPI 4.38%, WPI 9.87% both above expectations</w:t>
            </w:r>
          </w:p>
        </w:tc>
        <w:tc>
          <w:tcPr>
            <w:tcW w:type="dxa" w:w="239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Food 6.14%, fuel 27.41%, mfg 7.48%</w:t>
            </w:r>
          </w:p>
        </w:tc>
        <w:tc>
          <w:tcPr>
            <w:tcW w:type="dxa" w:w="2739"/>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Whether core stays benign enough for the RBI to look through</w:t>
            </w:r>
          </w:p>
        </w:tc>
      </w:tr>
      <w:tr>
        <w:tc>
          <w:tcPr>
            <w:tcW w:type="dxa" w:w="209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Trade deficit widened on oil; BoP pressure</w:t>
            </w:r>
          </w:p>
        </w:tc>
        <w:tc>
          <w:tcPr>
            <w:tcW w:type="dxa" w:w="1245"/>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JPM, MS, Nomura</w:t>
            </w:r>
          </w:p>
        </w:tc>
        <w:tc>
          <w:tcPr>
            <w:tcW w:type="dxa" w:w="2191"/>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$30.4bn deficit, oil the driver</w:t>
            </w:r>
          </w:p>
        </w:tc>
        <w:tc>
          <w:tcPr>
            <w:tcW w:type="dxa" w:w="239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Net oil imports $14.5bn; deficit vs $26.5bn cons</w:t>
            </w:r>
          </w:p>
        </w:tc>
        <w:tc>
          <w:tcPr>
            <w:tcW w:type="dxa" w:w="2739"/>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How fast oil-import softening feeds through (timing/inventory)</w:t>
            </w:r>
          </w:p>
        </w:tc>
      </w:tr>
    </w:tbl>
    <w:p>
      <w:pPr>
        <w:spacing w:before="120" w:after="40"/>
        <w:keepNext/>
      </w:pPr>
      <w:r>
        <w:rPr>
          <w:rFonts w:ascii="Public Sans" w:hAnsi="Public Sans"/>
          <w:b/>
          <w:i w:val="0"/>
          <w:color w:val="001830"/>
          <w:sz w:val="19"/>
        </w:rPr>
        <w:t>D · Differentiated / unique views</w:t>
      </w:r>
    </w:p>
    <w:tbl>
      <w:tblPr>
        <w:tblW w:type="auto" w:w="0"/>
        <w:jc w:val="center"/>
        <w:tblLook w:firstColumn="1" w:firstRow="1" w:lastColumn="0" w:lastRow="0" w:noHBand="0" w:noVBand="1" w:val="04A0"/>
        <w:tblBorders>
          <w:top w:val="single" w:sz="4" w:space="0" w:color="D9DCD8"/>
          <w:left w:val="single" w:sz="4" w:space="0" w:color="D9DCD8"/>
          <w:bottom w:val="single" w:sz="4" w:space="0" w:color="D9DCD8"/>
          <w:right w:val="single" w:sz="4" w:space="0" w:color="D9DCD8"/>
          <w:insideH w:val="single" w:sz="4" w:space="0" w:color="D9DCD8"/>
          <w:insideV w:val="single" w:sz="4" w:space="0" w:color="D9DCD8"/>
        </w:tblBorders>
      </w:tblPr>
      <w:tblGrid>
        <w:gridCol w:w="1776"/>
        <w:gridCol w:w="1776"/>
        <w:gridCol w:w="1776"/>
        <w:gridCol w:w="1776"/>
        <w:gridCol w:w="1776"/>
        <w:gridCol w:w="1776"/>
      </w:tblGrid>
      <w:tr>
        <w:trPr>
          <w:tblHeader w:val="true"/>
        </w:trPr>
        <w:tc>
          <w:tcPr>
            <w:tcW w:type="dxa" w:w="1160"/>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Bank</w:t>
            </w:r>
          </w:p>
        </w:tc>
        <w:tc>
          <w:tcPr>
            <w:tcW w:type="dxa" w:w="25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Asset</w:t>
            </w:r>
          </w:p>
        </w:tc>
        <w:tc>
          <w:tcPr>
            <w:tcW w:type="dxa" w:w="236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The view</w:t>
            </w:r>
          </w:p>
        </w:tc>
        <w:tc>
          <w:tcPr>
            <w:tcW w:type="dxa" w:w="236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Why it's different</w:t>
            </w:r>
          </w:p>
        </w:tc>
        <w:tc>
          <w:tcPr>
            <w:tcW w:type="dxa" w:w="2148"/>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Hidden assumption</w:t>
            </w:r>
          </w:p>
        </w:tc>
        <w:tc>
          <w:tcPr>
            <w:tcW w:type="dxa" w:w="2363"/>
            <w:shd w:val="clear" w:color="auto" w:fill="004527"/>
            <w:tcMar>
              <w:top w:w="40" w:type="dxa"/>
              <w:bottom w:w="40" w:type="dxa"/>
              <w:start w:w="80" w:type="dxa"/>
              <w:end w:w="80" w:type="dxa"/>
              <w:left w:w="80" w:type="dxa"/>
              <w:right w:w="80" w:type="dxa"/>
            </w:tcMar>
            <w:vAlign w:val="center"/>
          </w:tcPr>
          <w:p>
            <w:pPr>
              <w:spacing w:before="20" w:after="20"/>
            </w:pPr>
            <w:r>
              <w:rPr>
                <w:rFonts w:ascii="Public Sans" w:hAnsi="Public Sans"/>
                <w:b/>
                <w:color w:val="FFFFFF"/>
                <w:sz w:val="16"/>
              </w:rPr>
              <w:t>Falsifier</w:t>
            </w:r>
          </w:p>
        </w:tc>
      </w:tr>
      <w:tr>
        <w:tc>
          <w:tcPr>
            <w:tcW w:type="dxa" w:w="11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SocGen</w:t>
            </w:r>
          </w:p>
        </w:tc>
        <w:tc>
          <w:tcPr>
            <w:tcW w:type="dxa" w:w="25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FX</w:t>
            </w:r>
          </w:p>
        </w:tc>
        <w:tc>
          <w:tcPr>
            <w:tcW w:type="dxa" w:w="23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Take profit on short EUR/INR — INR headwinds are building</w:t>
            </w:r>
          </w:p>
        </w:tc>
        <w:tc>
          <w:tcPr>
            <w:tcW w:type="dxa" w:w="23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Reads the hot prints + oil + deficit as the moment to book the INR-long</w:t>
            </w:r>
          </w:p>
        </w:tc>
        <w:tc>
          <w:tcPr>
            <w:tcW w:type="dxa" w:w="21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INR-supportive window is closing near-term</w:t>
            </w:r>
          </w:p>
        </w:tc>
        <w:tc>
          <w:tcPr>
            <w:tcW w:type="dxa" w:w="23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INR resumes strengthening (FCNR inflows land / oil drops)</w:t>
            </w:r>
          </w:p>
        </w:tc>
      </w:tr>
      <w:tr>
        <w:tc>
          <w:tcPr>
            <w:tcW w:type="dxa" w:w="1160"/>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i w:val="0"/>
                <w:color w:val="3D3E3E"/>
                <w:sz w:val="16"/>
              </w:rPr>
              <w:t>UBS (carried)</w:t>
            </w:r>
          </w:p>
        </w:tc>
        <w:tc>
          <w:tcPr>
            <w:tcW w:type="dxa" w:w="25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Rates</w:t>
            </w:r>
          </w:p>
        </w:tc>
        <w:tc>
          <w:tcPr>
            <w:tcW w:type="dxa" w:w="23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Hold INR-swap payers as an H2-food hedge (CPI to 6.5-7.0%)</w:t>
            </w:r>
          </w:p>
        </w:tc>
        <w:tc>
          <w:tcPr>
            <w:tcW w:type="dxa" w:w="23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Trades the food/weather upside vs the look-through consensus</w:t>
            </w:r>
          </w:p>
        </w:tc>
        <w:tc>
          <w:tcPr>
            <w:tcW w:type="dxa" w:w="2148"/>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El-Niño/food risk materialises; CPI re-accelerates</w:t>
            </w:r>
          </w:p>
        </w:tc>
        <w:tc>
          <w:tcPr>
            <w:tcW w:type="dxa" w:w="2363"/>
            <w:tcMar>
              <w:top w:w="40" w:type="dxa"/>
              <w:bottom w:w="40" w:type="dxa"/>
              <w:start w:w="80" w:type="dxa"/>
              <w:end w:w="80" w:type="dxa"/>
              <w:left w:w="80" w:type="dxa"/>
              <w:right w:w="80" w:type="dxa"/>
            </w:tcMar>
            <w:vAlign w:val="center"/>
            <w:shd w:val="clear" w:color="auto" w:fill="F1F5F2"/>
          </w:tcPr>
          <w:p>
            <w:pPr>
              <w:spacing w:before="30" w:after="30" w:line="259" w:lineRule="auto"/>
            </w:pPr>
            <w:r>
              <w:rPr>
                <w:rFonts w:ascii="Public Sans" w:hAnsi="Public Sans"/>
                <w:b w:val="0"/>
                <w:i w:val="0"/>
                <w:color w:val="3D3E3E"/>
                <w:sz w:val="16"/>
              </w:rPr>
              <w:t>RBI looks through; benign core (~2.5%) holds; food base stays low</w:t>
            </w:r>
          </w:p>
        </w:tc>
      </w:tr>
      <w:tr>
        <w:tc>
          <w:tcPr>
            <w:tcW w:type="dxa" w:w="1160"/>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i w:val="0"/>
                <w:color w:val="3D3E3E"/>
                <w:sz w:val="16"/>
              </w:rPr>
              <w:t>Citi/JPM/Barclays (carried)</w:t>
            </w:r>
          </w:p>
        </w:tc>
        <w:tc>
          <w:tcPr>
            <w:tcW w:type="dxa" w:w="25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Rates</w:t>
            </w:r>
          </w:p>
        </w:tc>
        <w:tc>
          <w:tcPr>
            <w:tcW w:type="dxa" w:w="23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RBI looks through — no 2026 hike unless core sustains &gt;4.5%</w:t>
            </w:r>
          </w:p>
        </w:tc>
        <w:tc>
          <w:tcPr>
            <w:tcW w:type="dxa" w:w="23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The look-through camp against the hot headline</w:t>
            </w:r>
          </w:p>
        </w:tc>
        <w:tc>
          <w:tcPr>
            <w:tcW w:type="dxa" w:w="2148"/>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Core stays benign; food is transitory/base-driven</w:t>
            </w:r>
          </w:p>
        </w:tc>
        <w:tc>
          <w:tcPr>
            <w:tcW w:type="dxa" w:w="2363"/>
            <w:tcMar>
              <w:top w:w="40" w:type="dxa"/>
              <w:bottom w:w="40" w:type="dxa"/>
              <w:start w:w="80" w:type="dxa"/>
              <w:end w:w="80" w:type="dxa"/>
              <w:left w:w="80" w:type="dxa"/>
              <w:right w:w="80" w:type="dxa"/>
            </w:tcMar>
            <w:vAlign w:val="center"/>
          </w:tcPr>
          <w:p>
            <w:pPr>
              <w:spacing w:before="30" w:after="30" w:line="259" w:lineRule="auto"/>
            </w:pPr>
            <w:r>
              <w:rPr>
                <w:rFonts w:ascii="Public Sans" w:hAnsi="Public Sans"/>
                <w:b w:val="0"/>
                <w:i w:val="0"/>
                <w:color w:val="3D3E3E"/>
                <w:sz w:val="16"/>
              </w:rPr>
              <w:t>Core-core sustains above 4.5% / oil pass-through broadens</w:t>
            </w:r>
          </w:p>
        </w:tc>
      </w:tr>
    </w:tbl>
    <w:p>
      <w:pPr>
        <w:spacing w:after="80" w:line="283" w:lineRule="auto"/>
      </w:pPr>
      <w:r>
        <w:rPr>
          <w:rFonts w:ascii="Public Sans" w:hAnsi="Public Sans"/>
          <w:b w:val="0"/>
          <w:i w:val="0"/>
          <w:color w:val="3D3E3E"/>
          <w:sz w:val="19"/>
        </w:rPr>
        <w:t xml:space="preserve">Trade rows: </w:t>
      </w:r>
      <w:r>
        <w:rPr>
          <w:rFonts w:ascii="Public Sans" w:hAnsi="Public Sans"/>
          <w:b/>
          <w:i w:val="0"/>
          <w:color w:val="3D3E3E"/>
          <w:sz w:val="19"/>
        </w:rPr>
        <w:t>#6</w:t>
      </w:r>
      <w:r>
        <w:rPr>
          <w:rFonts w:ascii="Public Sans" w:hAnsi="Public Sans"/>
          <w:b w:val="0"/>
          <w:i w:val="0"/>
          <w:color w:val="3D3E3E"/>
          <w:sz w:val="19"/>
        </w:rPr>
        <w:t xml:space="preserve"> (SocGen short EUR/INR TP) + Nomura long EUR/INR (113) and pay Sep 5y India NDOIS (6.45%) (row 7) + carried Citi long-INR-basket / UBS INR-payer. </w:t>
      </w:r>
      <w:r>
        <w:rPr>
          <w:rFonts w:ascii="Public Sans" w:hAnsi="Public Sans"/>
          <w:b/>
          <w:i w:val="0"/>
          <w:color w:val="3D3E3E"/>
          <w:sz w:val="19"/>
        </w:rPr>
        <w:t>Note:</w:t>
      </w:r>
      <w:r>
        <w:rPr>
          <w:rFonts w:ascii="Public Sans" w:hAnsi="Public Sans"/>
          <w:b w:val="0"/>
          <w:i w:val="0"/>
          <w:color w:val="3D3E3E"/>
          <w:sz w:val="19"/>
        </w:rPr>
        <w:t xml:space="preserve"> the Nomura long-EUR/INR (18221) and SocGen short-EUR/INR (18227) sit on opposite sides — SocGen books its short as INR headwinds rise, Nomura holds a long targeting 113; both shown, unreconciled. </w:t>
      </w:r>
      <w:r>
        <w:rPr>
          <w:rFonts w:ascii="Public Sans" w:hAnsi="Public Sans"/>
          <w:b/>
          <w:i w:val="0"/>
          <w:color w:val="3D3E3E"/>
          <w:sz w:val="19"/>
        </w:rPr>
        <w:t>DEPTH:</w:t>
      </w:r>
      <w:r>
        <w:rPr>
          <w:rFonts w:ascii="Public Sans" w:hAnsi="Public Sans"/>
          <w:b w:val="0"/>
          <w:i w:val="0"/>
          <w:color w:val="3D3E3E"/>
          <w:sz w:val="19"/>
        </w:rPr>
        <w:t xml:space="preserve"> India econ.fact_indicator deep (~1,242+ indicators; fresh-food MoM nowcaster live). CPI + WPI + trade all FACT in cb_events. The verified anchor is the 2026-06-05 RBI hold at 5.25%. </w:t>
      </w:r>
      <w:r>
        <w:rPr>
          <w:rFonts w:ascii="Public Sans" w:hAnsi="Public Sans"/>
          <w:b/>
          <w:i w:val="0"/>
          <w:color w:val="3D3E3E"/>
          <w:sz w:val="19"/>
        </w:rPr>
        <w:t>Flags:</w:t>
      </w:r>
      <w:r>
        <w:rPr>
          <w:rFonts w:ascii="Public Sans" w:hAnsi="Public Sans"/>
          <w:b w:val="0"/>
          <w:i w:val="0"/>
          <w:color w:val="3D3E3E"/>
          <w:sz w:val="19"/>
        </w:rPr>
        <w:t xml:space="preserve"> the Indonesia-instrument question does not apply here; INR rates are MIBOR OIS (fact_bond_yield EMPTY); NDOIS levels are sell-side. RBI August the next decision.</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10. Grounding ledger</w:t>
      </w:r>
      <w:r>
        <w:rPr>
          <w:rFonts w:ascii="Public Sans" w:hAnsi="Public Sans"/>
          <w:i/>
          <w:color w:val="7A7C7C"/>
          <w:sz w:val="16"/>
        </w:rPr>
        <w:t xml:space="preserve">   SYN</w:t>
      </w:r>
    </w:p>
    <w:p>
      <w:pPr>
        <w:spacing w:before="120" w:after="40"/>
        <w:keepNext/>
      </w:pPr>
      <w:r>
        <w:rPr>
          <w:rFonts w:ascii="Public Sans" w:hAnsi="Public Sans"/>
          <w:b/>
          <w:i w:val="0"/>
          <w:color w:val="001830"/>
          <w:sz w:val="19"/>
        </w:rPr>
        <w:t>Sources by layer</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calendar.cb_events (FACT — printed / decisions).</w:t>
      </w:r>
      <w:r>
        <w:rPr>
          <w:rFonts w:ascii="Public Sans" w:hAnsi="Public Sans"/>
          <w:b w:val="0"/>
          <w:i w:val="0"/>
          <w:color w:val="3D3E3E"/>
          <w:sz w:val="19"/>
        </w:rPr>
        <w:t xml:space="preserve"> Verified against real rows for the 07-13→07-17 window. </w:t>
      </w:r>
      <w:r>
        <w:rPr>
          <w:rFonts w:ascii="Public Sans" w:hAnsi="Public Sans"/>
          <w:b/>
          <w:i w:val="0"/>
          <w:color w:val="3D3E3E"/>
          <w:sz w:val="19"/>
        </w:rPr>
        <w:t>Printed this window:</w:t>
      </w:r>
      <w:r>
        <w:rPr>
          <w:rFonts w:ascii="Public Sans" w:hAnsi="Public Sans"/>
          <w:b w:val="0"/>
          <w:i w:val="0"/>
          <w:color w:val="3D3E3E"/>
          <w:sz w:val="19"/>
        </w:rPr>
        <w:t xml:space="preserve"> US June CPI (core m/m 0.0% / y/y 2.6%, headline −0.4% / 3.5%, index 333.95 — confirmed across the TE lane 60904-60908 and the BQL lane 41360/41362 + index 333.952/336.065); US federal budget −$120.3B (41363); China Q2 GDP 4.3% y/y / 0.9% qoq + IP 5.3% + retail +1.0% + FAI −5.7% ytd + capacity 73% + unemployment 5.0% (60929-60935); SG advance Q2 GDP 5.7% y/y / 1.1% qoq (60857/60856, 1Q revised ® to 6.3%); China June trade surplus $125.6B, exports +27%, imports +36% (60864-60866); India June WPI 9.87% + food/fuel/mfg (60882-60885) and June CPI 4.38% / trade −$30.43B from 07-13 (59043/59044/90517); Japan IP final 0.1% m/m / −2.1% y/y + capacity utilisation +0.1% (60870/60871/60869); Australia NAB confidence −5 (60860) + Westpac consumer +4.1% / index 83.9 (60858/60859). </w:t>
      </w:r>
      <w:r>
        <w:rPr>
          <w:rFonts w:ascii="Public Sans" w:hAnsi="Public Sans"/>
          <w:b/>
          <w:i w:val="0"/>
          <w:color w:val="3D3E3E"/>
          <w:sz w:val="19"/>
        </w:rPr>
        <w:t>Forward at compile:</w:t>
      </w:r>
      <w:r>
        <w:rPr>
          <w:rFonts w:ascii="Public Sans" w:hAnsi="Public Sans"/>
          <w:b w:val="0"/>
          <w:i w:val="0"/>
          <w:color w:val="3D3E3E"/>
          <w:sz w:val="19"/>
        </w:rPr>
        <w:t xml:space="preserve"> BoC decision + MPR + presser (41366/60980/60981/60982, all null — the day's remaining decision); US PPI 15-Jul; US retail sales + claims 16-Jul; UK GDP 16-Jul; KR BoK 16-Jul (outside universe); MY CPI + Q2 GDP 17-Jul; HK unemployment 17-Jul; BI 22-Jul; MAS MPS 24–31 Jul window.</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econ.fact_indicator (DEPTH).</w:t>
      </w:r>
      <w:r>
        <w:rPr>
          <w:rFonts w:ascii="Public Sans" w:hAnsi="Public Sans"/>
          <w:b w:val="0"/>
          <w:i w:val="0"/>
          <w:color w:val="3D3E3E"/>
          <w:sz w:val="19"/>
        </w:rPr>
        <w:t xml:space="preserve"> Deep for US (193 active), India (~1,242+), AU, NZ, ID, PH, HK/CN, SG. Thin/partial for JP (IP final only this window), CA, UK, TH, MY. Cash govt yields NOT loaded (rates.fact_bond_yield EMPTY) — all 2y/10y are swap/OIS (rates.fact_observation, par).</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Market layers.</w:t>
      </w:r>
      <w:r>
        <w:rPr>
          <w:rFonts w:ascii="Public Sans" w:hAnsi="Public Sans"/>
          <w:b w:val="0"/>
          <w:i w:val="0"/>
          <w:color w:val="3D3E3E"/>
          <w:sz w:val="19"/>
        </w:rPr>
        <w:t xml:space="preserve"> FX.fact_fx_rate (DoD 07-13→07-14, last-tick per day); rates.fact_observation (2y/10y par, DoD 07-13→07-14 — 07-15 unpopulated/stale at compile); equities.fact_index_level (fresh to 07-14; ASX 200 stale); equities.fact_vix (VIX 16.5, 07-14); commodities.fact_spot (Gold 4,055 07-14; WTI $78.78 07-13 — the Hormuz spike now booked). Credit spreads NOT in IMDR — none cited as fact.</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research.fact_chunk + Qdrant + Outlook.</w:t>
      </w:r>
      <w:r>
        <w:rPr>
          <w:rFonts w:ascii="Public Sans" w:hAnsi="Public Sans"/>
          <w:b w:val="0"/>
          <w:i w:val="0"/>
          <w:color w:val="3D3E3E"/>
          <w:sz w:val="19"/>
        </w:rPr>
        <w:t xml:space="preserve"> ~334 in-window reports (07-14: 316; early-07-15: ~18) swept two ways — structured dim_report window filters across all vendors + the Outlook 13-folder taxonomy (incl. desk_commentary body-only notes: DB Fed Watcher / DBDaily, Citi The Daily Update, Nomura US Daily, SocGen) — and reconciled. Deep-read the full US CPI-reaction cluster and each country's flagship daily. </w:t>
      </w:r>
      <w:r>
        <w:rPr>
          <w:rFonts w:ascii="Public Sans" w:hAnsi="Public Sans"/>
          <w:b/>
          <w:i w:val="0"/>
          <w:color w:val="3D3E3E"/>
          <w:sz w:val="19"/>
        </w:rPr>
        <w:t>Qdrant sweeps run (multi-angle, all 07-13→07-15):</w:t>
      </w:r>
      <w:r>
        <w:rPr>
          <w:rFonts w:ascii="Public Sans" w:hAnsi="Public Sans"/>
          <w:b w:val="0"/>
          <w:i w:val="0"/>
          <w:color w:val="3D3E3E"/>
          <w:sz w:val="19"/>
        </w:rPr>
        <w:t xml:space="preserve"> "Waller consider tightening near term hawkish Fed hike"; "June CPI soft downside surprise buys the Fed time on hold"; "Warsh testimony Fed chair stance guidance"; "soft CPI dollar reaction front-end rally July FOMC odds"; "soft CPI one-off transitory head-fake core services still firm hawkish risk PPI" (no head-fake voice surfaced — debate is pace, not direction); "Bank of Canada decision hold cut MPR Macklem"; "Canada BoC benign core excess supply USMCA"; "USD/CAD rates BoC pricing hikes"; and the earlier "China Q2 GDP outlook policy support H2 stimulus". Each reconciled with structured; distinct voices folded into the US-CPI and BoC B2 timelines (Waller/Warsh official quotes via UBS 18001/18338, GS 18324; reaction spread Citi 18239 / Nomura 18334 / MS 18365 / Barclays 18267 / SocGen 18293 / DB 18349 / GS 18251-18252; BoC JPM 17988 / MS 18051 / Nomura 18221).</w:t>
      </w:r>
    </w:p>
    <w:p>
      <w:pPr>
        <w:spacing w:before="120" w:after="40"/>
        <w:keepNext/>
      </w:pPr>
      <w:r>
        <w:rPr>
          <w:rFonts w:ascii="Public Sans" w:hAnsi="Public Sans"/>
          <w:b/>
          <w:i w:val="0"/>
          <w:color w:val="001830"/>
          <w:sz w:val="19"/>
        </w:rPr>
        <w:t>Flagship dailies that fed each country block:</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US</w:t>
      </w:r>
      <w:r>
        <w:rPr>
          <w:rFonts w:ascii="Public Sans" w:hAnsi="Public Sans"/>
          <w:b w:val="0"/>
          <w:i w:val="0"/>
          <w:color w:val="3D3E3E"/>
          <w:sz w:val="19"/>
        </w:rPr>
        <w:t xml:space="preserve"> — JPM Daily Economic Briefing (18330), GS US Daily Download (18133) + Morning Wrap (18141), Citi The Global Point (18180) + Daily Update "From Waller to Warsh" (18244), DBDaily "Big miss on US CPI" (18349), Nomura US Daily Commentary (18334), MS "July 14: Softer CPI, Weaker Dollar" (18365), UBS US Daily Data Recap (18337). CPI-reaction: GS 18251, JPM 18282, Barclays 18267, SocGen 18293, MS 18265.</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China</w:t>
      </w:r>
      <w:r>
        <w:rPr>
          <w:rFonts w:ascii="Public Sans" w:hAnsi="Public Sans"/>
          <w:b w:val="0"/>
          <w:i w:val="0"/>
          <w:color w:val="3D3E3E"/>
          <w:sz w:val="19"/>
        </w:rPr>
        <w:t xml:space="preserve"> — GS "Trade growth accelerated" (18092), JPM 18216, Barclays 18117, UBS 18231, Nomura 18156/18161, DB 18090/18091, HSBC 18098/18359, Citi 18122.</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Singapore</w:t>
      </w:r>
      <w:r>
        <w:rPr>
          <w:rFonts w:ascii="Public Sans" w:hAnsi="Public Sans"/>
          <w:b w:val="0"/>
          <w:i w:val="0"/>
          <w:color w:val="3D3E3E"/>
          <w:sz w:val="19"/>
        </w:rPr>
        <w:t xml:space="preserve"> — JPM "unbowed, unbent, unbroken" (18103), Citi 18125, Nomura 18157, GS 18096.</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New Zealand</w:t>
      </w:r>
      <w:r>
        <w:rPr>
          <w:rFonts w:ascii="Public Sans" w:hAnsi="Public Sans"/>
          <w:b w:val="0"/>
          <w:i w:val="0"/>
          <w:color w:val="3D3E3E"/>
          <w:sz w:val="19"/>
        </w:rPr>
        <w:t xml:space="preserve"> — ANZ QSBO (18030), UBS 18107, JPM 18078, GS 18068/18070, DB 18067, Westpac 18059.</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Canada</w:t>
      </w:r>
      <w:r>
        <w:rPr>
          <w:rFonts w:ascii="Public Sans" w:hAnsi="Public Sans"/>
          <w:b w:val="0"/>
          <w:i w:val="0"/>
          <w:color w:val="3D3E3E"/>
          <w:sz w:val="19"/>
        </w:rPr>
        <w:t xml:space="preserve"> — Nomura "Take profit on long USD/CAD" (18221) + carried BoC previews (JPM 17988, MS 18051, GS 18040).</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India</w:t>
      </w:r>
      <w:r>
        <w:rPr>
          <w:rFonts w:ascii="Public Sans" w:hAnsi="Public Sans"/>
          <w:b w:val="0"/>
          <w:i w:val="0"/>
          <w:color w:val="3D3E3E"/>
          <w:sz w:val="19"/>
        </w:rPr>
        <w:t xml:space="preserve"> — JPM Trade (18260), Nomura 18160, MS 18152/18153, Barclays 18171, SocGen 18227.</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Japan</w:t>
      </w:r>
      <w:r>
        <w:rPr>
          <w:rFonts w:ascii="Public Sans" w:hAnsi="Public Sans"/>
          <w:b w:val="0"/>
          <w:i w:val="0"/>
          <w:color w:val="3D3E3E"/>
          <w:sz w:val="19"/>
        </w:rPr>
        <w:t xml:space="preserve"> — Citi 18123/18348, Nomura Japan Economic Weekly (18291) + Yen Rates Daily (18159), GS 18138, BNP 18063, MS 18288.</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Australia</w:t>
      </w:r>
      <w:r>
        <w:rPr>
          <w:rFonts w:ascii="Public Sans" w:hAnsi="Public Sans"/>
          <w:b w:val="0"/>
          <w:i w:val="0"/>
          <w:color w:val="3D3E3E"/>
          <w:sz w:val="19"/>
        </w:rPr>
        <w:t xml:space="preserve"> — GS 18072/18073, JPM 18076, UBS 18164/18110, ANZ 18342, Westpac 18084/18112.</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UK</w:t>
      </w:r>
      <w:r>
        <w:rPr>
          <w:rFonts w:ascii="Public Sans" w:hAnsi="Public Sans"/>
          <w:b w:val="0"/>
          <w:i w:val="0"/>
          <w:color w:val="3D3E3E"/>
          <w:sz w:val="19"/>
        </w:rPr>
        <w:t xml:space="preserve"> — HSBC 18254, JPM 18264/18077/18326, UBS 18109.</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Indonesia</w:t>
      </w:r>
      <w:r>
        <w:rPr>
          <w:rFonts w:ascii="Public Sans" w:hAnsi="Public Sans"/>
          <w:b w:val="0"/>
          <w:i w:val="0"/>
          <w:color w:val="3D3E3E"/>
          <w:sz w:val="19"/>
        </w:rPr>
        <w:t xml:space="preserve"> — JPM 18151. </w:t>
      </w:r>
      <w:r>
        <w:rPr>
          <w:rFonts w:ascii="Public Sans" w:hAnsi="Public Sans"/>
          <w:b/>
          <w:i w:val="0"/>
          <w:color w:val="3D3E3E"/>
          <w:sz w:val="19"/>
        </w:rPr>
        <w:t>Hong Kong</w:t>
      </w:r>
      <w:r>
        <w:rPr>
          <w:rFonts w:ascii="Public Sans" w:hAnsi="Public Sans"/>
          <w:b w:val="0"/>
          <w:i w:val="0"/>
          <w:color w:val="3D3E3E"/>
          <w:sz w:val="19"/>
        </w:rPr>
        <w:t xml:space="preserve"> — HSBC 18359 + China tape (no dedicated HK flagship). </w:t>
      </w:r>
      <w:r>
        <w:rPr>
          <w:rFonts w:ascii="Public Sans" w:hAnsi="Public Sans"/>
          <w:b/>
          <w:i w:val="0"/>
          <w:color w:val="3D3E3E"/>
          <w:sz w:val="19"/>
        </w:rPr>
        <w:t>Thailand</w:t>
      </w:r>
      <w:r>
        <w:rPr>
          <w:rFonts w:ascii="Public Sans" w:hAnsi="Public Sans"/>
          <w:b w:val="0"/>
          <w:i w:val="0"/>
          <w:color w:val="3D3E3E"/>
          <w:sz w:val="19"/>
        </w:rPr>
        <w:t xml:space="preserve"> — Citi 18064 + Point for AsiaPac (18347) (no dedicated TH flagship). </w:t>
      </w:r>
      <w:r>
        <w:rPr>
          <w:rFonts w:ascii="Public Sans" w:hAnsi="Public Sans"/>
          <w:b/>
          <w:i w:val="0"/>
          <w:color w:val="3D3E3E"/>
          <w:sz w:val="19"/>
        </w:rPr>
        <w:t>Malaysia</w:t>
      </w:r>
      <w:r>
        <w:rPr>
          <w:rFonts w:ascii="Public Sans" w:hAnsi="Public Sans"/>
          <w:b w:val="0"/>
          <w:i w:val="0"/>
          <w:color w:val="3D3E3E"/>
          <w:sz w:val="19"/>
        </w:rPr>
        <w:t xml:space="preserve"> — no in-window flagship (awaits 17-Jul CPI/GDP). </w:t>
      </w:r>
      <w:r>
        <w:rPr>
          <w:rFonts w:ascii="Public Sans" w:hAnsi="Public Sans"/>
          <w:b/>
          <w:i w:val="0"/>
          <w:color w:val="3D3E3E"/>
          <w:sz w:val="19"/>
        </w:rPr>
        <w:t>Philippines</w:t>
      </w:r>
      <w:r>
        <w:rPr>
          <w:rFonts w:ascii="Public Sans" w:hAnsi="Public Sans"/>
          <w:b w:val="0"/>
          <w:i w:val="0"/>
          <w:color w:val="3D3E3E"/>
          <w:sz w:val="19"/>
        </w:rPr>
        <w:t xml:space="preserve"> — UBS 18233 + Citi 18064 (no dedicated PH rates/FX flagship).</w:t>
      </w:r>
    </w:p>
    <w:p>
      <w:pPr>
        <w:spacing w:before="120" w:after="40"/>
        <w:keepNext/>
      </w:pPr>
      <w:r>
        <w:rPr>
          <w:rFonts w:ascii="Public Sans" w:hAnsi="Public Sans"/>
          <w:b/>
          <w:i w:val="0"/>
          <w:color w:val="001830"/>
          <w:sz w:val="19"/>
        </w:rPr>
        <w:t>Source-of-record notes (TE vs BQL):</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US June CPI %</w:t>
      </w:r>
      <w:r>
        <w:rPr>
          <w:rFonts w:ascii="Public Sans" w:hAnsi="Public Sans"/>
          <w:b w:val="0"/>
          <w:i w:val="0"/>
          <w:color w:val="3D3E3E"/>
          <w:sz w:val="19"/>
        </w:rPr>
        <w:t xml:space="preserve"> — confirmed on </w:t>
      </w:r>
      <w:r>
        <w:rPr>
          <w:rFonts w:ascii="Public Sans" w:hAnsi="Public Sans"/>
          <w:b/>
          <w:i w:val="0"/>
          <w:color w:val="3D3E3E"/>
          <w:sz w:val="19"/>
        </w:rPr>
        <w:t>both lanes</w:t>
      </w:r>
      <w:r>
        <w:rPr>
          <w:rFonts w:ascii="Public Sans" w:hAnsi="Public Sans"/>
          <w:b w:val="0"/>
          <w:i w:val="0"/>
          <w:color w:val="3D3E3E"/>
          <w:sz w:val="19"/>
        </w:rPr>
        <w:t>: TE (core 0.0% m/m / 2.6% y/y, headline −0.4% / 3.5%; ids 60904-60907, index 60908 333.95) and BQL (CPI YoY 3.5% / Core YoY 2.6%; ids 41360/41362, CPI index NSA 333.952 / core index SA 336.065 vs 336.121). Sell-side (GS core −0.02%/2.59%, JPM core −0.02%/2.6%) corroborates.</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China Q2 GDP + activity</w:t>
      </w:r>
      <w:r>
        <w:rPr>
          <w:rFonts w:ascii="Public Sans" w:hAnsi="Public Sans"/>
          <w:b w:val="0"/>
          <w:i w:val="0"/>
          <w:color w:val="3D3E3E"/>
          <w:sz w:val="19"/>
        </w:rPr>
        <w:t xml:space="preserve"> — TE lane carries the actuals (60929-60935); used TE for GDP/IP/retail/FAI.</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China June trade</w:t>
      </w:r>
      <w:r>
        <w:rPr>
          <w:rFonts w:ascii="Public Sans" w:hAnsi="Public Sans"/>
          <w:b w:val="0"/>
          <w:i w:val="0"/>
          <w:color w:val="3D3E3E"/>
          <w:sz w:val="19"/>
        </w:rPr>
        <w:t xml:space="preserve"> — TE (60864, $125.62B) and BQL agree on strength; used TE for the headline surplus/exports/imports.</w:t>
      </w:r>
    </w:p>
    <w:p>
      <w:pPr>
        <w:spacing w:before="120" w:after="40"/>
        <w:keepNext/>
      </w:pPr>
      <w:r>
        <w:rPr>
          <w:rFonts w:ascii="Public Sans" w:hAnsi="Public Sans"/>
          <w:b/>
          <w:i w:val="0"/>
          <w:color w:val="001830"/>
          <w:sz w:val="19"/>
        </w:rPr>
        <w:t>Unreconciled (both shown):</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India EUR/INR</w:t>
      </w:r>
      <w:r>
        <w:rPr>
          <w:rFonts w:ascii="Public Sans" w:hAnsi="Public Sans"/>
          <w:b w:val="0"/>
          <w:i w:val="0"/>
          <w:color w:val="3D3E3E"/>
          <w:sz w:val="19"/>
        </w:rPr>
        <w:t xml:space="preserve"> — Nomura holds </w:t>
      </w:r>
      <w:r>
        <w:rPr>
          <w:rFonts w:ascii="Public Sans" w:hAnsi="Public Sans"/>
          <w:b/>
          <w:i w:val="0"/>
          <w:color w:val="3D3E3E"/>
          <w:sz w:val="19"/>
        </w:rPr>
        <w:t>long EUR/INR (target 113)</w:t>
      </w:r>
      <w:r>
        <w:rPr>
          <w:rFonts w:ascii="Public Sans" w:hAnsi="Public Sans"/>
          <w:b w:val="0"/>
          <w:i w:val="0"/>
          <w:color w:val="3D3E3E"/>
          <w:sz w:val="19"/>
        </w:rPr>
        <w:t xml:space="preserve"> (18221) while SocGen </w:t>
      </w:r>
      <w:r>
        <w:rPr>
          <w:rFonts w:ascii="Public Sans" w:hAnsi="Public Sans"/>
          <w:b/>
          <w:i w:val="0"/>
          <w:color w:val="3D3E3E"/>
          <w:sz w:val="19"/>
        </w:rPr>
        <w:t>took profit on short EUR/INR</w:t>
      </w:r>
      <w:r>
        <w:rPr>
          <w:rFonts w:ascii="Public Sans" w:hAnsi="Public Sans"/>
          <w:b w:val="0"/>
          <w:i w:val="0"/>
          <w:color w:val="3D3E3E"/>
          <w:sz w:val="19"/>
        </w:rPr>
        <w:t xml:space="preserve"> "as headwinds rise" (18227) — opposite sides on the same cross; both shown.</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US dollar direction</w:t>
      </w:r>
      <w:r>
        <w:rPr>
          <w:rFonts w:ascii="Public Sans" w:hAnsi="Public Sans"/>
          <w:b w:val="0"/>
          <w:i w:val="0"/>
          <w:color w:val="3D3E3E"/>
          <w:sz w:val="19"/>
        </w:rPr>
        <w:t xml:space="preserve"> — Nomura reads the USD's non-reaction as long-USD-stretched (fade the dollar) (18221); Citi keeps a residual </w:t>
      </w:r>
      <w:r>
        <w:rPr>
          <w:rFonts w:ascii="Public Sans" w:hAnsi="Public Sans"/>
          <w:b/>
          <w:i w:val="0"/>
          <w:color w:val="3D3E3E"/>
          <w:sz w:val="19"/>
        </w:rPr>
        <w:t>USD-asymmetry on Middle-East risk</w:t>
      </w:r>
      <w:r>
        <w:rPr>
          <w:rFonts w:ascii="Public Sans" w:hAnsi="Public Sans"/>
          <w:b w:val="0"/>
          <w:i w:val="0"/>
          <w:color w:val="3D3E3E"/>
          <w:sz w:val="19"/>
        </w:rPr>
        <w:t xml:space="preserve"> even after the soft CPI (18316); both shown.</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NZ hike path</w:t>
      </w:r>
      <w:r>
        <w:rPr>
          <w:rFonts w:ascii="Public Sans" w:hAnsi="Public Sans"/>
          <w:b w:val="0"/>
          <w:i w:val="0"/>
          <w:color w:val="3D3E3E"/>
          <w:sz w:val="19"/>
        </w:rPr>
        <w:t xml:space="preserve"> — ANZ </w:t>
      </w:r>
      <w:r>
        <w:rPr>
          <w:rFonts w:ascii="Public Sans" w:hAnsi="Public Sans"/>
          <w:b/>
          <w:i w:val="0"/>
          <w:color w:val="3D3E3E"/>
          <w:sz w:val="19"/>
        </w:rPr>
        <w:t>Sep+Oct</w:t>
      </w:r>
      <w:r>
        <w:rPr>
          <w:rFonts w:ascii="Public Sans" w:hAnsi="Public Sans"/>
          <w:b w:val="0"/>
          <w:i w:val="0"/>
          <w:color w:val="3D3E3E"/>
          <w:sz w:val="19"/>
        </w:rPr>
        <w:t xml:space="preserve"> (18030) vs UBS </w:t>
      </w:r>
      <w:r>
        <w:rPr>
          <w:rFonts w:ascii="Public Sans" w:hAnsi="Public Sans"/>
          <w:b/>
          <w:i w:val="0"/>
          <w:color w:val="3D3E3E"/>
          <w:sz w:val="19"/>
        </w:rPr>
        <w:t>Sep+Dec</w:t>
      </w:r>
      <w:r>
        <w:rPr>
          <w:rFonts w:ascii="Public Sans" w:hAnsi="Public Sans"/>
          <w:b w:val="0"/>
          <w:i w:val="0"/>
          <w:color w:val="3D3E3E"/>
          <w:sz w:val="19"/>
        </w:rPr>
        <w:t xml:space="preserve"> (18107); both shown.</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UK</w:t>
      </w:r>
      <w:r>
        <w:rPr>
          <w:rFonts w:ascii="Public Sans" w:hAnsi="Public Sans"/>
          <w:b w:val="0"/>
          <w:i w:val="0"/>
          <w:color w:val="3D3E3E"/>
          <w:sz w:val="19"/>
        </w:rPr>
        <w:t xml:space="preserve"> — HSBC's dovish fade (receive GBP 1Y1Y) vs the market's </w:t>
      </w:r>
      <w:r>
        <w:rPr>
          <w:rFonts w:ascii="Public Sans" w:hAnsi="Public Sans"/>
          <w:b/>
          <w:i w:val="0"/>
          <w:color w:val="3D3E3E"/>
          <w:sz w:val="19"/>
        </w:rPr>
        <w:t>~80% Sep-hike pricing</w:t>
      </w:r>
      <w:r>
        <w:rPr>
          <w:rFonts w:ascii="Public Sans" w:hAnsi="Public Sans"/>
          <w:b w:val="0"/>
          <w:i w:val="0"/>
          <w:color w:val="3D3E3E"/>
          <w:sz w:val="19"/>
        </w:rPr>
        <w:t xml:space="preserve"> (18254); both shown.</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Canada</w:t>
      </w:r>
      <w:r>
        <w:rPr>
          <w:rFonts w:ascii="Public Sans" w:hAnsi="Public Sans"/>
          <w:b w:val="0"/>
          <w:i w:val="0"/>
          <w:color w:val="3D3E3E"/>
          <w:sz w:val="19"/>
        </w:rPr>
        <w:t xml:space="preserve"> — JPM/MS/GS benign-core </w:t>
      </w:r>
      <w:r>
        <w:rPr>
          <w:rFonts w:ascii="Public Sans" w:hAnsi="Public Sans"/>
          <w:b/>
          <w:i w:val="0"/>
          <w:color w:val="3D3E3E"/>
          <w:sz w:val="19"/>
        </w:rPr>
        <w:t>hold</w:t>
      </w:r>
      <w:r>
        <w:rPr>
          <w:rFonts w:ascii="Public Sans" w:hAnsi="Public Sans"/>
          <w:b w:val="0"/>
          <w:i w:val="0"/>
          <w:color w:val="3D3E3E"/>
          <w:sz w:val="19"/>
        </w:rPr>
        <w:t xml:space="preserve"> vs StanC </w:t>
      </w:r>
      <w:r>
        <w:rPr>
          <w:rFonts w:ascii="Public Sans" w:hAnsi="Public Sans"/>
          <w:b/>
          <w:i w:val="0"/>
          <w:color w:val="3D3E3E"/>
          <w:sz w:val="19"/>
        </w:rPr>
        <w:t>cut-by-year-end</w:t>
      </w:r>
      <w:r>
        <w:rPr>
          <w:rFonts w:ascii="Public Sans" w:hAnsi="Public Sans"/>
          <w:b w:val="0"/>
          <w:i w:val="0"/>
          <w:color w:val="3D3E3E"/>
          <w:sz w:val="19"/>
        </w:rPr>
        <w:t xml:space="preserve"> vs the market's </w:t>
      </w:r>
      <w:r>
        <w:rPr>
          <w:rFonts w:ascii="Public Sans" w:hAnsi="Public Sans"/>
          <w:b/>
          <w:i w:val="0"/>
          <w:color w:val="3D3E3E"/>
          <w:sz w:val="19"/>
        </w:rPr>
        <w:t>hike pricing</w:t>
      </w:r>
      <w:r>
        <w:rPr>
          <w:rFonts w:ascii="Public Sans" w:hAnsi="Public Sans"/>
          <w:b w:val="0"/>
          <w:i w:val="0"/>
          <w:color w:val="3D3E3E"/>
          <w:sz w:val="19"/>
        </w:rPr>
        <w:t>; all shown.</w:t>
      </w:r>
    </w:p>
    <w:p>
      <w:pPr>
        <w:spacing w:after="80" w:line="283" w:lineRule="auto"/>
      </w:pPr>
      <w:r>
        <w:rPr>
          <w:rFonts w:ascii="Public Sans" w:hAnsi="Public Sans"/>
          <w:b/>
          <w:i w:val="0"/>
          <w:color w:val="3D3E3E"/>
          <w:sz w:val="19"/>
        </w:rPr>
        <w:t>Day-over-day vs the prior edition (07-14 → 07-15):</w:t>
      </w:r>
      <w:r>
        <w:rPr>
          <w:rFonts w:ascii="Public Sans" w:hAnsi="Public Sans"/>
          <w:b w:val="0"/>
          <w:i w:val="0"/>
          <w:color w:val="3D3E3E"/>
          <w:sz w:val="19"/>
        </w:rPr>
        <w:t xml:space="preserve"> the prior day's marquee question — the hawkish Waller setup and the ~50% July-hike odds — resolved </w:t>
      </w:r>
      <w:r>
        <w:rPr>
          <w:rFonts w:ascii="Public Sans" w:hAnsi="Public Sans"/>
          <w:b/>
          <w:i w:val="0"/>
          <w:color w:val="3D3E3E"/>
          <w:sz w:val="19"/>
        </w:rPr>
        <w:t>dovish</w:t>
      </w:r>
      <w:r>
        <w:rPr>
          <w:rFonts w:ascii="Public Sans" w:hAnsi="Public Sans"/>
          <w:b w:val="0"/>
          <w:i w:val="0"/>
          <w:color w:val="3D3E3E"/>
          <w:sz w:val="19"/>
        </w:rPr>
        <w:t xml:space="preserve">: June core CPI at 0.0% m/m / 2.6% y/y undershot the entire desk, and the houses moved to "the Fed can hold for the summer." The oil/Hormuz tail persists (WTI booked at $78.78). SG advance GDP came in </w:t>
      </w:r>
      <w:r>
        <w:rPr>
          <w:rFonts w:ascii="Public Sans" w:hAnsi="Public Sans"/>
          <w:b/>
          <w:i w:val="0"/>
          <w:color w:val="3D3E3E"/>
          <w:sz w:val="19"/>
        </w:rPr>
        <w:t>strong</w:t>
      </w:r>
      <w:r>
        <w:rPr>
          <w:rFonts w:ascii="Public Sans" w:hAnsi="Public Sans"/>
          <w:b w:val="0"/>
          <w:i w:val="0"/>
          <w:color w:val="3D3E3E"/>
          <w:sz w:val="19"/>
        </w:rPr>
        <w:t xml:space="preserve"> (5.7%); China trade </w:t>
      </w:r>
      <w:r>
        <w:rPr>
          <w:rFonts w:ascii="Public Sans" w:hAnsi="Public Sans"/>
          <w:b/>
          <w:i w:val="0"/>
          <w:color w:val="3D3E3E"/>
          <w:sz w:val="19"/>
        </w:rPr>
        <w:t>record</w:t>
      </w:r>
      <w:r>
        <w:rPr>
          <w:rFonts w:ascii="Public Sans" w:hAnsi="Public Sans"/>
          <w:b w:val="0"/>
          <w:i w:val="0"/>
          <w:color w:val="3D3E3E"/>
          <w:sz w:val="19"/>
        </w:rPr>
        <w:t xml:space="preserve">; China Q2 GDP </w:t>
      </w:r>
      <w:r>
        <w:rPr>
          <w:rFonts w:ascii="Public Sans" w:hAnsi="Public Sans"/>
          <w:b/>
          <w:i w:val="0"/>
          <w:color w:val="3D3E3E"/>
          <w:sz w:val="19"/>
        </w:rPr>
        <w:t>mixed</w:t>
      </w:r>
      <w:r>
        <w:rPr>
          <w:rFonts w:ascii="Public Sans" w:hAnsi="Public Sans"/>
          <w:b w:val="0"/>
          <w:i w:val="0"/>
          <w:color w:val="3D3E3E"/>
          <w:sz w:val="19"/>
        </w:rPr>
        <w:t xml:space="preserve"> (headline 4.3% miss, June IP/retail beat); India CPI/WPI </w:t>
      </w:r>
      <w:r>
        <w:rPr>
          <w:rFonts w:ascii="Public Sans" w:hAnsi="Public Sans"/>
          <w:b/>
          <w:i w:val="0"/>
          <w:color w:val="3D3E3E"/>
          <w:sz w:val="19"/>
        </w:rPr>
        <w:t>hot</w:t>
      </w:r>
      <w:r>
        <w:rPr>
          <w:rFonts w:ascii="Public Sans" w:hAnsi="Public Sans"/>
          <w:b w:val="0"/>
          <w:i w:val="0"/>
          <w:color w:val="3D3E3E"/>
          <w:sz w:val="19"/>
        </w:rPr>
        <w:t xml:space="preserve">. The </w:t>
      </w:r>
      <w:r>
        <w:rPr>
          <w:rFonts w:ascii="Public Sans" w:hAnsi="Public Sans"/>
          <w:b/>
          <w:i w:val="0"/>
          <w:color w:val="3D3E3E"/>
          <w:sz w:val="19"/>
        </w:rPr>
        <w:t>BoC decision</w:t>
      </w:r>
      <w:r>
        <w:rPr>
          <w:rFonts w:ascii="Public Sans" w:hAnsi="Public Sans"/>
          <w:b w:val="0"/>
          <w:i w:val="0"/>
          <w:color w:val="3D3E3E"/>
          <w:sz w:val="19"/>
        </w:rPr>
        <w:t xml:space="preserve"> is the sole remaining live event into the US afternoon.</w:t>
      </w:r>
    </w:p>
    <w:p>
      <w:pPr>
        <w:spacing w:after="80" w:line="283" w:lineRule="auto"/>
      </w:pPr>
      <w:r>
        <w:rPr>
          <w:rFonts w:ascii="Public Sans" w:hAnsi="Public Sans"/>
          <w:b/>
          <w:i w:val="0"/>
          <w:color w:val="3D3E3E"/>
          <w:sz w:val="19"/>
        </w:rPr>
        <w:t>Not loaded / pre-decision (flagged):</w:t>
      </w:r>
      <w:r>
        <w:rPr>
          <w:rFonts w:ascii="Public Sans" w:hAnsi="Public Sans"/>
          <w:b w:val="0"/>
          <w:i w:val="0"/>
          <w:color w:val="3D3E3E"/>
          <w:sz w:val="19"/>
        </w:rPr>
        <w:t xml:space="preserve"> BoC decision + MPR + presser (the day's remaining forward event); US PPI/retail (forward); JP/CA/UK/TH/MY macro depth thin in econ.fact_indicator; rates.fact_bond_yield EMPTY (no cash govt yields — all swap/OIS); credit spreads not in IMDR (none cited as fact); DXY not loaded (Citi 18316 sell-side); Brent (~$83-84) sell-side (WTI booked); the 07-15 Asian rates/FX session unpopulated at compile (DoD uses the last complete 07-14 session), so the China-GDP market reaction is still developing; </w:t>
      </w:r>
      <w:r>
        <w:rPr>
          <w:rFonts w:ascii="Public Sans" w:hAnsi="Public Sans"/>
          <w:b/>
          <w:i w:val="0"/>
          <w:color w:val="3D3E3E"/>
          <w:sz w:val="19"/>
        </w:rPr>
        <w:t>no BBG chat transcript exists for 2026-07-15</w:t>
      </w:r>
      <w:r>
        <w:rPr>
          <w:rFonts w:ascii="Public Sans" w:hAnsi="Public Sans"/>
          <w:b w:val="0"/>
          <w:i w:val="0"/>
          <w:color w:val="3D3E3E"/>
          <w:sz w:val="19"/>
        </w:rPr>
        <w:t xml:space="preserve"> (noted).</w:t>
      </w:r>
    </w:p>
    <w:p>
      <w:pPr>
        <w:spacing w:after="80" w:line="283" w:lineRule="auto"/>
      </w:pPr>
      <w:r>
        <w:rPr>
          <w:rFonts w:ascii="Public Sans" w:hAnsi="Public Sans"/>
          <w:b/>
          <w:i w:val="0"/>
          <w:color w:val="3D3E3E"/>
          <w:sz w:val="19"/>
        </w:rPr>
        <w:t>Differentiated-view count (§9.D):</w:t>
      </w:r>
      <w:r>
        <w:rPr>
          <w:rFonts w:ascii="Public Sans" w:hAnsi="Public Sans"/>
          <w:b w:val="0"/>
          <w:i w:val="0"/>
          <w:color w:val="3D3E3E"/>
          <w:sz w:val="19"/>
        </w:rPr>
        <w:t xml:space="preserve"> US 3 · Canada 2 · UK 2 · China 3 · Japan 2 · Hong Kong 0 · Singapore 2 · Indonesia 1 · Thailand 0 · Malaysia 0 · Philippines 0 · New Zealand 2 · Australia 1 · India 3 = </w:t>
      </w:r>
      <w:r>
        <w:rPr>
          <w:rFonts w:ascii="Public Sans" w:hAnsi="Public Sans"/>
          <w:b/>
          <w:i w:val="0"/>
          <w:color w:val="3D3E3E"/>
          <w:sz w:val="19"/>
        </w:rPr>
        <w:t>23 differentiated-view rows across 13 countries</w:t>
      </w:r>
      <w:r>
        <w:rPr>
          <w:rFonts w:ascii="Public Sans" w:hAnsi="Public Sans"/>
          <w:b w:val="0"/>
          <w:i w:val="0"/>
          <w:color w:val="3D3E3E"/>
          <w:sz w:val="19"/>
        </w:rPr>
        <w:t xml:space="preserve"> (quiet-country floor met for HK/TH/MY/PH with a real A+B read grounded in the flagship/tape).</w:t>
      </w:r>
    </w:p>
    <w:p>
      <w:pPr>
        <w:spacing w:before="80" w:after="80"/>
        <w:pBdr>
          <w:bottom w:val="single" w:sz="6" w:space="2" w:color="D9DCD8"/>
        </w:pBdr>
      </w:pPr>
    </w:p>
    <w:p>
      <w:pPr>
        <w:spacing w:before="240" w:after="100"/>
        <w:keepNext/>
        <w:pBdr>
          <w:bottom w:val="single" w:sz="6" w:space="2" w:color="D9DCD8"/>
        </w:pBdr>
      </w:pPr>
      <w:r>
        <w:rPr>
          <w:rFonts w:ascii="Georgia" w:hAnsi="Georgia"/>
          <w:b/>
          <w:color w:val="004527"/>
          <w:sz w:val="27"/>
        </w:rPr>
        <w:t>Source register — in-window report IDs by cluster</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US / DM (c2):</w:t>
      </w:r>
      <w:r>
        <w:rPr>
          <w:rFonts w:ascii="Public Sans" w:hAnsi="Public Sans"/>
          <w:b w:val="0"/>
          <w:i w:val="0"/>
          <w:color w:val="3D3E3E"/>
          <w:sz w:val="19"/>
        </w:rPr>
        <w:t xml:space="preserve"> 18251, 18252, 18282, 18267, 18312, 18293, 18315, 18295, 18265, 18333, 18365, 18239, 18240, 18241, 18292, 18349, 18334, 18367, 18330, 18206, 18362, 18079, 18133, 18141, 18129, 18193, 18180, 18244, 18337, 18316, 18317, 18324, 18328, 18255, 18338, 18220, 18306, 18375 (+pre-print Waller/Fed-comms 07-13, carried in-window: 18001, 18055, 18035, 17985, 18007) · </w:t>
      </w:r>
      <w:r>
        <w:rPr>
          <w:rFonts w:ascii="Public Sans" w:hAnsi="Public Sans"/>
          <w:b/>
          <w:i w:val="0"/>
          <w:color w:val="3D3E3E"/>
          <w:sz w:val="19"/>
        </w:rPr>
        <w:t>CA:</w:t>
      </w:r>
      <w:r>
        <w:rPr>
          <w:rFonts w:ascii="Public Sans" w:hAnsi="Public Sans"/>
          <w:b w:val="0"/>
          <w:i w:val="0"/>
          <w:color w:val="3D3E3E"/>
          <w:sz w:val="19"/>
        </w:rPr>
        <w:t xml:space="preserve"> 18221, 18200 (+carried 17988, 18051, 18040, 18004, 18310) · </w:t>
      </w:r>
      <w:r>
        <w:rPr>
          <w:rFonts w:ascii="Public Sans" w:hAnsi="Public Sans"/>
          <w:b/>
          <w:i w:val="0"/>
          <w:color w:val="3D3E3E"/>
          <w:sz w:val="19"/>
        </w:rPr>
        <w:t>UK:</w:t>
      </w:r>
      <w:r>
        <w:rPr>
          <w:rFonts w:ascii="Public Sans" w:hAnsi="Public Sans"/>
          <w:b w:val="0"/>
          <w:i w:val="0"/>
          <w:color w:val="3D3E3E"/>
          <w:sz w:val="19"/>
        </w:rPr>
        <w:t xml:space="preserve"> 18254, 18264, 18077, 18326, 18109.</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North Asia (c1):</w:t>
      </w:r>
      <w:r>
        <w:rPr>
          <w:rFonts w:ascii="Public Sans" w:hAnsi="Public Sans"/>
          <w:b w:val="0"/>
          <w:i w:val="0"/>
          <w:color w:val="3D3E3E"/>
          <w:sz w:val="19"/>
        </w:rPr>
        <w:t xml:space="preserve"> </w:t>
      </w:r>
      <w:r>
        <w:rPr>
          <w:rFonts w:ascii="Public Sans" w:hAnsi="Public Sans"/>
          <w:b/>
          <w:i w:val="0"/>
          <w:color w:val="3D3E3E"/>
          <w:sz w:val="19"/>
        </w:rPr>
        <w:t>CN</w:t>
      </w:r>
      <w:r>
        <w:rPr>
          <w:rFonts w:ascii="Public Sans" w:hAnsi="Public Sans"/>
          <w:b w:val="0"/>
          <w:i w:val="0"/>
          <w:color w:val="3D3E3E"/>
          <w:sz w:val="19"/>
        </w:rPr>
        <w:t xml:space="preserve"> 18092, 18093, 18216, 18117, 18231, 18156, 18161, 18090, 18091, 18098, 18359, 18115, 18085, 18122, 18242, 18371, 18366, 18082 · </w:t>
      </w:r>
      <w:r>
        <w:rPr>
          <w:rFonts w:ascii="Public Sans" w:hAnsi="Public Sans"/>
          <w:b/>
          <w:i w:val="0"/>
          <w:color w:val="3D3E3E"/>
          <w:sz w:val="19"/>
        </w:rPr>
        <w:t>JP</w:t>
      </w:r>
      <w:r>
        <w:rPr>
          <w:rFonts w:ascii="Public Sans" w:hAnsi="Public Sans"/>
          <w:b w:val="0"/>
          <w:i w:val="0"/>
          <w:color w:val="3D3E3E"/>
          <w:sz w:val="19"/>
        </w:rPr>
        <w:t xml:space="preserve"> 18123, 18348, 18319, 18291, 18159, 18158, 18222, 18368, 18138, 18357, 18351, 18106, 18288, 18063, 18062, 18296, 18289, 18290 · </w:t>
      </w:r>
      <w:r>
        <w:rPr>
          <w:rFonts w:ascii="Public Sans" w:hAnsi="Public Sans"/>
          <w:b/>
          <w:i w:val="0"/>
          <w:color w:val="3D3E3E"/>
          <w:sz w:val="19"/>
        </w:rPr>
        <w:t>HK</w:t>
      </w:r>
      <w:r>
        <w:rPr>
          <w:rFonts w:ascii="Public Sans" w:hAnsi="Public Sans"/>
          <w:b w:val="0"/>
          <w:i w:val="0"/>
          <w:color w:val="3D3E3E"/>
          <w:sz w:val="19"/>
        </w:rPr>
        <w:t xml:space="preserve"> 18359, 18139, 18347, 18366.</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ANZ (c3):</w:t>
      </w:r>
      <w:r>
        <w:rPr>
          <w:rFonts w:ascii="Public Sans" w:hAnsi="Public Sans"/>
          <w:b w:val="0"/>
          <w:i w:val="0"/>
          <w:color w:val="3D3E3E"/>
          <w:sz w:val="19"/>
        </w:rPr>
        <w:t xml:space="preserve"> </w:t>
      </w:r>
      <w:r>
        <w:rPr>
          <w:rFonts w:ascii="Public Sans" w:hAnsi="Public Sans"/>
          <w:b/>
          <w:i w:val="0"/>
          <w:color w:val="3D3E3E"/>
          <w:sz w:val="19"/>
        </w:rPr>
        <w:t>NZ</w:t>
      </w:r>
      <w:r>
        <w:rPr>
          <w:rFonts w:ascii="Public Sans" w:hAnsi="Public Sans"/>
          <w:b w:val="0"/>
          <w:i w:val="0"/>
          <w:color w:val="3D3E3E"/>
          <w:sz w:val="19"/>
        </w:rPr>
        <w:t xml:space="preserve"> 18030, 18061, 18340, 18107, 18165, 18078, 18068, 18070, 18067, 18059, 18083 · </w:t>
      </w:r>
      <w:r>
        <w:rPr>
          <w:rFonts w:ascii="Public Sans" w:hAnsi="Public Sans"/>
          <w:b/>
          <w:i w:val="0"/>
          <w:color w:val="3D3E3E"/>
          <w:sz w:val="19"/>
        </w:rPr>
        <w:t>AU</w:t>
      </w:r>
      <w:r>
        <w:rPr>
          <w:rFonts w:ascii="Public Sans" w:hAnsi="Public Sans"/>
          <w:b w:val="0"/>
          <w:i w:val="0"/>
          <w:color w:val="3D3E3E"/>
          <w:sz w:val="19"/>
        </w:rPr>
        <w:t xml:space="preserve"> 18072, 18073, 18076, 18164, 18110, 18084, 18112, 18167, 18342, 18029, 18341, 18060, 18080.</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ASEAN (c4):</w:t>
      </w:r>
      <w:r>
        <w:rPr>
          <w:rFonts w:ascii="Public Sans" w:hAnsi="Public Sans"/>
          <w:b w:val="0"/>
          <w:i w:val="0"/>
          <w:color w:val="3D3E3E"/>
          <w:sz w:val="19"/>
        </w:rPr>
        <w:t xml:space="preserve"> </w:t>
      </w:r>
      <w:r>
        <w:rPr>
          <w:rFonts w:ascii="Public Sans" w:hAnsi="Public Sans"/>
          <w:b/>
          <w:i w:val="0"/>
          <w:color w:val="3D3E3E"/>
          <w:sz w:val="19"/>
        </w:rPr>
        <w:t>SG</w:t>
      </w:r>
      <w:r>
        <w:rPr>
          <w:rFonts w:ascii="Public Sans" w:hAnsi="Public Sans"/>
          <w:b w:val="0"/>
          <w:i w:val="0"/>
          <w:color w:val="3D3E3E"/>
          <w:sz w:val="19"/>
        </w:rPr>
        <w:t xml:space="preserve"> 18103, 18125, 18157, 18096, 18226 · </w:t>
      </w:r>
      <w:r>
        <w:rPr>
          <w:rFonts w:ascii="Public Sans" w:hAnsi="Public Sans"/>
          <w:b/>
          <w:i w:val="0"/>
          <w:color w:val="3D3E3E"/>
          <w:sz w:val="19"/>
        </w:rPr>
        <w:t>ID</w:t>
      </w:r>
      <w:r>
        <w:rPr>
          <w:rFonts w:ascii="Public Sans" w:hAnsi="Public Sans"/>
          <w:b w:val="0"/>
          <w:i w:val="0"/>
          <w:color w:val="3D3E3E"/>
          <w:sz w:val="19"/>
        </w:rPr>
        <w:t xml:space="preserve"> 18151 · </w:t>
      </w:r>
      <w:r>
        <w:rPr>
          <w:rFonts w:ascii="Public Sans" w:hAnsi="Public Sans"/>
          <w:b/>
          <w:i w:val="0"/>
          <w:color w:val="3D3E3E"/>
          <w:sz w:val="19"/>
        </w:rPr>
        <w:t>TH</w:t>
      </w:r>
      <w:r>
        <w:rPr>
          <w:rFonts w:ascii="Public Sans" w:hAnsi="Public Sans"/>
          <w:b w:val="0"/>
          <w:i w:val="0"/>
          <w:color w:val="3D3E3E"/>
          <w:sz w:val="19"/>
        </w:rPr>
        <w:t xml:space="preserve"> 18064, 18163, 18370 · </w:t>
      </w:r>
      <w:r>
        <w:rPr>
          <w:rFonts w:ascii="Public Sans" w:hAnsi="Public Sans"/>
          <w:b/>
          <w:i w:val="0"/>
          <w:color w:val="3D3E3E"/>
          <w:sz w:val="19"/>
        </w:rPr>
        <w:t>MY</w:t>
      </w:r>
      <w:r>
        <w:rPr>
          <w:rFonts w:ascii="Public Sans" w:hAnsi="Public Sans"/>
          <w:b w:val="0"/>
          <w:i w:val="0"/>
          <w:color w:val="3D3E3E"/>
          <w:sz w:val="19"/>
        </w:rPr>
        <w:t xml:space="preserve"> (none in-window) · </w:t>
      </w:r>
      <w:r>
        <w:rPr>
          <w:rFonts w:ascii="Public Sans" w:hAnsi="Public Sans"/>
          <w:b/>
          <w:i w:val="0"/>
          <w:color w:val="3D3E3E"/>
          <w:sz w:val="19"/>
        </w:rPr>
        <w:t>PH</w:t>
      </w:r>
      <w:r>
        <w:rPr>
          <w:rFonts w:ascii="Public Sans" w:hAnsi="Public Sans"/>
          <w:b w:val="0"/>
          <w:i w:val="0"/>
          <w:color w:val="3D3E3E"/>
          <w:sz w:val="19"/>
        </w:rPr>
        <w:t xml:space="preserve"> 18233 (+carried 18064).</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India (c5):</w:t>
      </w:r>
      <w:r>
        <w:rPr>
          <w:rFonts w:ascii="Public Sans" w:hAnsi="Public Sans"/>
          <w:b w:val="0"/>
          <w:i w:val="0"/>
          <w:color w:val="3D3E3E"/>
          <w:sz w:val="19"/>
        </w:rPr>
        <w:t xml:space="preserve"> 18260, 18160, 18152, 18153, 18105, 18171, 18227, 18094, 18095 (+carried 17693, 17959).</w:t>
      </w:r>
    </w:p>
    <w:p>
      <w:pPr>
        <w:spacing w:after="50" w:line="269" w:lineRule="auto"/>
        <w:ind w:left="259"/>
      </w:pPr>
      <w:r>
        <w:rPr>
          <w:rFonts w:ascii="Public Sans" w:hAnsi="Public Sans"/>
          <w:color w:val="4D806A"/>
          <w:sz w:val="16"/>
        </w:rPr>
        <w:t xml:space="preserve">▪  </w:t>
      </w:r>
      <w:r>
        <w:rPr>
          <w:rFonts w:ascii="Public Sans" w:hAnsi="Public Sans"/>
          <w:b/>
          <w:i w:val="0"/>
          <w:color w:val="3D3E3E"/>
          <w:sz w:val="19"/>
        </w:rPr>
        <w:t>Cross-asset / trades / context:</w:t>
      </w:r>
      <w:r>
        <w:rPr>
          <w:rFonts w:ascii="Public Sans" w:hAnsi="Public Sans"/>
          <w:b w:val="0"/>
          <w:i w:val="0"/>
          <w:color w:val="3D3E3E"/>
          <w:sz w:val="19"/>
        </w:rPr>
        <w:t xml:space="preserve"> Nomura FX Themes (18081), SDR FX G10/Asia (18369/18370), Global Economic Outlook Monthly (18223); Citi Local Markets Scanner (18274); Barclays Inflation-Linked "Blockade reinstated" (18119), "Emerging Asia: The Fed stoics" (18118); StanC Commodity Roadmap ME (18336); UBS Hormuz tracker day 136 (18298); GS "Go Short AUD/NZD" (18352), KOSPI Reset (18278); DB Korea Macro (18245), MS Korea (18154), Nomura Korea (18155), StanC Korea (18335), HSBC BoK Watch (18043/18198) — Korea context (outside universe, BoK 16-Jul).</w:t>
      </w:r>
    </w:p>
    <w:p>
      <w:pPr>
        <w:spacing w:after="80" w:line="283" w:lineRule="auto"/>
      </w:pPr>
      <w:r>
        <w:rPr>
          <w:rFonts w:ascii="Public Sans" w:hAnsi="Public Sans"/>
          <w:b w:val="0"/>
          <w:i/>
          <w:color w:val="3D3E3E"/>
          <w:sz w:val="19"/>
        </w:rPr>
        <w:t>Note: report IDs are internal grounding references; the reader-facing digest carries the data and the read, not the ID parade.</w:t>
      </w:r>
    </w:p>
    <w:p>
      <w:pPr>
        <w:spacing w:after="8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448"/>
        <w:gridCol w:w="8208"/>
      </w:tblGrid>
      <w:tr>
        <w:tc>
          <w:tcPr>
            <w:tcW w:type="dxa" w:w="2448"/>
            <w:shd w:val="clear" w:color="auto" w:fill="001830"/>
            <w:tcMar>
              <w:top w:w="150" w:type="dxa"/>
              <w:bottom w:w="150" w:type="dxa"/>
              <w:start w:w="170" w:type="dxa"/>
              <w:end w:w="170" w:type="dxa"/>
              <w:left w:w="170" w:type="dxa"/>
              <w:right w:w="170" w:type="dxa"/>
            </w:tcMar>
            <w:vAlign w:val="center"/>
          </w:tcPr>
          <w:p>
            <w:r>
              <w:drawing>
                <wp:inline xmlns:a="http://schemas.openxmlformats.org/drawingml/2006/main" xmlns:pic="http://schemas.openxmlformats.org/drawingml/2006/picture">
                  <wp:extent cx="1280160" cy="428712"/>
                  <wp:docPr id="2" name="Picture 2"/>
                  <wp:cNvGraphicFramePr>
                    <a:graphicFrameLocks noChangeAspect="1"/>
                  </wp:cNvGraphicFramePr>
                  <a:graphic>
                    <a:graphicData uri="http://schemas.openxmlformats.org/drawingml/2006/picture">
                      <pic:pic>
                        <pic:nvPicPr>
                          <pic:cNvPr id="0" name="rv-logo-negative.png"/>
                          <pic:cNvPicPr/>
                        </pic:nvPicPr>
                        <pic:blipFill>
                          <a:blip r:embed="rId9"/>
                          <a:stretch>
                            <a:fillRect/>
                          </a:stretch>
                        </pic:blipFill>
                        <pic:spPr>
                          <a:xfrm>
                            <a:off x="0" y="0"/>
                            <a:ext cx="1280160" cy="428712"/>
                          </a:xfrm>
                          <a:prstGeom prst="rect"/>
                        </pic:spPr>
                      </pic:pic>
                    </a:graphicData>
                  </a:graphic>
                </wp:inline>
              </w:drawing>
            </w:r>
          </w:p>
        </w:tc>
        <w:tc>
          <w:tcPr>
            <w:tcW w:type="dxa" w:w="8208"/>
            <w:shd w:val="clear" w:color="auto" w:fill="001830"/>
            <w:tcMar>
              <w:top w:w="150" w:type="dxa"/>
              <w:bottom w:w="150" w:type="dxa"/>
              <w:start w:w="170" w:type="dxa"/>
              <w:end w:w="170" w:type="dxa"/>
              <w:left w:w="170" w:type="dxa"/>
              <w:right w:w="170" w:type="dxa"/>
            </w:tcMar>
            <w:vAlign w:val="center"/>
          </w:tcPr>
          <w:p>
            <w:pPr>
              <w:jc w:val="right"/>
            </w:pPr>
            <w:r>
              <w:rPr>
                <w:rFonts w:ascii="Public Sans" w:hAnsi="Public Sans"/>
                <w:b/>
                <w:color w:val="FFFFFF"/>
                <w:sz w:val="18"/>
              </w:rPr>
              <w:t>RV Capital  ·  Daily Macro Research Digest (Spider · demo)</w:t>
            </w:r>
          </w:p>
          <w:p>
            <w:pPr>
              <w:spacing w:before="40"/>
              <w:jc w:val="right"/>
            </w:pPr>
            <w:r>
              <w:rPr>
                <w:rFonts w:ascii="Public Sans" w:hAnsi="Public Sans"/>
                <w:color w:val="85A2BE"/>
                <w:sz w:val="15"/>
              </w:rPr>
              <w:t>Opinion &amp; trade-extraction tool, not a clipping service. Internal use only — not investment advice.</w:t>
            </w:r>
          </w:p>
        </w:tc>
      </w:tr>
    </w:tbl>
    <w:sectPr w:rsidR="00FC693F" w:rsidRPr="0006063C" w:rsidSect="00034616">
      <w:footerReference w:type="default" r:id="rId10"/>
      <w:pgSz w:w="12240" w:h="15840"/>
      <w:pgMar w:top="792"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ublic Sans" w:hAnsi="Public Sans"/>
        <w:color w:val="7A7C7C"/>
        <w:sz w:val="15"/>
      </w:rPr>
      <w:t xml:space="preserve">RV Capital  ·  Daily Macro Research Digest (Spider · demo)  ·  page </w:t>
    </w:r>
    <w:fldSimple w:instr="PAGE">
      <w:r>
        <w:rPr>
          <w:sz w:val="15"/>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3" w:lineRule="auto"/>
    </w:pPr>
    <w:rPr>
      <w:rFonts w:ascii="Public Sans" w:hAnsi="Public Sans"/>
      <w:color w:val="3D3E3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