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36"/>
        <w:gridCol w:w="7920"/>
      </w:tblGrid>
      <w:tr>
        <w:tc>
          <w:tcPr>
            <w:tcW w:type="dxa" w:w="2736"/>
            <w:shd w:val="clear" w:color="auto" w:fill="004527"/>
            <w:tcMar>
              <w:top w:w="140" w:type="dxa"/>
              <w:bottom w:w="140" w:type="dxa"/>
              <w:start w:w="170" w:type="dxa"/>
              <w:end w:w="170" w:type="dxa"/>
              <w:left w:w="170" w:type="dxa"/>
              <w:right w:w="170" w:type="dxa"/>
            </w:tcMar>
            <w:vAlign w:val="center"/>
          </w:tcPr>
          <w:p>
            <w:r>
              <w:drawing>
                <wp:inline xmlns:a="http://schemas.openxmlformats.org/drawingml/2006/main" xmlns:pic="http://schemas.openxmlformats.org/drawingml/2006/picture">
                  <wp:extent cx="1417320" cy="474645"/>
                  <wp:docPr id="1" name="Picture 1"/>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417320" cy="474645"/>
                          </a:xfrm>
                          <a:prstGeom prst="rect"/>
                        </pic:spPr>
                      </pic:pic>
                    </a:graphicData>
                  </a:graphic>
                </wp:inline>
              </w:drawing>
            </w:r>
          </w:p>
        </w:tc>
        <w:tc>
          <w:tcPr>
            <w:tcW w:type="dxa" w:w="7920"/>
            <w:shd w:val="clear" w:color="auto" w:fill="004527"/>
            <w:tcMar>
              <w:top w:w="140" w:type="dxa"/>
              <w:bottom w:w="140" w:type="dxa"/>
              <w:start w:w="170" w:type="dxa"/>
              <w:end w:w="170" w:type="dxa"/>
              <w:left w:w="170" w:type="dxa"/>
              <w:right w:w="170" w:type="dxa"/>
            </w:tcMar>
            <w:vAlign w:val="center"/>
          </w:tcPr>
          <w:p>
            <w:pPr>
              <w:spacing w:after="0"/>
              <w:jc w:val="right"/>
            </w:pPr>
            <w:r>
              <w:rPr>
                <w:rFonts w:ascii="Georgia" w:hAnsi="Georgia"/>
                <w:b/>
                <w:color w:val="FFFFFF"/>
                <w:sz w:val="38"/>
              </w:rPr>
              <w:t>RV CAPITAL · RATES &amp; FX · WEEKLY CROSS-BANK SYNTHESIS</w:t>
            </w:r>
          </w:p>
          <w:p>
            <w:pPr>
              <w:spacing w:before="40" w:after="0"/>
              <w:jc w:val="right"/>
            </w:pPr>
            <w:r>
              <w:rPr>
                <w:rFonts w:ascii="Public Sans" w:hAnsi="Public Sans"/>
                <w:color w:val="B2D0B9"/>
                <w:sz w:val="20"/>
              </w:rPr>
              <w:t>Rates / FX desk</w:t>
            </w:r>
          </w:p>
        </w:tc>
      </w:tr>
    </w:tbl>
    <w:p>
      <w:pPr>
        <w:spacing w:before="120" w:after="160"/>
        <w:pBdr>
          <w:bottom w:val="single" w:sz="12" w:space="2" w:color="004527"/>
        </w:pBdr>
      </w:pPr>
    </w:p>
    <w:p>
      <w:pPr>
        <w:spacing w:before="240" w:after="100"/>
        <w:keepNext/>
        <w:pBdr>
          <w:bottom w:val="single" w:sz="6" w:space="2" w:color="D9DCD8"/>
        </w:pBdr>
      </w:pPr>
      <w:r>
        <w:rPr>
          <w:rFonts w:ascii="Georgia" w:hAnsi="Georgia"/>
          <w:b/>
          <w:color w:val="004527"/>
          <w:sz w:val="30"/>
        </w:rPr>
        <w:t>The Ceasefire Breaks, the Curve Backs Up</w:t>
      </w:r>
    </w:p>
    <w:p>
      <w:pPr>
        <w:spacing w:before="200" w:after="60"/>
        <w:keepNext/>
        <w:pBdr>
          <w:bottom w:val="single" w:sz="4" w:space="2" w:color="E0E9E4"/>
        </w:pBdr>
      </w:pPr>
      <w:r>
        <w:rPr>
          <w:rFonts w:ascii="Georgia" w:hAnsi="Georgia"/>
          <w:b/>
          <w:color w:val="4D806A"/>
          <w:sz w:val="23"/>
        </w:rPr>
        <w:t>The 8 July collapse of the Iran ceasefire sent oil back toward $80 and reignited the hawkish repricing that the prior week's soft US jobs had begun to unwind. DM yields rose 8–15bp, RBNZ delivered its hike, and everything now hinges on the 14 July US CPI and the BoK 25-vs-50. Japan's fiscal premium was the one thing that *cooled*.</w:t>
      </w:r>
    </w:p>
    <w:p>
      <w:pPr>
        <w:spacing w:after="80" w:line="283" w:lineRule="auto"/>
      </w:pPr>
      <w:r>
        <w:rPr>
          <w:rFonts w:ascii="Public Sans" w:hAnsi="Public Sans"/>
          <w:b/>
          <w:i w:val="0"/>
          <w:color w:val="3D3E3E"/>
          <w:sz w:val="19"/>
        </w:rPr>
        <w:t>6 Jul – 12 Jul 2026 · Compiled 13 Jul 2026 (Sunday-night vantage: ① the week that was 6–12 Jul · ② this week 13–19 Jul · ③ the week ahead 20–26 Jul)</w:t>
      </w:r>
    </w:p>
    <w:p>
      <w:pPr>
        <w:spacing w:after="80" w:line="283" w:lineRule="auto"/>
      </w:pPr>
      <w:r>
        <w:rPr>
          <w:rFonts w:ascii="Public Sans" w:hAnsi="Public Sans"/>
          <w:b/>
          <w:i w:val="0"/>
          <w:color w:val="3D3E3E"/>
          <w:sz w:val="19"/>
        </w:rPr>
        <w:t>Sources</w:t>
      </w:r>
      <w:r>
        <w:rPr>
          <w:rFonts w:ascii="Public Sans" w:hAnsi="Public Sans"/>
          <w:b w:val="0"/>
          <w:i w:val="0"/>
          <w:color w:val="3D3E3E"/>
          <w:sz w:val="19"/>
        </w:rPr>
        <w:t xml:space="preserve"> — Goldman Sachs · J.P. Morgan · Citi · Morgan Stanley · Nomura · Deutsche Bank · UBS · Barclays · Standard Chartered · HSBC · BNP Paribas · SocGen · ANZ · Westpac · NAB · official (RBNZ · BNM · RBA · RBI · BSP · BoT · BI · MAS · BoJ/MoF · Fed) · IMDR research library (research.dim_report/fact_chunk + Qdrant), calendar.cb_events, market layers (FX.fact_fx_rate, equities.fact_index_level, rates.fact_observation, commodities.fact_spot).</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Universe hero stat band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1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Number</w:t>
            </w:r>
          </w:p>
        </w:tc>
        <w:tc>
          <w:tcPr>
            <w:tcW w:type="dxa" w:w="4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it is</w:t>
            </w:r>
          </w:p>
        </w:tc>
        <w:tc>
          <w:tcPr>
            <w:tcW w:type="dxa" w:w="4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Memory / context</w:t>
            </w:r>
          </w:p>
        </w:tc>
      </w:tr>
      <w:tr>
        <w:tc>
          <w:tcPr>
            <w:tcW w:type="dxa" w:w="11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~$76 → $72.3</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WTI intraday spike then close (10 Jul); Brent brushed </w:t>
            </w:r>
            <w:r>
              <w:rPr>
                <w:rFonts w:ascii="Public Sans" w:hAnsi="Public Sans"/>
                <w:b/>
                <w:i w:val="0"/>
                <w:color w:val="3D3E3E"/>
                <w:sz w:val="16"/>
              </w:rPr>
              <w:t>$80</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vs ~$69.5 on 2 Jul — Trump declared the Iran ceasefire </w:t>
            </w:r>
            <w:r>
              <w:rPr>
                <w:rFonts w:ascii="Public Sans" w:hAnsi="Public Sans"/>
                <w:b w:val="0"/>
                <w:i/>
                <w:color w:val="3D3E3E"/>
                <w:sz w:val="16"/>
              </w:rPr>
              <w:t>over</w:t>
            </w:r>
            <w:r>
              <w:rPr>
                <w:rFonts w:ascii="Public Sans" w:hAnsi="Public Sans"/>
                <w:b w:val="0"/>
                <w:i w:val="0"/>
                <w:color w:val="3D3E3E"/>
                <w:sz w:val="16"/>
              </w:rPr>
              <w:t xml:space="preserve"> on 8 Jul; the oil round-trip reversed</w:t>
            </w:r>
          </w:p>
        </w:tc>
      </w:tr>
      <w:tr>
        <w:tc>
          <w:tcPr>
            <w:tcW w:type="dxa" w:w="11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4.14%</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US 10y SOFR swap, </w:t>
            </w:r>
            <w:r>
              <w:rPr>
                <w:rFonts w:ascii="Public Sans" w:hAnsi="Public Sans"/>
                <w:b/>
                <w:i w:val="0"/>
                <w:color w:val="3D3E3E"/>
                <w:sz w:val="16"/>
              </w:rPr>
              <w:t>+8.5bp</w:t>
            </w:r>
            <w:r>
              <w:rPr>
                <w:rFonts w:ascii="Public Sans" w:hAnsi="Public Sans"/>
                <w:b w:val="0"/>
                <w:i w:val="0"/>
                <w:color w:val="3D3E3E"/>
                <w:sz w:val="16"/>
              </w:rPr>
              <w:t xml:space="preserve"> WoW</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2y +8.2bp to 4.07%; the global DM bond selloff resumed as breakevens widened</w:t>
            </w:r>
          </w:p>
        </w:tc>
      </w:tr>
      <w:tr>
        <w:tc>
          <w:tcPr>
            <w:tcW w:type="dxa" w:w="11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+12–13bp</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UK 10y/2y SONIA, the biggest DM front-end move</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10y 4.49%, 2y 4.12%; gilts led the hawkish back-up (Barclays: UK/Germany 2y +~15bp)</w:t>
            </w:r>
          </w:p>
        </w:tc>
      </w:tr>
      <w:tr>
        <w:tc>
          <w:tcPr>
            <w:tcW w:type="dxa" w:w="11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2.50%</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RBNZ Official Cash Rate, </w:t>
            </w:r>
            <w:r>
              <w:rPr>
                <w:rFonts w:ascii="Public Sans" w:hAnsi="Public Sans"/>
                <w:b/>
                <w:i w:val="0"/>
                <w:color w:val="3D3E3E"/>
                <w:sz w:val="16"/>
              </w:rPr>
              <w:t>+25bp</w:t>
            </w:r>
            <w:r>
              <w:rPr>
                <w:rFonts w:ascii="Public Sans" w:hAnsi="Public Sans"/>
                <w:b w:val="0"/>
                <w:i w:val="0"/>
                <w:color w:val="3D3E3E"/>
                <w:sz w:val="16"/>
              </w:rPr>
              <w:t xml:space="preserve"> (8 Jul)</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from 2.25% — the coin-flip resolved as a hike, by consensus, no vote; NZD </w:t>
            </w:r>
            <w:r>
              <w:rPr>
                <w:rFonts w:ascii="Public Sans" w:hAnsi="Public Sans"/>
                <w:b/>
                <w:i w:val="0"/>
                <w:color w:val="3D3E3E"/>
                <w:sz w:val="16"/>
              </w:rPr>
              <w:t>+0.9%</w:t>
            </w:r>
            <w:r>
              <w:rPr>
                <w:rFonts w:ascii="Public Sans" w:hAnsi="Public Sans"/>
                <w:b w:val="0"/>
                <w:i w:val="0"/>
                <w:color w:val="3D3E3E"/>
                <w:sz w:val="16"/>
              </w:rPr>
              <w:t>, best-in-G10 with KRW</w:t>
            </w:r>
          </w:p>
        </w:tc>
      </w:tr>
      <w:tr>
        <w:tc>
          <w:tcPr>
            <w:tcW w:type="dxa" w:w="11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₩1,502</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USD/KRW, KRW </w:t>
            </w:r>
            <w:r>
              <w:rPr>
                <w:rFonts w:ascii="Public Sans" w:hAnsi="Public Sans"/>
                <w:b/>
                <w:i w:val="0"/>
                <w:color w:val="3D3E3E"/>
                <w:sz w:val="16"/>
              </w:rPr>
              <w:t>+1.9%</w:t>
            </w:r>
            <w:r>
              <w:rPr>
                <w:rFonts w:ascii="Public Sans" w:hAnsi="Public Sans"/>
                <w:b w:val="0"/>
                <w:i w:val="0"/>
                <w:color w:val="3D3E3E"/>
                <w:sz w:val="16"/>
              </w:rPr>
              <w:t xml:space="preserve"> (strongest FX in the universe)</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from ₩1,530 — into a BoK 16 Jul that is a live 25-vs-50; DB's biggest received-rates shift is KRW</w:t>
            </w:r>
          </w:p>
        </w:tc>
      </w:tr>
      <w:tr>
        <w:tc>
          <w:tcPr>
            <w:tcW w:type="dxa" w:w="11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2.57%</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10y JPY TONAR-OIS, </w:t>
            </w:r>
            <w:r>
              <w:rPr>
                <w:rFonts w:ascii="Public Sans" w:hAnsi="Public Sans"/>
                <w:b/>
                <w:i w:val="0"/>
                <w:color w:val="3D3E3E"/>
                <w:sz w:val="16"/>
              </w:rPr>
              <w:t>−6bp</w:t>
            </w:r>
            <w:r>
              <w:rPr>
                <w:rFonts w:ascii="Public Sans" w:hAnsi="Public Sans"/>
                <w:b w:val="0"/>
                <w:i w:val="0"/>
                <w:color w:val="3D3E3E"/>
                <w:sz w:val="16"/>
              </w:rPr>
              <w:t xml:space="preserve"> WoW — the one that </w:t>
            </w:r>
            <w:r>
              <w:rPr>
                <w:rFonts w:ascii="Public Sans" w:hAnsi="Public Sans"/>
                <w:b w:val="0"/>
                <w:i/>
                <w:color w:val="3D3E3E"/>
                <w:sz w:val="16"/>
              </w:rPr>
              <w:t>fell</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 premium cooled after the prior week's +18bp spike; 30y JGB round-tripped a sharp sell-off</w:t>
            </w:r>
          </w:p>
        </w:tc>
      </w:tr>
      <w:tr>
        <w:tc>
          <w:tcPr>
            <w:tcW w:type="dxa" w:w="11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2.9% / 6.4%</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June core CPI consensus (14 Jul) vs PH June CPI actual</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US core steady ~0.2% m/m (the Fed adjudicator); PH eased from 6.8% but </w:t>
            </w:r>
            <w:r>
              <w:rPr>
                <w:rFonts w:ascii="Public Sans" w:hAnsi="Public Sans"/>
                <w:b/>
                <w:i w:val="0"/>
                <w:color w:val="3D3E3E"/>
                <w:sz w:val="16"/>
              </w:rPr>
              <w:t>core rose to 4.4%</w:t>
            </w:r>
          </w:p>
        </w:tc>
      </w:tr>
      <w:tr>
        <w:tc>
          <w:tcPr>
            <w:tcW w:type="dxa" w:w="11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2.75% / 2.42%</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BNM held OPR (9 Jul) · TH June CPI (miss vs 2.8% cons)</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BNM "more confident on growth", on hold to 2027; Thai CPI undershoot cements a longer BoT hold</w:t>
            </w:r>
          </w:p>
        </w:tc>
      </w:tr>
    </w:tbl>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The week in brief</w:t>
      </w:r>
    </w:p>
    <w:p>
      <w:pPr>
        <w:spacing w:after="80" w:line="283" w:lineRule="auto"/>
      </w:pPr>
      <w:r>
        <w:rPr>
          <w:rFonts w:ascii="Public Sans" w:hAnsi="Public Sans"/>
          <w:b w:val="0"/>
          <w:i w:val="0"/>
          <w:color w:val="3D3E3E"/>
          <w:sz w:val="19"/>
        </w:rPr>
        <w:t xml:space="preserve">Hold the regime the whole street is still trading: the </w:t>
      </w:r>
      <w:r>
        <w:rPr>
          <w:rFonts w:ascii="Public Sans" w:hAnsi="Public Sans"/>
          <w:b/>
          <w:i w:val="0"/>
          <w:color w:val="3D3E3E"/>
          <w:sz w:val="19"/>
        </w:rPr>
        <w:t>March 2026 US–Iran conflict</w:t>
      </w:r>
      <w:r>
        <w:rPr>
          <w:rFonts w:ascii="Public Sans" w:hAnsi="Public Sans"/>
          <w:b w:val="0"/>
          <w:i w:val="0"/>
          <w:color w:val="3D3E3E"/>
          <w:sz w:val="19"/>
        </w:rPr>
        <w:t xml:space="preserve"> spiked crude, broadened inflation, and turned nearly every central bank in our universe hawkish. The prior week had produced the first genuine </w:t>
      </w:r>
      <w:r>
        <w:rPr>
          <w:rFonts w:ascii="Public Sans" w:hAnsi="Public Sans"/>
          <w:b w:val="0"/>
          <w:i/>
          <w:color w:val="3D3E3E"/>
          <w:sz w:val="19"/>
        </w:rPr>
        <w:t>doubt</w:t>
      </w:r>
      <w:r>
        <w:rPr>
          <w:rFonts w:ascii="Public Sans" w:hAnsi="Public Sans"/>
          <w:b w:val="0"/>
          <w:i w:val="0"/>
          <w:color w:val="3D3E3E"/>
          <w:sz w:val="19"/>
        </w:rPr>
        <w:t xml:space="preserve"> about the US leg — a soft +57k jobs print and an oil round-trip to ~$69.5. </w:t>
      </w:r>
      <w:r>
        <w:rPr>
          <w:rFonts w:ascii="Public Sans" w:hAnsi="Public Sans"/>
          <w:b/>
          <w:i w:val="0"/>
          <w:color w:val="3D3E3E"/>
          <w:sz w:val="19"/>
        </w:rPr>
        <w:t>This week that doubt was taken back.</w:t>
      </w:r>
      <w:r>
        <w:rPr>
          <w:rFonts w:ascii="Public Sans" w:hAnsi="Public Sans"/>
          <w:b w:val="0"/>
          <w:i w:val="0"/>
          <w:color w:val="3D3E3E"/>
          <w:sz w:val="19"/>
        </w:rPr>
        <w:t xml:space="preserve"> On </w:t>
      </w:r>
      <w:r>
        <w:rPr>
          <w:rFonts w:ascii="Public Sans" w:hAnsi="Public Sans"/>
          <w:b/>
          <w:i w:val="0"/>
          <w:color w:val="3D3E3E"/>
          <w:sz w:val="19"/>
        </w:rPr>
        <w:t>8 July President Trump declared the Iran ceasefire over</w:t>
      </w:r>
      <w:r>
        <w:rPr>
          <w:rFonts w:ascii="Public Sans" w:hAnsi="Public Sans"/>
          <w:b w:val="0"/>
          <w:i w:val="0"/>
          <w:color w:val="3D3E3E"/>
          <w:sz w:val="19"/>
        </w:rPr>
        <w:t xml:space="preserve">; WTI spiked above $76 intraday and Brent brushed </w:t>
      </w:r>
      <w:r>
        <w:rPr>
          <w:rFonts w:ascii="Public Sans" w:hAnsi="Public Sans"/>
          <w:b/>
          <w:i w:val="0"/>
          <w:color w:val="3D3E3E"/>
          <w:sz w:val="19"/>
        </w:rPr>
        <w:t>$80</w:t>
      </w:r>
      <w:r>
        <w:rPr>
          <w:rFonts w:ascii="Public Sans" w:hAnsi="Public Sans"/>
          <w:b w:val="0"/>
          <w:i w:val="0"/>
          <w:color w:val="3D3E3E"/>
          <w:sz w:val="19"/>
        </w:rPr>
        <w:t xml:space="preserve"> (Citi: +8–9% in days; the US also revoked the waiver on new Iranian oil sales). The reaction was a broad </w:t>
      </w:r>
      <w:r>
        <w:rPr>
          <w:rFonts w:ascii="Public Sans" w:hAnsi="Public Sans"/>
          <w:b/>
          <w:i w:val="0"/>
          <w:color w:val="3D3E3E"/>
          <w:sz w:val="19"/>
        </w:rPr>
        <w:t>DM bond selloff</w:t>
      </w:r>
      <w:r>
        <w:rPr>
          <w:rFonts w:ascii="Public Sans" w:hAnsi="Public Sans"/>
          <w:b w:val="0"/>
          <w:i w:val="0"/>
          <w:color w:val="3D3E3E"/>
          <w:sz w:val="19"/>
        </w:rPr>
        <w:t xml:space="preserve"> — US 2y +8bp / 10y +9bp, and UK and German 2y up ~15bp with European breakevens widening sharply (Barclays). The hawkish repricing that had wobbled the week before came straight back.</w:t>
      </w:r>
    </w:p>
    <w:p>
      <w:pPr>
        <w:spacing w:after="80" w:line="283" w:lineRule="auto"/>
      </w:pPr>
      <w:r>
        <w:rPr>
          <w:rFonts w:ascii="Public Sans" w:hAnsi="Public Sans"/>
          <w:b w:val="0"/>
          <w:i w:val="0"/>
          <w:color w:val="3D3E3E"/>
          <w:sz w:val="19"/>
        </w:rPr>
        <w:t xml:space="preserve">The exception, tellingly, was </w:t>
      </w:r>
      <w:r>
        <w:rPr>
          <w:rFonts w:ascii="Public Sans" w:hAnsi="Public Sans"/>
          <w:b/>
          <w:i w:val="0"/>
          <w:color w:val="3D3E3E"/>
          <w:sz w:val="19"/>
        </w:rPr>
        <w:t>Japan</w:t>
      </w:r>
      <w:r>
        <w:rPr>
          <w:rFonts w:ascii="Public Sans" w:hAnsi="Public Sans"/>
          <w:b w:val="0"/>
          <w:i w:val="0"/>
          <w:color w:val="3D3E3E"/>
          <w:sz w:val="19"/>
        </w:rPr>
        <w:t xml:space="preserve">. The 10y JPY swap </w:t>
      </w:r>
      <w:r>
        <w:rPr>
          <w:rFonts w:ascii="Public Sans" w:hAnsi="Public Sans"/>
          <w:b w:val="0"/>
          <w:i/>
          <w:color w:val="3D3E3E"/>
          <w:sz w:val="19"/>
        </w:rPr>
        <w:t>fell</w:t>
      </w:r>
      <w:r>
        <w:rPr>
          <w:rFonts w:ascii="Public Sans" w:hAnsi="Public Sans"/>
          <w:b w:val="0"/>
          <w:i w:val="0"/>
          <w:color w:val="3D3E3E"/>
          <w:sz w:val="19"/>
        </w:rPr>
        <w:t xml:space="preserve"> 6bp to 2.57% and 30y JGBs round-tripped a sharp intraday sell-off to close roughly unchanged — the fiscal-supply premium that spiked the prior week cooled as the Takaichi government's food consumption-tax cut got </w:t>
      </w:r>
      <w:r>
        <w:rPr>
          <w:rFonts w:ascii="Public Sans" w:hAnsi="Public Sans"/>
          <w:b w:val="0"/>
          <w:i/>
          <w:color w:val="3D3E3E"/>
          <w:sz w:val="19"/>
        </w:rPr>
        <w:t>delayed</w:t>
      </w:r>
      <w:r>
        <w:rPr>
          <w:rFonts w:ascii="Public Sans" w:hAnsi="Public Sans"/>
          <w:b w:val="0"/>
          <w:i w:val="0"/>
          <w:color w:val="3D3E3E"/>
          <w:sz w:val="19"/>
        </w:rPr>
        <w:t xml:space="preserve"> (no consensus with the opposition; likely pushed past the summer budget requests) while the "no-upper-limit" growth-investment framework and the incorporation of supplementary budgets into the initial budget stayed. Japan's data still argues for the next hike (bank lending +5.7% y/y, real lending rates still negative — DB's point that the easing is more accommodative than the 1.0% policy rate implies), but the JGB curve traded </w:t>
      </w:r>
      <w:r>
        <w:rPr>
          <w:rFonts w:ascii="Public Sans" w:hAnsi="Public Sans"/>
          <w:b w:val="0"/>
          <w:i/>
          <w:color w:val="3D3E3E"/>
          <w:sz w:val="19"/>
        </w:rPr>
        <w:t>fiscal relief</w:t>
      </w:r>
      <w:r>
        <w:rPr>
          <w:rFonts w:ascii="Public Sans" w:hAnsi="Public Sans"/>
          <w:b w:val="0"/>
          <w:i w:val="0"/>
          <w:color w:val="3D3E3E"/>
          <w:sz w:val="19"/>
        </w:rPr>
        <w:t>, not the hike, this week.</w:t>
      </w:r>
    </w:p>
    <w:p>
      <w:pPr>
        <w:spacing w:after="80" w:line="283" w:lineRule="auto"/>
      </w:pPr>
      <w:r>
        <w:rPr>
          <w:rFonts w:ascii="Public Sans" w:hAnsi="Public Sans"/>
          <w:b w:val="0"/>
          <w:i w:val="0"/>
          <w:color w:val="3D3E3E"/>
          <w:sz w:val="19"/>
        </w:rPr>
        <w:t xml:space="preserve">The delivered decision was </w:t>
      </w:r>
      <w:r>
        <w:rPr>
          <w:rFonts w:ascii="Public Sans" w:hAnsi="Public Sans"/>
          <w:b/>
          <w:i w:val="0"/>
          <w:color w:val="3D3E3E"/>
          <w:sz w:val="19"/>
        </w:rPr>
        <w:t>RBNZ (8 July)</w:t>
      </w:r>
      <w:r>
        <w:rPr>
          <w:rFonts w:ascii="Public Sans" w:hAnsi="Public Sans"/>
          <w:b w:val="0"/>
          <w:i w:val="0"/>
          <w:color w:val="3D3E3E"/>
          <w:sz w:val="19"/>
        </w:rPr>
        <w:t xml:space="preserve">: a 25bp hike to </w:t>
      </w:r>
      <w:r>
        <w:rPr>
          <w:rFonts w:ascii="Public Sans" w:hAnsi="Public Sans"/>
          <w:b/>
          <w:i w:val="0"/>
          <w:color w:val="3D3E3E"/>
          <w:sz w:val="19"/>
        </w:rPr>
        <w:t>2.50%</w:t>
      </w:r>
      <w:r>
        <w:rPr>
          <w:rFonts w:ascii="Public Sans" w:hAnsi="Public Sans"/>
          <w:b w:val="0"/>
          <w:i w:val="0"/>
          <w:color w:val="3D3E3E"/>
          <w:sz w:val="19"/>
        </w:rPr>
        <w:t xml:space="preserve">, reached by consensus without a vote, with hawkish-but-data-dependent guidance ("some further reduction in monetary stimulus is likely to be required"). ANZ and JPM both keep hiking calls — ANZ to 3% by late October, JPM +25 in September then +50 more into early 2027. A June manufacturing PMI that </w:t>
      </w:r>
      <w:r>
        <w:rPr>
          <w:rFonts w:ascii="Public Sans" w:hAnsi="Public Sans"/>
          <w:b w:val="0"/>
          <w:i/>
          <w:color w:val="3D3E3E"/>
          <w:sz w:val="19"/>
        </w:rPr>
        <w:t>leapt to 59.7</w:t>
      </w:r>
      <w:r>
        <w:rPr>
          <w:rFonts w:ascii="Public Sans" w:hAnsi="Public Sans"/>
          <w:b w:val="0"/>
          <w:i w:val="0"/>
          <w:color w:val="3D3E3E"/>
          <w:sz w:val="19"/>
        </w:rPr>
        <w:t xml:space="preserve"> (from 51.3, top-5% in 24 years) validated the turn; the NZD and NZ front end led the universe higher (2y +15bp). The UK moved almost as much on the global rates wave alone (10y/2y +12–13bp) despite soft domestic data.</w:t>
      </w:r>
    </w:p>
    <w:p>
      <w:pPr>
        <w:spacing w:after="80" w:line="283" w:lineRule="auto"/>
      </w:pPr>
      <w:r>
        <w:rPr>
          <w:rFonts w:ascii="Public Sans" w:hAnsi="Public Sans"/>
          <w:b w:val="0"/>
          <w:i w:val="0"/>
          <w:color w:val="3D3E3E"/>
          <w:sz w:val="19"/>
        </w:rPr>
        <w:t xml:space="preserve">EM-Asia kept splitting on the </w:t>
      </w:r>
      <w:r>
        <w:rPr>
          <w:rFonts w:ascii="Public Sans" w:hAnsi="Public Sans"/>
          <w:b/>
          <w:i w:val="0"/>
          <w:color w:val="3D3E3E"/>
          <w:sz w:val="19"/>
        </w:rPr>
        <w:t>oil-shock barbell</w:t>
      </w:r>
      <w:r>
        <w:rPr>
          <w:rFonts w:ascii="Public Sans" w:hAnsi="Public Sans"/>
          <w:b w:val="0"/>
          <w:i w:val="0"/>
          <w:color w:val="3D3E3E"/>
          <w:sz w:val="19"/>
        </w:rPr>
        <w:t xml:space="preserve">. On the strained side: the </w:t>
      </w:r>
      <w:r>
        <w:rPr>
          <w:rFonts w:ascii="Public Sans" w:hAnsi="Public Sans"/>
          <w:b/>
          <w:i w:val="0"/>
          <w:color w:val="3D3E3E"/>
          <w:sz w:val="19"/>
        </w:rPr>
        <w:t>Philippines</w:t>
      </w:r>
      <w:r>
        <w:rPr>
          <w:rFonts w:ascii="Public Sans" w:hAnsi="Public Sans"/>
          <w:b w:val="0"/>
          <w:i w:val="0"/>
          <w:color w:val="3D3E3E"/>
          <w:sz w:val="19"/>
        </w:rPr>
        <w:t xml:space="preserve"> (headline eased to 6.4% but core </w:t>
      </w:r>
      <w:r>
        <w:rPr>
          <w:rFonts w:ascii="Public Sans" w:hAnsi="Public Sans"/>
          <w:b w:val="0"/>
          <w:i/>
          <w:color w:val="3D3E3E"/>
          <w:sz w:val="19"/>
        </w:rPr>
        <w:t>rose</w:t>
      </w:r>
      <w:r>
        <w:rPr>
          <w:rFonts w:ascii="Public Sans" w:hAnsi="Public Sans"/>
          <w:b w:val="0"/>
          <w:i w:val="0"/>
          <w:color w:val="3D3E3E"/>
          <w:sz w:val="19"/>
        </w:rPr>
        <w:t xml:space="preserve"> to 4.4% — UBS keeps a +25bp August call, BSP's Remolona says the economy can absorb one) and </w:t>
      </w:r>
      <w:r>
        <w:rPr>
          <w:rFonts w:ascii="Public Sans" w:hAnsi="Public Sans"/>
          <w:b/>
          <w:i w:val="0"/>
          <w:color w:val="3D3E3E"/>
          <w:sz w:val="19"/>
        </w:rPr>
        <w:t>Indonesia</w:t>
      </w:r>
      <w:r>
        <w:rPr>
          <w:rFonts w:ascii="Public Sans" w:hAnsi="Public Sans"/>
          <w:b w:val="0"/>
          <w:i w:val="0"/>
          <w:color w:val="3D3E3E"/>
          <w:sz w:val="19"/>
        </w:rPr>
        <w:t xml:space="preserve"> (rupiah the softest ASEAN FX at ~18,068 as the government widened its 2026 deficit target to 2.85% of GDP on higher subsidies). On the resilient side: </w:t>
      </w:r>
      <w:r>
        <w:rPr>
          <w:rFonts w:ascii="Public Sans" w:hAnsi="Public Sans"/>
          <w:b/>
          <w:i w:val="0"/>
          <w:color w:val="3D3E3E"/>
          <w:sz w:val="19"/>
        </w:rPr>
        <w:t>Malaysia</w:t>
      </w:r>
      <w:r>
        <w:rPr>
          <w:rFonts w:ascii="Public Sans" w:hAnsi="Public Sans"/>
          <w:b w:val="0"/>
          <w:i w:val="0"/>
          <w:color w:val="3D3E3E"/>
          <w:sz w:val="19"/>
        </w:rPr>
        <w:t xml:space="preserve"> (BNM held, "firmly" in the 4–5% growth range on stronger exports, Citi biased to a stronger MYR and BNM on hold to 2027) and </w:t>
      </w:r>
      <w:r>
        <w:rPr>
          <w:rFonts w:ascii="Public Sans" w:hAnsi="Public Sans"/>
          <w:b/>
          <w:i w:val="0"/>
          <w:color w:val="3D3E3E"/>
          <w:sz w:val="19"/>
        </w:rPr>
        <w:t>Singapore</w:t>
      </w:r>
      <w:r>
        <w:rPr>
          <w:rFonts w:ascii="Public Sans" w:hAnsi="Public Sans"/>
          <w:b w:val="0"/>
          <w:i w:val="0"/>
          <w:color w:val="3D3E3E"/>
          <w:sz w:val="19"/>
        </w:rPr>
        <w:t xml:space="preserve"> (2Q GDP tracking ~5.6%, tech-led, into a genuinely close MAS call). </w:t>
      </w:r>
      <w:r>
        <w:rPr>
          <w:rFonts w:ascii="Public Sans" w:hAnsi="Public Sans"/>
          <w:b/>
          <w:i w:val="0"/>
          <w:color w:val="3D3E3E"/>
          <w:sz w:val="19"/>
        </w:rPr>
        <w:t>Thailand</w:t>
      </w:r>
      <w:r>
        <w:rPr>
          <w:rFonts w:ascii="Public Sans" w:hAnsi="Public Sans"/>
          <w:b w:val="0"/>
          <w:i w:val="0"/>
          <w:color w:val="3D3E3E"/>
          <w:sz w:val="19"/>
        </w:rPr>
        <w:t xml:space="preserve"> printed a CPI </w:t>
      </w:r>
      <w:r>
        <w:rPr>
          <w:rFonts w:ascii="Public Sans" w:hAnsi="Public Sans"/>
          <w:b w:val="0"/>
          <w:i/>
          <w:color w:val="3D3E3E"/>
          <w:sz w:val="19"/>
        </w:rPr>
        <w:t>miss</w:t>
      </w:r>
      <w:r>
        <w:rPr>
          <w:rFonts w:ascii="Public Sans" w:hAnsi="Public Sans"/>
          <w:b w:val="0"/>
          <w:i w:val="0"/>
          <w:color w:val="3D3E3E"/>
          <w:sz w:val="19"/>
        </w:rPr>
        <w:t xml:space="preserve"> (2.4% vs 2.8%) that cements a longer BoT hold even as DB flags the basic balance-of-payments turning against the baht. </w:t>
      </w:r>
      <w:r>
        <w:rPr>
          <w:rFonts w:ascii="Public Sans" w:hAnsi="Public Sans"/>
          <w:b/>
          <w:i w:val="0"/>
          <w:color w:val="3D3E3E"/>
          <w:sz w:val="19"/>
        </w:rPr>
        <w:t>Hong Kong</w:t>
      </w:r>
      <w:r>
        <w:rPr>
          <w:rFonts w:ascii="Public Sans" w:hAnsi="Public Sans"/>
          <w:b w:val="0"/>
          <w:i w:val="0"/>
          <w:color w:val="3D3E3E"/>
          <w:sz w:val="19"/>
        </w:rPr>
        <w:t xml:space="preserve"> equities ran +5–6% (HSTECH +6.0%) on the North-Asia semis/China beta. </w:t>
      </w:r>
      <w:r>
        <w:rPr>
          <w:rFonts w:ascii="Public Sans" w:hAnsi="Public Sans"/>
          <w:b/>
          <w:i w:val="0"/>
          <w:color w:val="3D3E3E"/>
          <w:sz w:val="19"/>
        </w:rPr>
        <w:t>India</w:t>
      </w:r>
      <w:r>
        <w:rPr>
          <w:rFonts w:ascii="Public Sans" w:hAnsi="Public Sans"/>
          <w:b w:val="0"/>
          <w:i w:val="0"/>
          <w:color w:val="3D3E3E"/>
          <w:sz w:val="19"/>
        </w:rPr>
        <w:t xml:space="preserve"> sits apart on the June FX-package "summer of hope" (HSBC: ~$65bn potential inflows, buy IGB 15y, sell USD-INR) — but that thesis was built on </w:t>
      </w:r>
      <w:r>
        <w:rPr>
          <w:rFonts w:ascii="Public Sans" w:hAnsi="Public Sans"/>
          <w:b w:val="0"/>
          <w:i/>
          <w:color w:val="3D3E3E"/>
          <w:sz w:val="19"/>
        </w:rPr>
        <w:t>lower</w:t>
      </w:r>
      <w:r>
        <w:rPr>
          <w:rFonts w:ascii="Public Sans" w:hAnsi="Public Sans"/>
          <w:b w:val="0"/>
          <w:i w:val="0"/>
          <w:color w:val="3D3E3E"/>
          <w:sz w:val="19"/>
        </w:rPr>
        <w:t xml:space="preserve"> oil, and the ceasefire broke two days after HSBC published; DB is more cautious (inflation risks &gt; growth, monsoon 15% below normal), and the June CPI lands </w:t>
      </w:r>
      <w:r>
        <w:rPr>
          <w:rFonts w:ascii="Public Sans" w:hAnsi="Public Sans"/>
          <w:b/>
          <w:i w:val="0"/>
          <w:color w:val="3D3E3E"/>
          <w:sz w:val="19"/>
        </w:rPr>
        <w:t>today</w:t>
      </w:r>
      <w:r>
        <w:rPr>
          <w:rFonts w:ascii="Public Sans" w:hAnsi="Public Sans"/>
          <w:b w:val="0"/>
          <w:i w:val="0"/>
          <w:color w:val="3D3E3E"/>
          <w:sz w:val="19"/>
        </w:rPr>
        <w:t>.</w:t>
      </w:r>
    </w:p>
    <w:p>
      <w:pPr>
        <w:spacing w:after="80" w:line="283" w:lineRule="auto"/>
      </w:pPr>
      <w:r>
        <w:rPr>
          <w:rFonts w:ascii="Public Sans" w:hAnsi="Public Sans"/>
          <w:b w:val="0"/>
          <w:i w:val="0"/>
          <w:color w:val="3D3E3E"/>
          <w:sz w:val="19"/>
        </w:rPr>
        <w:t xml:space="preserve">The trades that express the week: </w:t>
      </w:r>
      <w:r>
        <w:rPr>
          <w:rFonts w:ascii="Public Sans" w:hAnsi="Public Sans"/>
          <w:b/>
          <w:i w:val="0"/>
          <w:color w:val="3D3E3E"/>
          <w:sz w:val="19"/>
        </w:rPr>
        <w:t>pay US 5y5y SOFR</w:t>
      </w:r>
      <w:r>
        <w:rPr>
          <w:rFonts w:ascii="Public Sans" w:hAnsi="Public Sans"/>
          <w:b w:val="0"/>
          <w:i w:val="0"/>
          <w:color w:val="3D3E3E"/>
          <w:sz w:val="19"/>
        </w:rPr>
        <w:t xml:space="preserve"> (Barclays' resilience-plus-term-premium call, the near-consensus DM expression); </w:t>
      </w:r>
      <w:r>
        <w:rPr>
          <w:rFonts w:ascii="Public Sans" w:hAnsi="Public Sans"/>
          <w:b/>
          <w:i w:val="0"/>
          <w:color w:val="3D3E3E"/>
          <w:sz w:val="19"/>
        </w:rPr>
        <w:t>short the twin-deficit importers</w:t>
      </w:r>
      <w:r>
        <w:rPr>
          <w:rFonts w:ascii="Public Sans" w:hAnsi="Public Sans"/>
          <w:b w:val="0"/>
          <w:i w:val="0"/>
          <w:color w:val="3D3E3E"/>
          <w:sz w:val="19"/>
        </w:rPr>
        <w:t xml:space="preserve"> (IDR, THB) into the oil re-spike; </w:t>
      </w:r>
      <w:r>
        <w:rPr>
          <w:rFonts w:ascii="Public Sans" w:hAnsi="Public Sans"/>
          <w:b/>
          <w:i w:val="0"/>
          <w:color w:val="3D3E3E"/>
          <w:sz w:val="19"/>
        </w:rPr>
        <w:t>long KTB / received KRW rates</w:t>
      </w:r>
      <w:r>
        <w:rPr>
          <w:rFonts w:ascii="Public Sans" w:hAnsi="Public Sans"/>
          <w:b w:val="0"/>
          <w:i w:val="0"/>
          <w:color w:val="3D3E3E"/>
          <w:sz w:val="19"/>
        </w:rPr>
        <w:t xml:space="preserve"> into July supply relief (DB, Citi, though Korea sits outside our roster); </w:t>
      </w:r>
      <w:r>
        <w:rPr>
          <w:rFonts w:ascii="Public Sans" w:hAnsi="Public Sans"/>
          <w:b/>
          <w:i w:val="0"/>
          <w:color w:val="3D3E3E"/>
          <w:sz w:val="19"/>
        </w:rPr>
        <w:t>long-end IndoGB</w:t>
      </w:r>
      <w:r>
        <w:rPr>
          <w:rFonts w:ascii="Public Sans" w:hAnsi="Public Sans"/>
          <w:b w:val="0"/>
          <w:i w:val="0"/>
          <w:color w:val="3D3E3E"/>
          <w:sz w:val="19"/>
        </w:rPr>
        <w:t xml:space="preserve"> (Citi constructive vs DB </w:t>
      </w:r>
      <w:r>
        <w:rPr>
          <w:rFonts w:ascii="Public Sans" w:hAnsi="Public Sans"/>
          <w:b w:val="0"/>
          <w:i/>
          <w:color w:val="3D3E3E"/>
          <w:sz w:val="19"/>
        </w:rPr>
        <w:t>sidelined</w:t>
      </w:r>
      <w:r>
        <w:rPr>
          <w:rFonts w:ascii="Public Sans" w:hAnsi="Public Sans"/>
          <w:b w:val="0"/>
          <w:i w:val="0"/>
          <w:color w:val="3D3E3E"/>
          <w:sz w:val="19"/>
        </w:rPr>
        <w:t xml:space="preserve"> — an unusually clean two-desk split); and India's </w:t>
      </w:r>
      <w:r>
        <w:rPr>
          <w:rFonts w:ascii="Public Sans" w:hAnsi="Public Sans"/>
          <w:b/>
          <w:i w:val="0"/>
          <w:color w:val="3D3E3E"/>
          <w:sz w:val="19"/>
        </w:rPr>
        <w:t>buy IGB / sell USD-INR</w:t>
      </w:r>
      <w:r>
        <w:rPr>
          <w:rFonts w:ascii="Public Sans" w:hAnsi="Public Sans"/>
          <w:b w:val="0"/>
          <w:i w:val="0"/>
          <w:color w:val="3D3E3E"/>
          <w:sz w:val="19"/>
        </w:rPr>
        <w:t xml:space="preserve"> package trade. And the calendar is a wall: </w:t>
      </w:r>
      <w:r>
        <w:rPr>
          <w:rFonts w:ascii="Public Sans" w:hAnsi="Public Sans"/>
          <w:b/>
          <w:i w:val="0"/>
          <w:color w:val="3D3E3E"/>
          <w:sz w:val="19"/>
        </w:rPr>
        <w:t>US CPI + MAS + SG GDP (14 Jul)</w:t>
      </w:r>
      <w:r>
        <w:rPr>
          <w:rFonts w:ascii="Public Sans" w:hAnsi="Public Sans"/>
          <w:b w:val="0"/>
          <w:i w:val="0"/>
          <w:color w:val="3D3E3E"/>
          <w:sz w:val="19"/>
        </w:rPr>
        <w:t xml:space="preserve">, </w:t>
      </w:r>
      <w:r>
        <w:rPr>
          <w:rFonts w:ascii="Public Sans" w:hAnsi="Public Sans"/>
          <w:b/>
          <w:i w:val="0"/>
          <w:color w:val="3D3E3E"/>
          <w:sz w:val="19"/>
        </w:rPr>
        <w:t>BoC (15 Jul)</w:t>
      </w:r>
      <w:r>
        <w:rPr>
          <w:rFonts w:ascii="Public Sans" w:hAnsi="Public Sans"/>
          <w:b w:val="0"/>
          <w:i w:val="0"/>
          <w:color w:val="3D3E3E"/>
          <w:sz w:val="19"/>
        </w:rPr>
        <w:t xml:space="preserve">, </w:t>
      </w:r>
      <w:r>
        <w:rPr>
          <w:rFonts w:ascii="Public Sans" w:hAnsi="Public Sans"/>
          <w:b/>
          <w:i w:val="0"/>
          <w:color w:val="3D3E3E"/>
          <w:sz w:val="19"/>
        </w:rPr>
        <w:t>BoK (16 Jul, 25-vs-50)</w:t>
      </w:r>
      <w:r>
        <w:rPr>
          <w:rFonts w:ascii="Public Sans" w:hAnsi="Public Sans"/>
          <w:b w:val="0"/>
          <w:i w:val="0"/>
          <w:color w:val="3D3E3E"/>
          <w:sz w:val="19"/>
        </w:rPr>
        <w:t xml:space="preserve">, then </w:t>
      </w:r>
      <w:r>
        <w:rPr>
          <w:rFonts w:ascii="Public Sans" w:hAnsi="Public Sans"/>
          <w:b/>
          <w:i w:val="0"/>
          <w:color w:val="3D3E3E"/>
          <w:sz w:val="19"/>
        </w:rPr>
        <w:t>BI (22 Jul)</w:t>
      </w:r>
      <w:r>
        <w:rPr>
          <w:rFonts w:ascii="Public Sans" w:hAnsi="Public Sans"/>
          <w:b w:val="0"/>
          <w:i w:val="0"/>
          <w:color w:val="3D3E3E"/>
          <w:sz w:val="19"/>
        </w:rPr>
        <w:t xml:space="preserve">, </w:t>
      </w:r>
      <w:r>
        <w:rPr>
          <w:rFonts w:ascii="Public Sans" w:hAnsi="Public Sans"/>
          <w:b/>
          <w:i w:val="0"/>
          <w:color w:val="3D3E3E"/>
          <w:sz w:val="19"/>
        </w:rPr>
        <w:t>AU Q2 CPI + FOMC (29 Jul)</w:t>
      </w:r>
      <w:r>
        <w:rPr>
          <w:rFonts w:ascii="Public Sans" w:hAnsi="Public Sans"/>
          <w:b w:val="0"/>
          <w:i w:val="0"/>
          <w:color w:val="3D3E3E"/>
          <w:sz w:val="19"/>
        </w:rPr>
        <w:t xml:space="preserve">, </w:t>
      </w:r>
      <w:r>
        <w:rPr>
          <w:rFonts w:ascii="Public Sans" w:hAnsi="Public Sans"/>
          <w:b/>
          <w:i w:val="0"/>
          <w:color w:val="3D3E3E"/>
          <w:sz w:val="19"/>
        </w:rPr>
        <w:t>BoE (30 Jul)</w:t>
      </w:r>
      <w:r>
        <w:rPr>
          <w:rFonts w:ascii="Public Sans" w:hAnsi="Public Sans"/>
          <w:b w:val="0"/>
          <w:i w:val="0"/>
          <w:color w:val="3D3E3E"/>
          <w:sz w:val="19"/>
        </w:rPr>
        <w:t xml:space="preserve"> and </w:t>
      </w:r>
      <w:r>
        <w:rPr>
          <w:rFonts w:ascii="Public Sans" w:hAnsi="Public Sans"/>
          <w:b/>
          <w:i w:val="0"/>
          <w:color w:val="3D3E3E"/>
          <w:sz w:val="19"/>
        </w:rPr>
        <w:t>BoJ (31 Jul)</w:t>
      </w:r>
      <w:r>
        <w:rPr>
          <w:rFonts w:ascii="Public Sans" w:hAnsi="Public Sans"/>
          <w:b w:val="0"/>
          <w:i w:val="0"/>
          <w:color w:val="3D3E3E"/>
          <w:sz w:val="19"/>
        </w:rPr>
        <w:t>.</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Cross-asset moves matrix (WoW)</w:t>
      </w:r>
    </w:p>
    <w:p>
      <w:pPr>
        <w:spacing w:after="80" w:line="283" w:lineRule="auto"/>
      </w:pPr>
      <w:r>
        <w:rPr>
          <w:rFonts w:ascii="Public Sans" w:hAnsi="Public Sans"/>
          <w:b w:val="0"/>
          <w:i w:val="0"/>
          <w:color w:val="3D3E3E"/>
          <w:sz w:val="19"/>
        </w:rPr>
        <w:t xml:space="preserve">FX &amp; swaps: last tick Fri </w:t>
      </w:r>
      <w:r>
        <w:rPr>
          <w:rFonts w:ascii="Public Sans" w:hAnsi="Public Sans"/>
          <w:b/>
          <w:i w:val="0"/>
          <w:color w:val="3D3E3E"/>
          <w:sz w:val="19"/>
        </w:rPr>
        <w:t>3 Jul → Fri 10 Jul</w:t>
      </w:r>
      <w:r>
        <w:rPr>
          <w:rFonts w:ascii="Public Sans" w:hAnsi="Public Sans"/>
          <w:b w:val="0"/>
          <w:i w:val="0"/>
          <w:color w:val="3D3E3E"/>
          <w:sz w:val="19"/>
        </w:rPr>
        <w:t xml:space="preserve">. Equities: </w:t>
      </w:r>
      <w:r>
        <w:rPr>
          <w:rFonts w:ascii="Public Sans" w:hAnsi="Public Sans"/>
          <w:b/>
          <w:i w:val="0"/>
          <w:color w:val="3D3E3E"/>
          <w:sz w:val="19"/>
        </w:rPr>
        <w:t>2 Jul → 10 Jul</w:t>
      </w:r>
      <w:r>
        <w:rPr>
          <w:rFonts w:ascii="Public Sans" w:hAnsi="Public Sans"/>
          <w:b w:val="0"/>
          <w:i w:val="0"/>
          <w:color w:val="3D3E3E"/>
          <w:sz w:val="19"/>
        </w:rPr>
        <w:t xml:space="preserve"> (3 Jul close not loaded; flagged). Rates are </w:t>
      </w:r>
      <w:r>
        <w:rPr>
          <w:rFonts w:ascii="Public Sans" w:hAnsi="Public Sans"/>
          <w:b/>
          <w:i w:val="0"/>
          <w:color w:val="3D3E3E"/>
          <w:sz w:val="19"/>
        </w:rPr>
        <w:t>swap/OIS par</w:t>
      </w:r>
      <w:r>
        <w:rPr>
          <w:rFonts w:ascii="Public Sans" w:hAnsi="Public Sans"/>
          <w:b w:val="0"/>
          <w:i w:val="0"/>
          <w:color w:val="3D3E3E"/>
          <w:sz w:val="19"/>
        </w:rPr>
        <w:t xml:space="preserve"> (fact_bond_yield is empty — cash govt yields are not loaded; cash JGB/KTB shown as sell-side where cited); "n/l" = not loaded. Ordered by what moved.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13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140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FX vs USD (WoW %)</w:t>
            </w:r>
          </w:p>
        </w:tc>
        <w:tc>
          <w:tcPr>
            <w:tcW w:type="dxa" w:w="13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2y (WoW bp, swap/OIS)</w:t>
            </w:r>
          </w:p>
        </w:tc>
        <w:tc>
          <w:tcPr>
            <w:tcW w:type="dxa" w:w="140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10y (WoW bp, swap/OIS)</w:t>
            </w:r>
          </w:p>
        </w:tc>
        <w:tc>
          <w:tcPr>
            <w:tcW w:type="dxa" w:w="16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Equity (WoW %)</w:t>
            </w:r>
          </w:p>
        </w:tc>
        <w:tc>
          <w:tcPr>
            <w:tcW w:type="dxa" w:w="35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One-line read</w:t>
            </w:r>
          </w:p>
        </w:tc>
      </w:tr>
      <w:tr>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New Zealand</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NZD </w:t>
            </w:r>
            <w:r>
              <w:rPr>
                <w:rFonts w:ascii="Public Sans" w:hAnsi="Public Sans"/>
                <w:b/>
                <w:i w:val="0"/>
                <w:color w:val="3D3E3E"/>
                <w:sz w:val="16"/>
              </w:rPr>
              <w:t>+0.9%</w:t>
            </w:r>
            <w:r>
              <w:rPr>
                <w:rFonts w:ascii="Public Sans" w:hAnsi="Public Sans"/>
                <w:b w:val="0"/>
                <w:i w:val="0"/>
                <w:color w:val="3D3E3E"/>
                <w:sz w:val="16"/>
              </w:rPr>
              <w:t xml:space="preserve"> (0.5764)</w:t>
            </w:r>
          </w:p>
        </w:tc>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NZOCRS </w:t>
            </w:r>
            <w:r>
              <w:rPr>
                <w:rFonts w:ascii="Public Sans" w:hAnsi="Public Sans"/>
                <w:b/>
                <w:i w:val="0"/>
                <w:color w:val="3D3E3E"/>
                <w:sz w:val="16"/>
              </w:rPr>
              <w:t>+14.6</w:t>
            </w:r>
            <w:r>
              <w:rPr>
                <w:rFonts w:ascii="Public Sans" w:hAnsi="Public Sans"/>
                <w:b w:val="0"/>
                <w:i w:val="0"/>
                <w:color w:val="3D3E3E"/>
                <w:sz w:val="16"/>
              </w:rPr>
              <w:t xml:space="preserve"> → 3.29%</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NZOCRS </w:t>
            </w:r>
            <w:r>
              <w:rPr>
                <w:rFonts w:ascii="Public Sans" w:hAnsi="Public Sans"/>
                <w:b/>
                <w:i w:val="0"/>
                <w:color w:val="3D3E3E"/>
                <w:sz w:val="16"/>
              </w:rPr>
              <w:t>+12.0</w:t>
            </w:r>
            <w:r>
              <w:rPr>
                <w:rFonts w:ascii="Public Sans" w:hAnsi="Public Sans"/>
                <w:b w:val="0"/>
                <w:i w:val="0"/>
                <w:color w:val="3D3E3E"/>
                <w:sz w:val="16"/>
              </w:rPr>
              <w:t xml:space="preserve"> → 4.04%</w:t>
            </w:r>
          </w:p>
        </w:tc>
        <w:tc>
          <w:tcPr>
            <w:tcW w:type="dxa" w:w="16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n/l</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RBNZ hiked to 2.50%, hawkish; PMI 59.7; front end + NZD led the universe</w:t>
            </w:r>
          </w:p>
        </w:tc>
      </w:tr>
      <w:tr>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United Kingdom</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GBP </w:t>
            </w:r>
            <w:r>
              <w:rPr>
                <w:rFonts w:ascii="Public Sans" w:hAnsi="Public Sans"/>
                <w:b/>
                <w:i w:val="0"/>
                <w:color w:val="3D3E3E"/>
                <w:sz w:val="16"/>
              </w:rPr>
              <w:t>+0.3%</w:t>
            </w:r>
            <w:r>
              <w:rPr>
                <w:rFonts w:ascii="Public Sans" w:hAnsi="Public Sans"/>
                <w:b w:val="0"/>
                <w:i w:val="0"/>
                <w:color w:val="3D3E3E"/>
                <w:sz w:val="16"/>
              </w:rPr>
              <w:t xml:space="preserve"> (1.3399)</w:t>
            </w:r>
          </w:p>
        </w:tc>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SONIA </w:t>
            </w:r>
            <w:r>
              <w:rPr>
                <w:rFonts w:ascii="Public Sans" w:hAnsi="Public Sans"/>
                <w:b/>
                <w:i w:val="0"/>
                <w:color w:val="3D3E3E"/>
                <w:sz w:val="16"/>
              </w:rPr>
              <w:t>+13.1</w:t>
            </w:r>
            <w:r>
              <w:rPr>
                <w:rFonts w:ascii="Public Sans" w:hAnsi="Public Sans"/>
                <w:b w:val="0"/>
                <w:i w:val="0"/>
                <w:color w:val="3D3E3E"/>
                <w:sz w:val="16"/>
              </w:rPr>
              <w:t xml:space="preserve"> → 4.12%</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SONIA </w:t>
            </w:r>
            <w:r>
              <w:rPr>
                <w:rFonts w:ascii="Public Sans" w:hAnsi="Public Sans"/>
                <w:b/>
                <w:i w:val="0"/>
                <w:color w:val="3D3E3E"/>
                <w:sz w:val="16"/>
              </w:rPr>
              <w:t>+12.0</w:t>
            </w:r>
            <w:r>
              <w:rPr>
                <w:rFonts w:ascii="Public Sans" w:hAnsi="Public Sans"/>
                <w:b w:val="0"/>
                <w:i w:val="0"/>
                <w:color w:val="3D3E3E"/>
                <w:sz w:val="16"/>
              </w:rPr>
              <w:t xml:space="preserve"> → 4.49%</w:t>
            </w:r>
          </w:p>
        </w:tc>
        <w:tc>
          <w:tcPr>
            <w:tcW w:type="dxa" w:w="16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FTSE n/l (10,653 on 2 Jul)</w:t>
            </w:r>
          </w:p>
        </w:tc>
        <w:tc>
          <w:tcPr>
            <w:tcW w:type="dxa" w:w="35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Biggest DM rate back-up on the global wave; domestic data soft</w:t>
            </w:r>
          </w:p>
        </w:tc>
      </w:tr>
      <w:tr>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United States</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DXY proxy </w:t>
            </w:r>
            <w:r>
              <w:rPr>
                <w:rFonts w:ascii="Public Sans" w:hAnsi="Public Sans"/>
                <w:b/>
                <w:i w:val="0"/>
                <w:color w:val="3D3E3E"/>
                <w:sz w:val="16"/>
              </w:rPr>
              <w:t>~flat/soft</w:t>
            </w:r>
          </w:p>
        </w:tc>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SOFR </w:t>
            </w:r>
            <w:r>
              <w:rPr>
                <w:rFonts w:ascii="Public Sans" w:hAnsi="Public Sans"/>
                <w:b/>
                <w:i w:val="0"/>
                <w:color w:val="3D3E3E"/>
                <w:sz w:val="16"/>
              </w:rPr>
              <w:t>+8.2</w:t>
            </w:r>
            <w:r>
              <w:rPr>
                <w:rFonts w:ascii="Public Sans" w:hAnsi="Public Sans"/>
                <w:b w:val="0"/>
                <w:i w:val="0"/>
                <w:color w:val="3D3E3E"/>
                <w:sz w:val="16"/>
              </w:rPr>
              <w:t xml:space="preserve"> → 4.07%</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SOFR </w:t>
            </w:r>
            <w:r>
              <w:rPr>
                <w:rFonts w:ascii="Public Sans" w:hAnsi="Public Sans"/>
                <w:b/>
                <w:i w:val="0"/>
                <w:color w:val="3D3E3E"/>
                <w:sz w:val="16"/>
              </w:rPr>
              <w:t>+8.5</w:t>
            </w:r>
            <w:r>
              <w:rPr>
                <w:rFonts w:ascii="Public Sans" w:hAnsi="Public Sans"/>
                <w:b w:val="0"/>
                <w:i w:val="0"/>
                <w:color w:val="3D3E3E"/>
                <w:sz w:val="16"/>
              </w:rPr>
              <w:t xml:space="preserve"> → 4.14%</w:t>
            </w:r>
          </w:p>
        </w:tc>
        <w:tc>
          <w:tcPr>
            <w:tcW w:type="dxa" w:w="16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S&amp;P </w:t>
            </w:r>
            <w:r>
              <w:rPr>
                <w:rFonts w:ascii="Public Sans" w:hAnsi="Public Sans"/>
                <w:b/>
                <w:i w:val="0"/>
                <w:color w:val="3D3E3E"/>
                <w:sz w:val="16"/>
              </w:rPr>
              <w:t>+1.2%</w:t>
            </w:r>
            <w:r>
              <w:rPr>
                <w:rFonts w:ascii="Public Sans" w:hAnsi="Public Sans"/>
                <w:b w:val="0"/>
                <w:i w:val="0"/>
                <w:color w:val="3D3E3E"/>
                <w:sz w:val="16"/>
              </w:rPr>
              <w:t xml:space="preserve"> (Nasdaq +1.7%)</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Ceasefire-break selloff; June CPI 14 Jul the adjudicator; equities shrug</w:t>
            </w:r>
          </w:p>
        </w:tc>
      </w:tr>
      <w:tr>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South Korea</w:t>
            </w:r>
            <w:r>
              <w:rPr>
                <w:rFonts w:ascii="Public Sans" w:hAnsi="Public Sans"/>
                <w:b/>
                <w:i w:val="0"/>
                <w:color w:val="3D3E3E"/>
                <w:sz w:val="16"/>
              </w:rPr>
              <w:t xml:space="preserve"> (context)</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KRW </w:t>
            </w:r>
            <w:r>
              <w:rPr>
                <w:rFonts w:ascii="Public Sans" w:hAnsi="Public Sans"/>
                <w:b/>
                <w:i w:val="0"/>
                <w:color w:val="3D3E3E"/>
                <w:sz w:val="16"/>
              </w:rPr>
              <w:t>+1.9%</w:t>
            </w:r>
            <w:r>
              <w:rPr>
                <w:rFonts w:ascii="Public Sans" w:hAnsi="Public Sans"/>
                <w:b w:val="0"/>
                <w:i w:val="0"/>
                <w:color w:val="3D3E3E"/>
                <w:sz w:val="16"/>
              </w:rPr>
              <w:t xml:space="preserve"> (₩1,502)</w:t>
            </w:r>
          </w:p>
        </w:tc>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CD swap </w:t>
            </w:r>
            <w:r>
              <w:rPr>
                <w:rFonts w:ascii="Public Sans" w:hAnsi="Public Sans"/>
                <w:b/>
                <w:i w:val="0"/>
                <w:color w:val="3D3E3E"/>
                <w:sz w:val="16"/>
              </w:rPr>
              <w:t>−3.2</w:t>
            </w:r>
            <w:r>
              <w:rPr>
                <w:rFonts w:ascii="Public Sans" w:hAnsi="Public Sans"/>
                <w:b w:val="0"/>
                <w:i w:val="0"/>
                <w:color w:val="3D3E3E"/>
                <w:sz w:val="16"/>
              </w:rPr>
              <w:t xml:space="preserve"> → 3.75%</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CD swap </w:t>
            </w:r>
            <w:r>
              <w:rPr>
                <w:rFonts w:ascii="Public Sans" w:hAnsi="Public Sans"/>
                <w:b/>
                <w:i w:val="0"/>
                <w:color w:val="3D3E3E"/>
                <w:sz w:val="16"/>
              </w:rPr>
              <w:t>+3.5</w:t>
            </w:r>
            <w:r>
              <w:rPr>
                <w:rFonts w:ascii="Public Sans" w:hAnsi="Public Sans"/>
                <w:b w:val="0"/>
                <w:i w:val="0"/>
                <w:color w:val="3D3E3E"/>
                <w:sz w:val="16"/>
              </w:rPr>
              <w:t xml:space="preserve"> → 4.04%</w:t>
            </w:r>
          </w:p>
        </w:tc>
        <w:tc>
          <w:tcPr>
            <w:tcW w:type="dxa" w:w="16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KOSPI200 </w:t>
            </w:r>
            <w:r>
              <w:rPr>
                <w:rFonts w:ascii="Public Sans" w:hAnsi="Public Sans"/>
                <w:b/>
                <w:i w:val="0"/>
                <w:color w:val="3D3E3E"/>
                <w:sz w:val="16"/>
              </w:rPr>
              <w:t>−1.9%</w:t>
            </w:r>
          </w:p>
        </w:tc>
        <w:tc>
          <w:tcPr>
            <w:tcW w:type="dxa" w:w="35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Strongest FX into BoK 16 Jul (25-vs-50); received-rates favourite</w:t>
            </w:r>
          </w:p>
        </w:tc>
      </w:tr>
      <w:tr>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Japan</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JPY </w:t>
            </w:r>
            <w:r>
              <w:rPr>
                <w:rFonts w:ascii="Public Sans" w:hAnsi="Public Sans"/>
                <w:b/>
                <w:i w:val="0"/>
                <w:color w:val="3D3E3E"/>
                <w:sz w:val="16"/>
              </w:rPr>
              <w:t>−0.2%</w:t>
            </w:r>
            <w:r>
              <w:rPr>
                <w:rFonts w:ascii="Public Sans" w:hAnsi="Public Sans"/>
                <w:b w:val="0"/>
                <w:i w:val="0"/>
                <w:color w:val="3D3E3E"/>
                <w:sz w:val="16"/>
              </w:rPr>
              <w:t xml:space="preserve"> (¥161.7)</w:t>
            </w:r>
          </w:p>
        </w:tc>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TONAR </w:t>
            </w:r>
            <w:r>
              <w:rPr>
                <w:rFonts w:ascii="Public Sans" w:hAnsi="Public Sans"/>
                <w:b/>
                <w:i w:val="0"/>
                <w:color w:val="3D3E3E"/>
                <w:sz w:val="16"/>
              </w:rPr>
              <w:t>+1.0</w:t>
            </w:r>
            <w:r>
              <w:rPr>
                <w:rFonts w:ascii="Public Sans" w:hAnsi="Public Sans"/>
                <w:b w:val="0"/>
                <w:i w:val="0"/>
                <w:color w:val="3D3E3E"/>
                <w:sz w:val="16"/>
              </w:rPr>
              <w:t xml:space="preserve"> → 1.44%</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TONAR </w:t>
            </w:r>
            <w:r>
              <w:rPr>
                <w:rFonts w:ascii="Public Sans" w:hAnsi="Public Sans"/>
                <w:b/>
                <w:i w:val="0"/>
                <w:color w:val="3D3E3E"/>
                <w:sz w:val="16"/>
              </w:rPr>
              <w:t>−6.0</w:t>
            </w:r>
            <w:r>
              <w:rPr>
                <w:rFonts w:ascii="Public Sans" w:hAnsi="Public Sans"/>
                <w:b w:val="0"/>
                <w:i w:val="0"/>
                <w:color w:val="3D3E3E"/>
                <w:sz w:val="16"/>
              </w:rPr>
              <w:t xml:space="preserve"> → 2.57%</w:t>
            </w:r>
          </w:p>
        </w:tc>
        <w:tc>
          <w:tcPr>
            <w:tcW w:type="dxa" w:w="16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TOPIX </w:t>
            </w:r>
            <w:r>
              <w:rPr>
                <w:rFonts w:ascii="Public Sans" w:hAnsi="Public Sans"/>
                <w:b/>
                <w:i w:val="0"/>
                <w:color w:val="3D3E3E"/>
                <w:sz w:val="16"/>
              </w:rPr>
              <w:t>+0.5%</w:t>
            </w:r>
            <w:r>
              <w:rPr>
                <w:rFonts w:ascii="Public Sans" w:hAnsi="Public Sans"/>
                <w:b w:val="0"/>
                <w:i w:val="0"/>
                <w:color w:val="3D3E3E"/>
                <w:sz w:val="16"/>
              </w:rPr>
              <w:t xml:space="preserve"> (N225 −0.3%)</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one curve that </w:t>
            </w:r>
            <w:r>
              <w:rPr>
                <w:rFonts w:ascii="Public Sans" w:hAnsi="Public Sans"/>
                <w:b w:val="0"/>
                <w:i/>
                <w:color w:val="3D3E3E"/>
                <w:sz w:val="16"/>
              </w:rPr>
              <w:t>rallied</w:t>
            </w:r>
            <w:r>
              <w:rPr>
                <w:rFonts w:ascii="Public Sans" w:hAnsi="Public Sans"/>
                <w:b w:val="0"/>
                <w:i w:val="0"/>
                <w:color w:val="3D3E3E"/>
                <w:sz w:val="16"/>
              </w:rPr>
              <w:t xml:space="preserve"> — fiscal premium cooled on the food-tax-cut delay</w:t>
            </w:r>
          </w:p>
        </w:tc>
      </w:tr>
      <w:tr>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Canada</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CAD </w:t>
            </w:r>
            <w:r>
              <w:rPr>
                <w:rFonts w:ascii="Public Sans" w:hAnsi="Public Sans"/>
                <w:b/>
                <w:i w:val="0"/>
                <w:color w:val="3D3E3E"/>
                <w:sz w:val="16"/>
              </w:rPr>
              <w:t>+0.4%</w:t>
            </w:r>
            <w:r>
              <w:rPr>
                <w:rFonts w:ascii="Public Sans" w:hAnsi="Public Sans"/>
                <w:b w:val="0"/>
                <w:i w:val="0"/>
                <w:color w:val="3D3E3E"/>
                <w:sz w:val="16"/>
              </w:rPr>
              <w:t xml:space="preserve"> (1.4147)</w:t>
            </w:r>
          </w:p>
        </w:tc>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CORRA </w:t>
            </w:r>
            <w:r>
              <w:rPr>
                <w:rFonts w:ascii="Public Sans" w:hAnsi="Public Sans"/>
                <w:b/>
                <w:i w:val="0"/>
                <w:color w:val="3D3E3E"/>
                <w:sz w:val="16"/>
              </w:rPr>
              <w:t>+7.6</w:t>
            </w:r>
            <w:r>
              <w:rPr>
                <w:rFonts w:ascii="Public Sans" w:hAnsi="Public Sans"/>
                <w:b w:val="0"/>
                <w:i w:val="0"/>
                <w:color w:val="3D3E3E"/>
                <w:sz w:val="16"/>
              </w:rPr>
              <w:t xml:space="preserve"> → 2.73%</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CORRA </w:t>
            </w:r>
            <w:r>
              <w:rPr>
                <w:rFonts w:ascii="Public Sans" w:hAnsi="Public Sans"/>
                <w:b/>
                <w:i w:val="0"/>
                <w:color w:val="3D3E3E"/>
                <w:sz w:val="16"/>
              </w:rPr>
              <w:t>+6.9</w:t>
            </w:r>
            <w:r>
              <w:rPr>
                <w:rFonts w:ascii="Public Sans" w:hAnsi="Public Sans"/>
                <w:b w:val="0"/>
                <w:i w:val="0"/>
                <w:color w:val="3D3E3E"/>
                <w:sz w:val="16"/>
              </w:rPr>
              <w:t xml:space="preserve"> → 3.26%</w:t>
            </w:r>
          </w:p>
        </w:tc>
        <w:tc>
          <w:tcPr>
            <w:tcW w:type="dxa" w:w="16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5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Trade surplus beat, Ivey soft; BoC 15 Jul on hold; rates tracked US</w:t>
            </w:r>
          </w:p>
        </w:tc>
      </w:tr>
      <w:tr>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Indonesia</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IDR </w:t>
            </w:r>
            <w:r>
              <w:rPr>
                <w:rFonts w:ascii="Public Sans" w:hAnsi="Public Sans"/>
                <w:b/>
                <w:i w:val="0"/>
                <w:color w:val="3D3E3E"/>
                <w:sz w:val="16"/>
              </w:rPr>
              <w:t>−0.5%</w:t>
            </w:r>
            <w:r>
              <w:rPr>
                <w:rFonts w:ascii="Public Sans" w:hAnsi="Public Sans"/>
                <w:b w:val="0"/>
                <w:i w:val="0"/>
                <w:color w:val="3D3E3E"/>
                <w:sz w:val="16"/>
              </w:rPr>
              <w:t xml:space="preserve"> (18,068)</w:t>
            </w:r>
          </w:p>
        </w:tc>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JIBOR </w:t>
            </w:r>
            <w:r>
              <w:rPr>
                <w:rFonts w:ascii="Public Sans" w:hAnsi="Public Sans"/>
                <w:b/>
                <w:i w:val="0"/>
                <w:color w:val="3D3E3E"/>
                <w:sz w:val="16"/>
              </w:rPr>
              <w:t>−3.1</w:t>
            </w:r>
            <w:r>
              <w:rPr>
                <w:rFonts w:ascii="Public Sans" w:hAnsi="Public Sans"/>
                <w:b w:val="0"/>
                <w:i w:val="0"/>
                <w:color w:val="3D3E3E"/>
                <w:sz w:val="16"/>
              </w:rPr>
              <w:t xml:space="preserve"> → 7.33%</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JIBOR </w:t>
            </w:r>
            <w:r>
              <w:rPr>
                <w:rFonts w:ascii="Public Sans" w:hAnsi="Public Sans"/>
                <w:b/>
                <w:i w:val="0"/>
                <w:color w:val="3D3E3E"/>
                <w:sz w:val="16"/>
              </w:rPr>
              <w:t>+6.1</w:t>
            </w:r>
            <w:r>
              <w:rPr>
                <w:rFonts w:ascii="Public Sans" w:hAnsi="Public Sans"/>
                <w:b w:val="0"/>
                <w:i w:val="0"/>
                <w:color w:val="3D3E3E"/>
                <w:sz w:val="16"/>
              </w:rPr>
              <w:t xml:space="preserve"> → 7.20%</w:t>
            </w:r>
          </w:p>
        </w:tc>
        <w:tc>
          <w:tcPr>
            <w:tcW w:type="dxa" w:w="16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n/l</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Softest ASEAN FX; deficit widened to 2.85%; instrument pending Deepak</w:t>
            </w:r>
          </w:p>
        </w:tc>
      </w:tr>
      <w:tr>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Thailand</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THB </w:t>
            </w:r>
            <w:r>
              <w:rPr>
                <w:rFonts w:ascii="Public Sans" w:hAnsi="Public Sans"/>
                <w:b/>
                <w:i w:val="0"/>
                <w:color w:val="3D3E3E"/>
                <w:sz w:val="16"/>
              </w:rPr>
              <w:t>−0.4%</w:t>
            </w:r>
            <w:r>
              <w:rPr>
                <w:rFonts w:ascii="Public Sans" w:hAnsi="Public Sans"/>
                <w:b w:val="0"/>
                <w:i w:val="0"/>
                <w:color w:val="3D3E3E"/>
                <w:sz w:val="16"/>
              </w:rPr>
              <w:t xml:space="preserve"> (33.30)</w:t>
            </w:r>
          </w:p>
        </w:tc>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THOR </w:t>
            </w:r>
            <w:r>
              <w:rPr>
                <w:rFonts w:ascii="Public Sans" w:hAnsi="Public Sans"/>
                <w:b/>
                <w:i w:val="0"/>
                <w:color w:val="3D3E3E"/>
                <w:sz w:val="16"/>
              </w:rPr>
              <w:t>−0.5</w:t>
            </w:r>
            <w:r>
              <w:rPr>
                <w:rFonts w:ascii="Public Sans" w:hAnsi="Public Sans"/>
                <w:b w:val="0"/>
                <w:i w:val="0"/>
                <w:color w:val="3D3E3E"/>
                <w:sz w:val="16"/>
              </w:rPr>
              <w:t xml:space="preserve"> → 1.24%</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THOR </w:t>
            </w:r>
            <w:r>
              <w:rPr>
                <w:rFonts w:ascii="Public Sans" w:hAnsi="Public Sans"/>
                <w:b/>
                <w:i w:val="0"/>
                <w:color w:val="3D3E3E"/>
                <w:sz w:val="16"/>
              </w:rPr>
              <w:t>+1.6</w:t>
            </w:r>
            <w:r>
              <w:rPr>
                <w:rFonts w:ascii="Public Sans" w:hAnsi="Public Sans"/>
                <w:b w:val="0"/>
                <w:i w:val="0"/>
                <w:color w:val="3D3E3E"/>
                <w:sz w:val="16"/>
              </w:rPr>
              <w:t xml:space="preserve"> → 2.01%</w:t>
            </w:r>
          </w:p>
        </w:tc>
        <w:tc>
          <w:tcPr>
            <w:tcW w:type="dxa" w:w="16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SET </w:t>
            </w:r>
            <w:r>
              <w:rPr>
                <w:rFonts w:ascii="Public Sans" w:hAnsi="Public Sans"/>
                <w:b/>
                <w:i w:val="0"/>
                <w:color w:val="3D3E3E"/>
                <w:sz w:val="16"/>
              </w:rPr>
              <w:t>+0.6%</w:t>
            </w:r>
          </w:p>
        </w:tc>
        <w:tc>
          <w:tcPr>
            <w:tcW w:type="dxa" w:w="35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CPI miss (2.4%) → longer BoT hold; basic BoP turning (DB closes long bond)</w:t>
            </w:r>
          </w:p>
        </w:tc>
      </w:tr>
      <w:tr>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Hong Kong</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HKD ~flat (7.841, peg)</w:t>
            </w:r>
          </w:p>
        </w:tc>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HIBOR </w:t>
            </w:r>
            <w:r>
              <w:rPr>
                <w:rFonts w:ascii="Public Sans" w:hAnsi="Public Sans"/>
                <w:b/>
                <w:i w:val="0"/>
                <w:color w:val="3D3E3E"/>
                <w:sz w:val="16"/>
              </w:rPr>
              <w:t>−0.7</w:t>
            </w:r>
            <w:r>
              <w:rPr>
                <w:rFonts w:ascii="Public Sans" w:hAnsi="Public Sans"/>
                <w:b w:val="0"/>
                <w:i w:val="0"/>
                <w:color w:val="3D3E3E"/>
                <w:sz w:val="16"/>
              </w:rPr>
              <w:t xml:space="preserve"> → 3.48%</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HIBOR </w:t>
            </w:r>
            <w:r>
              <w:rPr>
                <w:rFonts w:ascii="Public Sans" w:hAnsi="Public Sans"/>
                <w:b/>
                <w:i w:val="0"/>
                <w:color w:val="3D3E3E"/>
                <w:sz w:val="16"/>
              </w:rPr>
              <w:t>+5.0</w:t>
            </w:r>
            <w:r>
              <w:rPr>
                <w:rFonts w:ascii="Public Sans" w:hAnsi="Public Sans"/>
                <w:b w:val="0"/>
                <w:i w:val="0"/>
                <w:color w:val="3D3E3E"/>
                <w:sz w:val="16"/>
              </w:rPr>
              <w:t xml:space="preserve"> → 3.61%</w:t>
            </w:r>
          </w:p>
        </w:tc>
        <w:tc>
          <w:tcPr>
            <w:tcW w:type="dxa" w:w="16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HSI </w:t>
            </w:r>
            <w:r>
              <w:rPr>
                <w:rFonts w:ascii="Public Sans" w:hAnsi="Public Sans"/>
                <w:b/>
                <w:i w:val="0"/>
                <w:color w:val="3D3E3E"/>
                <w:sz w:val="16"/>
              </w:rPr>
              <w:t>+4.9%</w:t>
            </w:r>
            <w:r>
              <w:rPr>
                <w:rFonts w:ascii="Public Sans" w:hAnsi="Public Sans"/>
                <w:b w:val="0"/>
                <w:i w:val="0"/>
                <w:color w:val="3D3E3E"/>
                <w:sz w:val="16"/>
              </w:rPr>
              <w:t xml:space="preserve"> (HSTECH +6.0%)</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North-Asia semis/China beta; peg intact; best equity tape in the universe</w:t>
            </w:r>
          </w:p>
        </w:tc>
      </w:tr>
      <w:tr>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Singapore</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SGD ~flat (1.2917)</w:t>
            </w:r>
          </w:p>
        </w:tc>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SORA </w:t>
            </w:r>
            <w:r>
              <w:rPr>
                <w:rFonts w:ascii="Public Sans" w:hAnsi="Public Sans"/>
                <w:b/>
                <w:i w:val="0"/>
                <w:color w:val="3D3E3E"/>
                <w:sz w:val="16"/>
              </w:rPr>
              <w:t>+2.8</w:t>
            </w:r>
            <w:r>
              <w:rPr>
                <w:rFonts w:ascii="Public Sans" w:hAnsi="Public Sans"/>
                <w:b w:val="0"/>
                <w:i w:val="0"/>
                <w:color w:val="3D3E3E"/>
                <w:sz w:val="16"/>
              </w:rPr>
              <w:t xml:space="preserve"> → 1.56%</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SORA </w:t>
            </w:r>
            <w:r>
              <w:rPr>
                <w:rFonts w:ascii="Public Sans" w:hAnsi="Public Sans"/>
                <w:b/>
                <w:i w:val="0"/>
                <w:color w:val="3D3E3E"/>
                <w:sz w:val="16"/>
              </w:rPr>
              <w:t>+5.3</w:t>
            </w:r>
            <w:r>
              <w:rPr>
                <w:rFonts w:ascii="Public Sans" w:hAnsi="Public Sans"/>
                <w:b w:val="0"/>
                <w:i w:val="0"/>
                <w:color w:val="3D3E3E"/>
                <w:sz w:val="16"/>
              </w:rPr>
              <w:t xml:space="preserve"> → 2.21%</w:t>
            </w:r>
          </w:p>
        </w:tc>
        <w:tc>
          <w:tcPr>
            <w:tcW w:type="dxa" w:w="16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MSCI SG </w:t>
            </w:r>
            <w:r>
              <w:rPr>
                <w:rFonts w:ascii="Public Sans" w:hAnsi="Public Sans"/>
                <w:b/>
                <w:i w:val="0"/>
                <w:color w:val="3D3E3E"/>
                <w:sz w:val="16"/>
              </w:rPr>
              <w:t>+5.6%</w:t>
            </w:r>
          </w:p>
        </w:tc>
        <w:tc>
          <w:tcPr>
            <w:tcW w:type="dxa" w:w="35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2Q GDP ~5.6% tech-led; MAS 14 Jul a close call (steepen vs pause)</w:t>
            </w:r>
          </w:p>
        </w:tc>
      </w:tr>
      <w:tr>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India</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INR </w:t>
            </w:r>
            <w:r>
              <w:rPr>
                <w:rFonts w:ascii="Public Sans" w:hAnsi="Public Sans"/>
                <w:b/>
                <w:i w:val="0"/>
                <w:color w:val="3D3E3E"/>
                <w:sz w:val="16"/>
              </w:rPr>
              <w:t>−0.2%</w:t>
            </w:r>
            <w:r>
              <w:rPr>
                <w:rFonts w:ascii="Public Sans" w:hAnsi="Public Sans"/>
                <w:b w:val="0"/>
                <w:i w:val="0"/>
                <w:color w:val="3D3E3E"/>
                <w:sz w:val="16"/>
              </w:rPr>
              <w:t xml:space="preserve"> (95.41)</w:t>
            </w:r>
          </w:p>
        </w:tc>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MIBOR </w:t>
            </w:r>
            <w:r>
              <w:rPr>
                <w:rFonts w:ascii="Public Sans" w:hAnsi="Public Sans"/>
                <w:b/>
                <w:i w:val="0"/>
                <w:color w:val="3D3E3E"/>
                <w:sz w:val="16"/>
              </w:rPr>
              <w:t>−0.4</w:t>
            </w:r>
            <w:r>
              <w:rPr>
                <w:rFonts w:ascii="Public Sans" w:hAnsi="Public Sans"/>
                <w:b w:val="0"/>
                <w:i w:val="0"/>
                <w:color w:val="3D3E3E"/>
                <w:sz w:val="16"/>
              </w:rPr>
              <w:t xml:space="preserve"> → 5.91%</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MIBOR </w:t>
            </w:r>
            <w:r>
              <w:rPr>
                <w:rFonts w:ascii="Public Sans" w:hAnsi="Public Sans"/>
                <w:b/>
                <w:i w:val="0"/>
                <w:color w:val="3D3E3E"/>
                <w:sz w:val="16"/>
              </w:rPr>
              <w:t>−3.0</w:t>
            </w:r>
            <w:r>
              <w:rPr>
                <w:rFonts w:ascii="Public Sans" w:hAnsi="Public Sans"/>
                <w:b w:val="0"/>
                <w:i w:val="0"/>
                <w:color w:val="3D3E3E"/>
                <w:sz w:val="16"/>
              </w:rPr>
              <w:t xml:space="preserve"> → 6.37%</w:t>
            </w:r>
          </w:p>
        </w:tc>
        <w:tc>
          <w:tcPr>
            <w:tcW w:type="dxa" w:w="16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Nifty </w:t>
            </w:r>
            <w:r>
              <w:rPr>
                <w:rFonts w:ascii="Public Sans" w:hAnsi="Public Sans"/>
                <w:b/>
                <w:i w:val="0"/>
                <w:color w:val="3D3E3E"/>
                <w:sz w:val="16"/>
              </w:rPr>
              <w:t>+0.1%</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FX-package "summer of hope" vs a June CPI (today) and oil that re-spiked</w:t>
            </w:r>
          </w:p>
        </w:tc>
      </w:tr>
      <w:tr>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Australia</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AUD </w:t>
            </w:r>
            <w:r>
              <w:rPr>
                <w:rFonts w:ascii="Public Sans" w:hAnsi="Public Sans"/>
                <w:b/>
                <w:i w:val="0"/>
                <w:color w:val="3D3E3E"/>
                <w:sz w:val="16"/>
              </w:rPr>
              <w:t>+0.2%</w:t>
            </w:r>
            <w:r>
              <w:rPr>
                <w:rFonts w:ascii="Public Sans" w:hAnsi="Public Sans"/>
                <w:b w:val="0"/>
                <w:i w:val="0"/>
                <w:color w:val="3D3E3E"/>
                <w:sz w:val="16"/>
              </w:rPr>
              <w:t xml:space="preserve"> (0.6952)</w:t>
            </w:r>
          </w:p>
        </w:tc>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AONIA </w:t>
            </w:r>
            <w:r>
              <w:rPr>
                <w:rFonts w:ascii="Public Sans" w:hAnsi="Public Sans"/>
                <w:b/>
                <w:i w:val="0"/>
                <w:color w:val="3D3E3E"/>
                <w:sz w:val="16"/>
              </w:rPr>
              <w:t>+1.2</w:t>
            </w:r>
            <w:r>
              <w:rPr>
                <w:rFonts w:ascii="Public Sans" w:hAnsi="Public Sans"/>
                <w:b w:val="0"/>
                <w:i w:val="0"/>
                <w:color w:val="3D3E3E"/>
                <w:sz w:val="16"/>
              </w:rPr>
              <w:t xml:space="preserve"> → 4.44%</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AONIA </w:t>
            </w:r>
            <w:r>
              <w:rPr>
                <w:rFonts w:ascii="Public Sans" w:hAnsi="Public Sans"/>
                <w:b/>
                <w:i w:val="0"/>
                <w:color w:val="3D3E3E"/>
                <w:sz w:val="16"/>
              </w:rPr>
              <w:t>+4.1</w:t>
            </w:r>
            <w:r>
              <w:rPr>
                <w:rFonts w:ascii="Public Sans" w:hAnsi="Public Sans"/>
                <w:b w:val="0"/>
                <w:i w:val="0"/>
                <w:color w:val="3D3E3E"/>
                <w:sz w:val="16"/>
              </w:rPr>
              <w:t xml:space="preserve"> → 4.69%</w:t>
            </w:r>
          </w:p>
        </w:tc>
        <w:tc>
          <w:tcPr>
            <w:tcW w:type="dxa" w:w="16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ASX200 </w:t>
            </w:r>
            <w:r>
              <w:rPr>
                <w:rFonts w:ascii="Public Sans" w:hAnsi="Public Sans"/>
                <w:b/>
                <w:i w:val="0"/>
                <w:color w:val="3D3E3E"/>
                <w:sz w:val="16"/>
              </w:rPr>
              <w:t>+0.9%</w:t>
            </w:r>
          </w:p>
        </w:tc>
        <w:tc>
          <w:tcPr>
            <w:tcW w:type="dxa" w:w="35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Quiet week; RBA on hold 4.35%; the 29 Jul Q2 CPI decides the cycle</w:t>
            </w:r>
          </w:p>
        </w:tc>
      </w:tr>
      <w:tr>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Philippines</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PHP ~flat (61.55)</w:t>
            </w:r>
          </w:p>
        </w:tc>
        <w:tc>
          <w:tcPr>
            <w:tcW w:type="dxa" w:w="1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PHIREF ~flat → 5.71%</w:t>
            </w:r>
          </w:p>
        </w:tc>
        <w:tc>
          <w:tcPr>
            <w:tcW w:type="dxa" w:w="14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PHIREF ~flat → 6.08%</w:t>
            </w:r>
          </w:p>
        </w:tc>
        <w:tc>
          <w:tcPr>
            <w:tcW w:type="dxa" w:w="16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n/l</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Headline 6.4% but core rose to 4.4%; clearest hiker (policy 4.75%)</w:t>
            </w:r>
          </w:p>
        </w:tc>
      </w:tr>
      <w:tr>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Malaysia</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 ~flat (4.072)</w:t>
            </w:r>
          </w:p>
        </w:tc>
        <w:tc>
          <w:tcPr>
            <w:tcW w:type="dxa" w:w="1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KLIBOR </w:t>
            </w:r>
            <w:r>
              <w:rPr>
                <w:rFonts w:ascii="Public Sans" w:hAnsi="Public Sans"/>
                <w:b/>
                <w:i w:val="0"/>
                <w:color w:val="3D3E3E"/>
                <w:sz w:val="16"/>
              </w:rPr>
              <w:t>+2.5</w:t>
            </w:r>
            <w:r>
              <w:rPr>
                <w:rFonts w:ascii="Public Sans" w:hAnsi="Public Sans"/>
                <w:b w:val="0"/>
                <w:i w:val="0"/>
                <w:color w:val="3D3E3E"/>
                <w:sz w:val="16"/>
              </w:rPr>
              <w:t xml:space="preserve"> → 3.50%</w:t>
            </w:r>
          </w:p>
        </w:tc>
        <w:tc>
          <w:tcPr>
            <w:tcW w:type="dxa" w:w="140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KLIBOR </w:t>
            </w:r>
            <w:r>
              <w:rPr>
                <w:rFonts w:ascii="Public Sans" w:hAnsi="Public Sans"/>
                <w:b/>
                <w:i w:val="0"/>
                <w:color w:val="3D3E3E"/>
                <w:sz w:val="16"/>
              </w:rPr>
              <w:t>+2.0</w:t>
            </w:r>
            <w:r>
              <w:rPr>
                <w:rFonts w:ascii="Public Sans" w:hAnsi="Public Sans"/>
                <w:b w:val="0"/>
                <w:i w:val="0"/>
                <w:color w:val="3D3E3E"/>
                <w:sz w:val="16"/>
              </w:rPr>
              <w:t xml:space="preserve"> → 3.77%</w:t>
            </w:r>
          </w:p>
        </w:tc>
        <w:tc>
          <w:tcPr>
            <w:tcW w:type="dxa" w:w="16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5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BNM held; "firmly" 4–5% growth on exports; on hold to 2027; stronger-MYR bias</w:t>
            </w:r>
          </w:p>
        </w:tc>
      </w:tr>
    </w:tbl>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{"type":"grouped","title":"The DM back-up vs the JGB outlier — 2y and 10y swap moves this week (WoW bp)","caption":"The ceasefire break drove a synchronous DM sell-off: NZ, UK, US, CA all +7 to +15bp. Japan is the counter-move — 10y −6bp as the fiscal premium cooled. India rallied on the FX-package flow.","unit":"bp WoW","series":[{"name":"2y","color":"#2b5a86","points":[["NZ",14.6],["UK",13.1],["US",8.2],["CA",7.6],["JP",1.0],["IN",-0.4]]},{"name":"10y","color":"#b5761f","points":[["NZ",12.0],["UK",12.0],["US",8.5],["CA",6.9],["JP",-6.0],["IN",-3.0]]}]}</w:t>
      </w:r>
    </w:p>
    <w:p>
      <w:pPr>
        <w:spacing w:after="80" w:line="283" w:lineRule="auto"/>
      </w:pP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{"type":"bar","title":"FX vs USD this week (WoW %) — the hawkish-CB currencies led","caption":"KRW and NZD led on their hawkish central banks (BoK 16 Jul, RBNZ hike). The twin-deficit oil importers — IDR, THB, INR — lagged as oil re-spiked. JPY soft despite the JGB rally.","unit":"% WoW","series":[{"name":"Stronger vs USD (+) / weaker (−)","color":"#1f6b4f","points":[["KRW",1.86],["NZD",0.94],["CAD",0.38],["GBP",0.32],["AUD",0.20],["MYR",-0.02],["PHP",-0.06],["JPY",-0.22],["INR",-0.22],["THB",-0.38],["IDR",-0.54]]}]}</w:t>
      </w:r>
    </w:p>
    <w:p>
      <w:pPr>
        <w:spacing w:after="80" w:line="283" w:lineRule="auto"/>
      </w:pPr>
    </w:p>
    <w:p>
      <w:pPr>
        <w:spacing w:after="80" w:line="283" w:lineRule="auto"/>
      </w:pPr>
      <w:r>
        <w:rPr>
          <w:rFonts w:ascii="Public Sans" w:hAnsi="Public Sans"/>
          <w:b w:val="0"/>
          <w:i/>
          <w:color w:val="3D3E3E"/>
          <w:sz w:val="19"/>
        </w:rPr>
        <w:t>Footnote — oil/vol/credit: WTI ~$69.5 (2 Jul) → ~$74.7 (8 Jul, ceasefire break) → $72.3 (10 Jul); Brent brushed ~$80 intraday. VIX ~16.2 (2 Jul) → ~15.0 (10 Jul), with a mid-week ceasefire-headline spike. Credit spreads not in IMDR — Barclays reports EM USD-sovereign spreads ~15bp tighter YTD (excess return ~2.2%), with EM IG underperforming HY on core-rates volatility and supply. FTSE/TWII/N225 partial this window; DXY is an agent-constructed proxy from the crosses. NZ/ID/MY/PH/CA equity indices not loaded.</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Universe desk-by-desk</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5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54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This week's flagship(s)</w:t>
            </w:r>
          </w:p>
        </w:tc>
        <w:tc>
          <w:tcPr>
            <w:tcW w:type="dxa" w:w="454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Cross-country core message</w:t>
            </w:r>
          </w:p>
        </w:tc>
      </w:tr>
      <w:tr>
        <w:tc>
          <w:tcPr>
            <w:tcW w:type="dxa" w:w="15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J.P. Morgan</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Weekly Prospects; AU-NZ Weekly Prospects; Global Data Diary; Global FI/FX Markets Weekly</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resilient ("keeps on ticking"), FOMC held, downward pressure on unemployment; RBNZ hiked, +75bp more to early-2027; AU business confidence deeply pessimistic</w:t>
            </w:r>
          </w:p>
        </w:tc>
      </w:tr>
      <w:tr>
        <w:tc>
          <w:tcPr>
            <w:tcW w:type="dxa" w:w="15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Barclays</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Global Rates Weekly "Fingers crossed"; Global Economics Weekly "The rest is (geo)politics"; EM Weekly "Extra time"</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Pay US 5y5y (resilience); "bond glut" → structurally higher long yields; EM FX oil-reaction overdone; EM credit solid H1</w:t>
            </w:r>
          </w:p>
        </w:tc>
      </w:tr>
      <w:tr>
        <w:tc>
          <w:tcPr>
            <w:tcW w:type="dxa" w:w="15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Deutsche Bank</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Asia Local Markets Weekly "Challenges for H2"; India Economics Weekly; Japan Economic Notes</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H2 = policy differentiation (North vs South, K-shaped); close THB long, THB to underperform; </w:t>
            </w:r>
            <w:r>
              <w:rPr>
                <w:rFonts w:ascii="Public Sans" w:hAnsi="Public Sans"/>
                <w:b/>
                <w:i w:val="0"/>
                <w:color w:val="3D3E3E"/>
                <w:sz w:val="16"/>
              </w:rPr>
              <w:t>sidelined on IndoGB</w:t>
            </w:r>
            <w:r>
              <w:rPr>
                <w:rFonts w:ascii="Public Sans" w:hAnsi="Public Sans"/>
                <w:b w:val="0"/>
                <w:i w:val="0"/>
                <w:color w:val="3D3E3E"/>
                <w:sz w:val="16"/>
              </w:rPr>
              <w:t>; India inflation risk &gt; growth</w:t>
            </w:r>
          </w:p>
        </w:tc>
      </w:tr>
      <w:tr>
        <w:tc>
          <w:tcPr>
            <w:tcW w:type="dxa" w:w="15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Point (per region, daily); EM Strategy Weekly (ID/MY/CN/KR); Asia Economics Week Ahead</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Recalibrate risky EM positions on oil; </w:t>
            </w:r>
            <w:r>
              <w:rPr>
                <w:rFonts w:ascii="Public Sans" w:hAnsi="Public Sans"/>
                <w:b/>
                <w:i w:val="0"/>
                <w:color w:val="3D3E3E"/>
                <w:sz w:val="16"/>
              </w:rPr>
              <w:t>constructive long-end IndoGB</w:t>
            </w:r>
            <w:r>
              <w:rPr>
                <w:rFonts w:ascii="Public Sans" w:hAnsi="Public Sans"/>
                <w:b w:val="0"/>
                <w:i w:val="0"/>
                <w:color w:val="3D3E3E"/>
                <w:sz w:val="16"/>
              </w:rPr>
              <w:t>; MAS still expect July steepening; BoK +25 gradual; stronger-MYR bias</w:t>
            </w:r>
          </w:p>
        </w:tc>
      </w:tr>
      <w:tr>
        <w:tc>
          <w:tcPr>
            <w:tcW w:type="dxa" w:w="15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Nomura</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Weekly "The force awakens"; Japan Research Pack; JPY Weekly (GPIF); Japan equity weekly</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US core CPI benign ~0.215% m/m, </w:t>
            </w:r>
            <w:r>
              <w:rPr>
                <w:rFonts w:ascii="Public Sans" w:hAnsi="Public Sans"/>
                <w:b/>
                <w:i w:val="0"/>
                <w:color w:val="3D3E3E"/>
                <w:sz w:val="16"/>
              </w:rPr>
              <w:t>no Fed hikes through 2027</w:t>
            </w:r>
            <w:r>
              <w:rPr>
                <w:rFonts w:ascii="Public Sans" w:hAnsi="Public Sans"/>
                <w:b w:val="0"/>
                <w:i w:val="0"/>
                <w:color w:val="3D3E3E"/>
                <w:sz w:val="16"/>
              </w:rPr>
              <w:t>; every $10 oil crimps TOPIX EPS ~1.0–1.25%; correcting the AI/semis skew</w:t>
            </w:r>
          </w:p>
        </w:tc>
      </w:tr>
      <w:tr>
        <w:tc>
          <w:tcPr>
            <w:tcW w:type="dxa" w:w="15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HSBC</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India Macro Strategy "A summer of hope"</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India multi-asset constructive: FX package ~$65bn inflows, FY27 GDP raised to 6.3%; </w:t>
            </w:r>
            <w:r>
              <w:rPr>
                <w:rFonts w:ascii="Public Sans" w:hAnsi="Public Sans"/>
                <w:b/>
                <w:i w:val="0"/>
                <w:color w:val="3D3E3E"/>
                <w:sz w:val="16"/>
              </w:rPr>
              <w:t>Buy IGB 15y, Sell USD-INR</w:t>
            </w:r>
            <w:r>
              <w:rPr>
                <w:rFonts w:ascii="Public Sans" w:hAnsi="Public Sans"/>
                <w:b w:val="0"/>
                <w:i w:val="0"/>
                <w:color w:val="3D3E3E"/>
                <w:sz w:val="16"/>
              </w:rPr>
              <w:t>; El Niño + strong USD the risks</w:t>
            </w:r>
          </w:p>
        </w:tc>
      </w:tr>
      <w:tr>
        <w:tc>
          <w:tcPr>
            <w:tcW w:type="dxa" w:w="15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UBS</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ASEAN Weekly (ID fiscal, PH/TH CPI); Global Rates "Weekly Supply Preview"; SG/Vietnam equity</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 deficit to 2.85%, MBG-cut buffer caps it &lt;3%; PH +25 August (core firm); TH extended hold; SG tech-led</w:t>
            </w:r>
          </w:p>
        </w:tc>
      </w:tr>
      <w:tr>
        <w:tc>
          <w:tcPr>
            <w:tcW w:type="dxa" w:w="15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Goldman Sachs</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 Economics Weekly; India Wrap (daily); Canadian Rates Weekly; Regional/China Wrap</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 resilient; India constructive on inflows; APAC rates broadly higher; AI-semis leadership the connective tissue</w:t>
            </w:r>
          </w:p>
        </w:tc>
      </w:tr>
      <w:tr>
        <w:tc>
          <w:tcPr>
            <w:tcW w:type="dxa" w:w="15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Morgan Stanley</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Weekly Warm-up "Broadening… as semis lose momentum"; Weekly Monitor (China PBoC)</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breadth broadening as semis stall; PBoC "buys the dip"; Hormuz weekly tracker</w:t>
            </w:r>
          </w:p>
        </w:tc>
      </w:tr>
      <w:tr>
        <w:tc>
          <w:tcPr>
            <w:tcW w:type="dxa" w:w="15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ANZ / Westpac / NAB</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 Weekly Data Wrap (RBNZ); Australian Macro Weekly; What's Priced In (daily)</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RBNZ hiked, options open, OCR to 3%; AU a "1–2% GDP economy", slowdown broadening, rate-cut debate revived; USD firm</w:t>
            </w:r>
          </w:p>
        </w:tc>
      </w:tr>
      <w:tr>
        <w:tc>
          <w:tcPr>
            <w:tcW w:type="dxa" w:w="15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SocGen / BNP</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Global EM Weekly (terms-of-trade); FI Weekly "Inflation Under Review"; FX vol weekly</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Terms-of-trade theme returns with oil; inflation the swing factor; lower USD vol</w:t>
            </w:r>
          </w:p>
        </w:tc>
      </w:tr>
    </w:tbl>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The big cross-cutting themes</w:t>
      </w:r>
    </w:p>
    <w:p>
      <w:pPr>
        <w:spacing w:after="80" w:line="283" w:lineRule="auto"/>
      </w:pPr>
      <w:r>
        <w:rPr>
          <w:rFonts w:ascii="Public Sans" w:hAnsi="Public Sans"/>
          <w:b/>
          <w:i w:val="0"/>
          <w:color w:val="3D3E3E"/>
          <w:sz w:val="19"/>
        </w:rPr>
        <w:t>1. The ceasefire breaks — geopolitics retakes the wheel.</w:t>
      </w:r>
      <w:r>
        <w:rPr>
          <w:rFonts w:ascii="Public Sans" w:hAnsi="Public Sans"/>
          <w:b w:val="0"/>
          <w:i w:val="0"/>
          <w:color w:val="3D3E3E"/>
          <w:sz w:val="19"/>
        </w:rPr>
        <w:t xml:space="preserve"> The single pivot of the week: on 8 July Trump declared the Iran ceasefire over, the US revoked the waiver on new Iranian oil sales, WTI spiked &gt;$76 and Brent brushed $80 (Citi: +8–9%). That reversed the prior week's oil round-trip and drove a broad DM bond selloff (US 2y +8bp, UK/Germany 2y ~+15bp, European breakevens widening — Barclays). Corroborated across Nomura (Nikkei fell below 66,000 then recovered; every $10 oil crimps TOPIX EPS ~1.0–1.25%), Citi and MS (Hormuz weekly tracker #101). What breaks it: a fresh, durable ceasefire (oil back to ~$70, dovish re-repricing) or, the other way, a Hormuz disruption that takes oil decisively through $85. </w:t>
      </w:r>
      <w:r>
        <w:rPr>
          <w:rFonts w:ascii="Public Sans" w:hAnsi="Public Sans"/>
          <w:b w:val="0"/>
          <w:i/>
          <w:color w:val="3D3E3E"/>
          <w:sz w:val="19"/>
        </w:rPr>
        <w:t>Sources: 17078, 17115, 17170, 17203, 17103.</w:t>
      </w:r>
    </w:p>
    <w:p>
      <w:pPr>
        <w:spacing w:after="80" w:line="283" w:lineRule="auto"/>
      </w:pPr>
      <w:r>
        <w:rPr>
          <w:rFonts w:ascii="Public Sans" w:hAnsi="Public Sans"/>
          <w:b/>
          <w:i w:val="0"/>
          <w:color w:val="3D3E3E"/>
          <w:sz w:val="19"/>
        </w:rPr>
        <w:t>2. Resilience vs "the doubt" — and the CPI that adjudicates.</w:t>
      </w:r>
      <w:r>
        <w:rPr>
          <w:rFonts w:ascii="Public Sans" w:hAnsi="Public Sans"/>
          <w:b w:val="0"/>
          <w:i w:val="0"/>
          <w:color w:val="3D3E3E"/>
          <w:sz w:val="19"/>
        </w:rPr>
        <w:t xml:space="preserve"> The US data kept "keeping on ticking" (JPM): FOMC </w:t>
      </w:r>
      <w:r>
        <w:rPr>
          <w:rFonts w:ascii="Public Sans" w:hAnsi="Public Sans"/>
          <w:b w:val="0"/>
          <w:i/>
          <w:color w:val="3D3E3E"/>
          <w:sz w:val="19"/>
        </w:rPr>
        <w:t>held</w:t>
      </w:r>
      <w:r>
        <w:rPr>
          <w:rFonts w:ascii="Public Sans" w:hAnsi="Public Sans"/>
          <w:b w:val="0"/>
          <w:i w:val="0"/>
          <w:color w:val="3D3E3E"/>
          <w:sz w:val="19"/>
        </w:rPr>
        <w:t xml:space="preserve"> in June with upside inflation risks flagged and downside labour risks abated; initial claims 215k, ISM services 54.0, existing home sales the only soft spot. Barclays pays 5y5y on resilience and a structural "bond glut"; Nomura forecasts benign June core CPI (~0.215% m/m, y/y core 2.9%, core PCE 3.4%) and </w:t>
      </w:r>
      <w:r>
        <w:rPr>
          <w:rFonts w:ascii="Public Sans" w:hAnsi="Public Sans"/>
          <w:b/>
          <w:i w:val="0"/>
          <w:color w:val="3D3E3E"/>
          <w:sz w:val="19"/>
        </w:rPr>
        <w:t>no hikes through 2027</w:t>
      </w:r>
      <w:r>
        <w:rPr>
          <w:rFonts w:ascii="Public Sans" w:hAnsi="Public Sans"/>
          <w:b w:val="0"/>
          <w:i w:val="0"/>
          <w:color w:val="3D3E3E"/>
          <w:sz w:val="19"/>
        </w:rPr>
        <w:t xml:space="preserve">. The split is </w:t>
      </w:r>
      <w:r>
        <w:rPr>
          <w:rFonts w:ascii="Public Sans" w:hAnsi="Public Sans"/>
          <w:b w:val="0"/>
          <w:i/>
          <w:color w:val="3D3E3E"/>
          <w:sz w:val="19"/>
        </w:rPr>
        <w:t>how sticky hike-pricing is</w:t>
      </w:r>
      <w:r>
        <w:rPr>
          <w:rFonts w:ascii="Public Sans" w:hAnsi="Public Sans"/>
          <w:b w:val="0"/>
          <w:i w:val="0"/>
          <w:color w:val="3D3E3E"/>
          <w:sz w:val="19"/>
        </w:rPr>
        <w:t xml:space="preserve">, not direction — and the </w:t>
      </w:r>
      <w:r>
        <w:rPr>
          <w:rFonts w:ascii="Public Sans" w:hAnsi="Public Sans"/>
          <w:b/>
          <w:i w:val="0"/>
          <w:color w:val="3D3E3E"/>
          <w:sz w:val="19"/>
        </w:rPr>
        <w:t>14 July CPI + Warsh's first testimony</w:t>
      </w:r>
      <w:r>
        <w:rPr>
          <w:rFonts w:ascii="Public Sans" w:hAnsi="Public Sans"/>
          <w:b w:val="0"/>
          <w:i w:val="0"/>
          <w:color w:val="3D3E3E"/>
          <w:sz w:val="19"/>
        </w:rPr>
        <w:t xml:space="preserve"> settle it. What breaks it: a hot core (&gt;0.3% m/m) reopens the June hike-pivot premium; a soft print revives the cut debate. </w:t>
      </w:r>
      <w:r>
        <w:rPr>
          <w:rFonts w:ascii="Public Sans" w:hAnsi="Public Sans"/>
          <w:b w:val="0"/>
          <w:i/>
          <w:color w:val="3D3E3E"/>
          <w:sz w:val="19"/>
        </w:rPr>
        <w:t>Sources: 17602, 17555, 17115, 16129.</w:t>
      </w:r>
    </w:p>
    <w:p>
      <w:pPr>
        <w:spacing w:after="80" w:line="283" w:lineRule="auto"/>
      </w:pPr>
      <w:r>
        <w:rPr>
          <w:rFonts w:ascii="Public Sans" w:hAnsi="Public Sans"/>
          <w:b/>
          <w:i w:val="0"/>
          <w:color w:val="3D3E3E"/>
          <w:sz w:val="19"/>
        </w:rPr>
        <w:t>3. Behind-the-curve BoJ meets a fiscal premium that *cooled*.</w:t>
      </w:r>
      <w:r>
        <w:rPr>
          <w:rFonts w:ascii="Public Sans" w:hAnsi="Public Sans"/>
          <w:b w:val="0"/>
          <w:i w:val="0"/>
          <w:color w:val="3D3E3E"/>
          <w:sz w:val="19"/>
        </w:rPr>
        <w:t xml:space="preserve"> Japan's data still says hike (bank lending +5.7% y/y, real lending rates negative, Tankan capex firm, machinery orders AI-driven), but this week the JGB curve </w:t>
      </w:r>
      <w:r>
        <w:rPr>
          <w:rFonts w:ascii="Public Sans" w:hAnsi="Public Sans"/>
          <w:b w:val="0"/>
          <w:i/>
          <w:color w:val="3D3E3E"/>
          <w:sz w:val="19"/>
        </w:rPr>
        <w:t>rallied</w:t>
      </w:r>
      <w:r>
        <w:rPr>
          <w:rFonts w:ascii="Public Sans" w:hAnsi="Public Sans"/>
          <w:b w:val="0"/>
          <w:i w:val="0"/>
          <w:color w:val="3D3E3E"/>
          <w:sz w:val="19"/>
        </w:rPr>
        <w:t xml:space="preserve"> (10y OIS −6bp) because the Takaichi food consumption-tax cut was </w:t>
      </w:r>
      <w:r>
        <w:rPr>
          <w:rFonts w:ascii="Public Sans" w:hAnsi="Public Sans"/>
          <w:b/>
          <w:i w:val="0"/>
          <w:color w:val="3D3E3E"/>
          <w:sz w:val="19"/>
        </w:rPr>
        <w:t>delayed</w:t>
      </w:r>
      <w:r>
        <w:rPr>
          <w:rFonts w:ascii="Public Sans" w:hAnsi="Public Sans"/>
          <w:b w:val="0"/>
          <w:i w:val="0"/>
          <w:color w:val="3D3E3E"/>
          <w:sz w:val="19"/>
        </w:rPr>
        <w:t xml:space="preserve"> (no opposition consensus) while the growth-investment framework and supplementary-budget incorporation stayed. GPIF's FY25 results show rebalancing </w:t>
      </w:r>
      <w:r>
        <w:rPr>
          <w:rFonts w:ascii="Public Sans" w:hAnsi="Public Sans"/>
          <w:b w:val="0"/>
          <w:i/>
          <w:color w:val="3D3E3E"/>
          <w:sz w:val="19"/>
        </w:rPr>
        <w:t>into</w:t>
      </w:r>
      <w:r>
        <w:rPr>
          <w:rFonts w:ascii="Public Sans" w:hAnsi="Public Sans"/>
          <w:b w:val="0"/>
          <w:i w:val="0"/>
          <w:color w:val="3D3E3E"/>
          <w:sz w:val="19"/>
        </w:rPr>
        <w:t xml:space="preserve"> JGBs from equities (Barclays), a structural bid. The live risk is the mid-July Cabinet approval of the Basic Policy: lax final wording re-ignites the term premium. What breaks it: a credible funded plan (yields lower) vs a no-discipline signal (super-long re-sells). </w:t>
      </w:r>
      <w:r>
        <w:rPr>
          <w:rFonts w:ascii="Public Sans" w:hAnsi="Public Sans"/>
          <w:b w:val="0"/>
          <w:i/>
          <w:color w:val="3D3E3E"/>
          <w:sz w:val="19"/>
        </w:rPr>
        <w:t>Sources: 17209, 17115, 17078, 17502.</w:t>
      </w:r>
    </w:p>
    <w:p>
      <w:pPr>
        <w:spacing w:after="80" w:line="283" w:lineRule="auto"/>
      </w:pPr>
      <w:r>
        <w:rPr>
          <w:rFonts w:ascii="Public Sans" w:hAnsi="Public Sans"/>
          <w:b/>
          <w:i w:val="0"/>
          <w:color w:val="3D3E3E"/>
          <w:sz w:val="19"/>
        </w:rPr>
        <w:t>4. The North-Asia AI/semiconductor cycle is still the connective tissue — but wobbling.</w:t>
      </w:r>
      <w:r>
        <w:rPr>
          <w:rFonts w:ascii="Public Sans" w:hAnsi="Public Sans"/>
          <w:b w:val="0"/>
          <w:i w:val="0"/>
          <w:color w:val="3D3E3E"/>
          <w:sz w:val="19"/>
        </w:rPr>
        <w:t xml:space="preserve"> Hong Kong's HSTECH +6.0% and MSCI Singapore +5.6% are the region's China/semis beta; the cycle drives HK, SG, KR and TW together. But MS ("semis lose momentum") and Nomura (active Japanese funds de-beta-ing, "correcting the AI/semiconductor skew" ahead of Apr–Jun earnings) both flag a stall. It is a </w:t>
      </w:r>
      <w:r>
        <w:rPr>
          <w:rFonts w:ascii="Public Sans" w:hAnsi="Public Sans"/>
          <w:b w:val="0"/>
          <w:i/>
          <w:color w:val="3D3E3E"/>
          <w:sz w:val="19"/>
        </w:rPr>
        <w:t>price/nominal</w:t>
      </w:r>
      <w:r>
        <w:rPr>
          <w:rFonts w:ascii="Public Sans" w:hAnsi="Public Sans"/>
          <w:b w:val="0"/>
          <w:i w:val="0"/>
          <w:color w:val="3D3E3E"/>
          <w:sz w:val="19"/>
        </w:rPr>
        <w:t xml:space="preserve"> effect as much as volume. The arbiter is </w:t>
      </w:r>
      <w:r>
        <w:rPr>
          <w:rFonts w:ascii="Public Sans" w:hAnsi="Public Sans"/>
          <w:b/>
          <w:i w:val="0"/>
          <w:color w:val="3D3E3E"/>
          <w:sz w:val="19"/>
        </w:rPr>
        <w:t>US Q2 earnings, now starting</w:t>
      </w:r>
      <w:r>
        <w:rPr>
          <w:rFonts w:ascii="Public Sans" w:hAnsi="Public Sans"/>
          <w:b w:val="0"/>
          <w:i w:val="0"/>
          <w:color w:val="3D3E3E"/>
          <w:sz w:val="19"/>
        </w:rPr>
        <w:t xml:space="preserve">. Shared falsifier for the whole complex: a semis rollover. </w:t>
      </w:r>
      <w:r>
        <w:rPr>
          <w:rFonts w:ascii="Public Sans" w:hAnsi="Public Sans"/>
          <w:b w:val="0"/>
          <w:i/>
          <w:color w:val="3D3E3E"/>
          <w:sz w:val="19"/>
        </w:rPr>
        <w:t>Sources: 17355, 17078, 15763.</w:t>
      </w:r>
    </w:p>
    <w:p>
      <w:pPr>
        <w:spacing w:after="80" w:line="283" w:lineRule="auto"/>
      </w:pPr>
      <w:r>
        <w:rPr>
          <w:rFonts w:ascii="Public Sans" w:hAnsi="Public Sans"/>
          <w:b/>
          <w:i w:val="0"/>
          <w:color w:val="3D3E3E"/>
          <w:sz w:val="19"/>
        </w:rPr>
        <w:t>5. EM-Asia's oil-shock barbell hardens (North surplus vs South twin-deficit).</w:t>
      </w:r>
      <w:r>
        <w:rPr>
          <w:rFonts w:ascii="Public Sans" w:hAnsi="Public Sans"/>
          <w:b w:val="0"/>
          <w:i w:val="0"/>
          <w:color w:val="3D3E3E"/>
          <w:sz w:val="19"/>
        </w:rPr>
        <w:t xml:space="preserve"> DB's "Challenges for H2" frames it: the tech cycle drives divergence </w:t>
      </w:r>
      <w:r>
        <w:rPr>
          <w:rFonts w:ascii="Public Sans" w:hAnsi="Public Sans"/>
          <w:b w:val="0"/>
          <w:i/>
          <w:color w:val="3D3E3E"/>
          <w:sz w:val="19"/>
        </w:rPr>
        <w:t>between</w:t>
      </w:r>
      <w:r>
        <w:rPr>
          <w:rFonts w:ascii="Public Sans" w:hAnsi="Public Sans"/>
          <w:b w:val="0"/>
          <w:i w:val="0"/>
          <w:color w:val="3D3E3E"/>
          <w:sz w:val="19"/>
        </w:rPr>
        <w:t xml:space="preserve"> (North vs South) and </w:t>
      </w:r>
      <w:r>
        <w:rPr>
          <w:rFonts w:ascii="Public Sans" w:hAnsi="Public Sans"/>
          <w:b w:val="0"/>
          <w:i/>
          <w:color w:val="3D3E3E"/>
          <w:sz w:val="19"/>
        </w:rPr>
        <w:t>within</w:t>
      </w:r>
      <w:r>
        <w:rPr>
          <w:rFonts w:ascii="Public Sans" w:hAnsi="Public Sans"/>
          <w:b w:val="0"/>
          <w:i w:val="0"/>
          <w:color w:val="3D3E3E"/>
          <w:sz w:val="19"/>
        </w:rPr>
        <w:t xml:space="preserve"> (K-shaped) economies. Strained importers — </w:t>
      </w:r>
      <w:r>
        <w:rPr>
          <w:rFonts w:ascii="Public Sans" w:hAnsi="Public Sans"/>
          <w:b/>
          <w:i w:val="0"/>
          <w:color w:val="3D3E3E"/>
          <w:sz w:val="19"/>
        </w:rPr>
        <w:t>Philippines</w:t>
      </w:r>
      <w:r>
        <w:rPr>
          <w:rFonts w:ascii="Public Sans" w:hAnsi="Public Sans"/>
          <w:b w:val="0"/>
          <w:i w:val="0"/>
          <w:color w:val="3D3E3E"/>
          <w:sz w:val="19"/>
        </w:rPr>
        <w:t xml:space="preserve"> (core to 4.4%, +25 August likely), </w:t>
      </w:r>
      <w:r>
        <w:rPr>
          <w:rFonts w:ascii="Public Sans" w:hAnsi="Public Sans"/>
          <w:b/>
          <w:i w:val="0"/>
          <w:color w:val="3D3E3E"/>
          <w:sz w:val="19"/>
        </w:rPr>
        <w:t>Indonesia</w:t>
      </w:r>
      <w:r>
        <w:rPr>
          <w:rFonts w:ascii="Public Sans" w:hAnsi="Public Sans"/>
          <w:b w:val="0"/>
          <w:i w:val="0"/>
          <w:color w:val="3D3E3E"/>
          <w:sz w:val="19"/>
        </w:rPr>
        <w:t xml:space="preserve"> (deficit to 2.85%, softest FX), </w:t>
      </w:r>
      <w:r>
        <w:rPr>
          <w:rFonts w:ascii="Public Sans" w:hAnsi="Public Sans"/>
          <w:b/>
          <w:i w:val="0"/>
          <w:color w:val="3D3E3E"/>
          <w:sz w:val="19"/>
        </w:rPr>
        <w:t>Thailand</w:t>
      </w:r>
      <w:r>
        <w:rPr>
          <w:rFonts w:ascii="Public Sans" w:hAnsi="Public Sans"/>
          <w:b w:val="0"/>
          <w:i w:val="0"/>
          <w:color w:val="3D3E3E"/>
          <w:sz w:val="19"/>
        </w:rPr>
        <w:t xml:space="preserve"> (basic BoP turning) — fight oil with rates or FX; surplus/tech winners — </w:t>
      </w:r>
      <w:r>
        <w:rPr>
          <w:rFonts w:ascii="Public Sans" w:hAnsi="Public Sans"/>
          <w:b/>
          <w:i w:val="0"/>
          <w:color w:val="3D3E3E"/>
          <w:sz w:val="19"/>
        </w:rPr>
        <w:t>Malaysia</w:t>
      </w:r>
      <w:r>
        <w:rPr>
          <w:rFonts w:ascii="Public Sans" w:hAnsi="Public Sans"/>
          <w:b w:val="0"/>
          <w:i w:val="0"/>
          <w:color w:val="3D3E3E"/>
          <w:sz w:val="19"/>
        </w:rPr>
        <w:t xml:space="preserve"> (BNM on hold, stronger-MYR bias), </w:t>
      </w:r>
      <w:r>
        <w:rPr>
          <w:rFonts w:ascii="Public Sans" w:hAnsi="Public Sans"/>
          <w:b/>
          <w:i w:val="0"/>
          <w:color w:val="3D3E3E"/>
          <w:sz w:val="19"/>
        </w:rPr>
        <w:t>Singapore</w:t>
      </w:r>
      <w:r>
        <w:rPr>
          <w:rFonts w:ascii="Public Sans" w:hAnsi="Public Sans"/>
          <w:b w:val="0"/>
          <w:i w:val="0"/>
          <w:color w:val="3D3E3E"/>
          <w:sz w:val="19"/>
        </w:rPr>
        <w:t xml:space="preserve"> (tech-led GDP) — run calm policy. Positioning has turned received across INR/KRW/SGD/TWD; the sharp two-desk split is IndoGB (Citi long-end constructive vs DB sidelined). </w:t>
      </w:r>
      <w:r>
        <w:rPr>
          <w:rFonts w:ascii="Public Sans" w:hAnsi="Public Sans"/>
          <w:b w:val="0"/>
          <w:i/>
          <w:color w:val="3D3E3E"/>
          <w:sz w:val="19"/>
        </w:rPr>
        <w:t>Sources: 17174, 17203, 17291, 17170.</w:t>
      </w:r>
    </w:p>
    <w:p>
      <w:pPr>
        <w:spacing w:after="80" w:line="283" w:lineRule="auto"/>
      </w:pPr>
      <w:r>
        <w:rPr>
          <w:rFonts w:ascii="Public Sans" w:hAnsi="Public Sans"/>
          <w:b/>
          <w:i w:val="0"/>
          <w:color w:val="3D3E3E"/>
          <w:sz w:val="19"/>
        </w:rPr>
        <w:t>6. India — "summer of hope" vs an oil re-spike and a rising CPI.</w:t>
      </w:r>
      <w:r>
        <w:rPr>
          <w:rFonts w:ascii="Public Sans" w:hAnsi="Public Sans"/>
          <w:b w:val="0"/>
          <w:i w:val="0"/>
          <w:color w:val="3D3E3E"/>
          <w:sz w:val="19"/>
        </w:rPr>
        <w:t xml:space="preserve"> HSBC turned broadly constructive (FX package ~$65bn inflows, +INR6tr liquidity, FY27 GDP raised to 6.3%, buy IGB 15y / sell USD-INR) on the premise of </w:t>
      </w:r>
      <w:r>
        <w:rPr>
          <w:rFonts w:ascii="Public Sans" w:hAnsi="Public Sans"/>
          <w:b w:val="0"/>
          <w:i/>
          <w:color w:val="3D3E3E"/>
          <w:sz w:val="19"/>
        </w:rPr>
        <w:t>lower oil</w:t>
      </w:r>
      <w:r>
        <w:rPr>
          <w:rFonts w:ascii="Public Sans" w:hAnsi="Public Sans"/>
          <w:b w:val="0"/>
          <w:i w:val="0"/>
          <w:color w:val="3D3E3E"/>
          <w:sz w:val="19"/>
        </w:rPr>
        <w:t xml:space="preserve"> and eased financial conditions. Two days later the ceasefire broke and oil re-spiked; DB is more cautious (June CPI ~4.16%, FY27 CPI 4.9%, monsoon 15% below normal, "inflation risks higher than growth"). The June CPI (today) and the pace of promised inflows gate the complex. </w:t>
      </w:r>
      <w:r>
        <w:rPr>
          <w:rFonts w:ascii="Public Sans" w:hAnsi="Public Sans"/>
          <w:b w:val="0"/>
          <w:i/>
          <w:color w:val="3D3E3E"/>
          <w:sz w:val="19"/>
        </w:rPr>
        <w:t>Sources: 16316, 16948, 17386.</w:t>
      </w:r>
    </w:p>
    <w:p>
      <w:pPr>
        <w:spacing w:after="80" w:line="283" w:lineRule="auto"/>
      </w:pPr>
      <w:r>
        <w:rPr>
          <w:rFonts w:ascii="Public Sans" w:hAnsi="Public Sans"/>
          <w:b/>
          <w:i w:val="0"/>
          <w:color w:val="3D3E3E"/>
          <w:sz w:val="19"/>
        </w:rPr>
        <w:t>7. The DM curve back-up and the "bond glut."</w:t>
      </w:r>
      <w:r>
        <w:rPr>
          <w:rFonts w:ascii="Public Sans" w:hAnsi="Public Sans"/>
          <w:b w:val="0"/>
          <w:i w:val="0"/>
          <w:color w:val="3D3E3E"/>
          <w:sz w:val="19"/>
        </w:rPr>
        <w:t xml:space="preserve"> Barclays' structural thesis — persistent fiscal deficits + a price-sensitive buyer base shift the balance "from a global savings glut to a bond glut," pointing to higher long yields, amplified in the US by a Fed balance-sheet review that keeps ample reserves but accelerates portfolio-duration reduction (~60bp of suppressed term premium at risk). This week's synchronous DM sell-off (US/UK/CA/NZ all +7–15bp) is the cyclical expression of a structural story; JGBs are the standout counter-move. </w:t>
      </w:r>
      <w:r>
        <w:rPr>
          <w:rFonts w:ascii="Public Sans" w:hAnsi="Public Sans"/>
          <w:b w:val="0"/>
          <w:i/>
          <w:color w:val="3D3E3E"/>
          <w:sz w:val="19"/>
        </w:rPr>
        <w:t>Sources: 17115, 17578, 17425.</w:t>
      </w:r>
    </w:p>
    <w:p>
      <w:pPr>
        <w:spacing w:after="80" w:line="283" w:lineRule="auto"/>
      </w:pPr>
      <w:r>
        <w:rPr>
          <w:rFonts w:ascii="Public Sans" w:hAnsi="Public Sans"/>
          <w:b/>
          <w:i w:val="0"/>
          <w:color w:val="3D3E3E"/>
          <w:sz w:val="19"/>
        </w:rPr>
        <w:t>8. The calendar wall — a fortnight of live decisions.</w:t>
      </w:r>
      <w:r>
        <w:rPr>
          <w:rFonts w:ascii="Public Sans" w:hAnsi="Public Sans"/>
          <w:b w:val="0"/>
          <w:i w:val="0"/>
          <w:color w:val="3D3E3E"/>
          <w:sz w:val="19"/>
        </w:rPr>
        <w:t xml:space="preserve"> US CPI + MAS + SG GDP (14 Jul), BoC (15 Jul), BoK 25-vs-50 (16 Jul), BI (22 Jul), then AU Q2 CPI + FOMC (29 Jul), BoE (30 Jul), BoJ (31 Jul). Several are coin-flips (MAS steepen-vs-pause, BoK 25-vs-50); two are cycle-deciders (US CPI for the Fed, AU CPI for the RBA). Positioning into a wall this dense is itself the risk. </w:t>
      </w:r>
      <w:r>
        <w:rPr>
          <w:rFonts w:ascii="Public Sans" w:hAnsi="Public Sans"/>
          <w:b w:val="0"/>
          <w:i/>
          <w:color w:val="3D3E3E"/>
          <w:sz w:val="19"/>
        </w:rPr>
        <w:t>Sources: cb_events; 16797, 17259.</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The week's key tensions (cross-universe judging preview)</w:t>
      </w:r>
    </w:p>
    <w:p>
      <w:pPr>
        <w:spacing w:after="80" w:line="283" w:lineRule="auto"/>
      </w:pPr>
      <w:r>
        <w:rPr>
          <w:rFonts w:ascii="Public Sans" w:hAnsi="Public Sans"/>
          <w:b w:val="0"/>
          <w:i/>
          <w:color w:val="3D3E3E"/>
          <w:sz w:val="19"/>
        </w:rPr>
        <w:t xml:space="preserve">(Sections above carry </w:t>
      </w:r>
      <w:r>
        <w:rPr>
          <w:rFonts w:ascii="Public Sans" w:hAnsi="Public Sans"/>
          <w:b w:val="0"/>
          <w:i/>
          <w:color w:val="3D3E3E"/>
          <w:sz w:val="19"/>
        </w:rPr>
        <w:t>bucket ①, the week that was</w:t>
      </w:r>
      <w:r>
        <w:rPr>
          <w:rFonts w:ascii="Public Sans" w:hAnsi="Public Sans"/>
          <w:b w:val="0"/>
          <w:i/>
          <w:color w:val="3D3E3E"/>
          <w:sz w:val="19"/>
        </w:rPr>
        <w:t xml:space="preserve">. Sections below carry </w:t>
      </w:r>
      <w:r>
        <w:rPr>
          <w:rFonts w:ascii="Public Sans" w:hAnsi="Public Sans"/>
          <w:b w:val="0"/>
          <w:i/>
          <w:color w:val="3D3E3E"/>
          <w:sz w:val="19"/>
        </w:rPr>
        <w:t>② this week</w:t>
      </w:r>
      <w:r>
        <w:rPr>
          <w:rFonts w:ascii="Public Sans" w:hAnsi="Public Sans"/>
          <w:b w:val="0"/>
          <w:i/>
          <w:color w:val="3D3E3E"/>
          <w:sz w:val="19"/>
        </w:rPr>
        <w:t xml:space="preserve"> and </w:t>
      </w:r>
      <w:r>
        <w:rPr>
          <w:rFonts w:ascii="Public Sans" w:hAnsi="Public Sans"/>
          <w:b w:val="0"/>
          <w:i/>
          <w:color w:val="3D3E3E"/>
          <w:sz w:val="19"/>
        </w:rPr>
        <w:t>③ the week ahead</w:t>
      </w:r>
      <w:r>
        <w:rPr>
          <w:rFonts w:ascii="Public Sans" w:hAnsi="Public Sans"/>
          <w:b w:val="0"/>
          <w:i/>
          <w:color w:val="3D3E3E"/>
          <w:sz w:val="19"/>
        </w:rPr>
        <w:t>.)</w:t>
      </w:r>
    </w:p>
    <w:p>
      <w:pPr>
        <w:spacing w:after="80" w:line="283" w:lineRule="auto"/>
      </w:pPr>
      <w:r>
        <w:rPr>
          <w:rFonts w:ascii="Public Sans" w:hAnsi="Public Sans"/>
          <w:b w:val="0"/>
          <w:i w:val="0"/>
          <w:color w:val="3D3E3E"/>
          <w:sz w:val="19"/>
        </w:rPr>
        <w:t xml:space="preserve">1. </w:t>
      </w:r>
      <w:r>
        <w:rPr>
          <w:rFonts w:ascii="Public Sans" w:hAnsi="Public Sans"/>
          <w:b/>
          <w:i w:val="0"/>
          <w:color w:val="3D3E3E"/>
          <w:sz w:val="19"/>
        </w:rPr>
        <w:t>US: hike-pricing "sticky" vs "revised away."</w:t>
      </w:r>
      <w:r>
        <w:rPr>
          <w:rFonts w:ascii="Public Sans" w:hAnsi="Public Sans"/>
          <w:b w:val="0"/>
          <w:i w:val="0"/>
          <w:color w:val="3D3E3E"/>
          <w:sz w:val="19"/>
        </w:rPr>
        <w:t xml:space="preserve"> Barclays pays 5y5y (resilience, sticky hikes); Nomura sees no hikes through 2027 (benign core CPI). </w:t>
      </w:r>
      <w:r>
        <w:rPr>
          <w:rFonts w:ascii="Public Sans" w:hAnsi="Public Sans"/>
          <w:b/>
          <w:i w:val="0"/>
          <w:color w:val="3D3E3E"/>
          <w:sz w:val="19"/>
        </w:rPr>
        <w:t>Assessment — resilience is Solid</w:t>
      </w:r>
      <w:r>
        <w:rPr>
          <w:rFonts w:ascii="Public Sans" w:hAnsi="Public Sans"/>
          <w:b w:val="0"/>
          <w:i w:val="0"/>
          <w:color w:val="3D3E3E"/>
          <w:sz w:val="19"/>
        </w:rPr>
        <w:t xml:space="preserve"> (claims 215k, ISM 54.0, FOMC held with upside-risk language); </w:t>
      </w:r>
      <w:r>
        <w:rPr>
          <w:rFonts w:ascii="Public Sans" w:hAnsi="Public Sans"/>
          <w:b/>
          <w:i w:val="0"/>
          <w:color w:val="3D3E3E"/>
          <w:sz w:val="19"/>
        </w:rPr>
        <w:t>the *direction* of the next move is Live</w:t>
      </w:r>
      <w:r>
        <w:rPr>
          <w:rFonts w:ascii="Public Sans" w:hAnsi="Public Sans"/>
          <w:b w:val="0"/>
          <w:i w:val="0"/>
          <w:color w:val="3D3E3E"/>
          <w:sz w:val="19"/>
        </w:rPr>
        <w:t xml:space="preserve"> and the 14 Jul core CPI is the sole adjudicator. Barclays' 5y5y is the cleaner expression than an outright directional bet.</w:t>
      </w:r>
    </w:p>
    <w:p>
      <w:pPr>
        <w:spacing w:after="80" w:line="283" w:lineRule="auto"/>
      </w:pPr>
      <w:r>
        <w:rPr>
          <w:rFonts w:ascii="Public Sans" w:hAnsi="Public Sans"/>
          <w:b w:val="0"/>
          <w:i w:val="0"/>
          <w:color w:val="3D3E3E"/>
          <w:sz w:val="19"/>
        </w:rPr>
        <w:t xml:space="preserve">2. </w:t>
      </w:r>
      <w:r>
        <w:rPr>
          <w:rFonts w:ascii="Public Sans" w:hAnsi="Public Sans"/>
          <w:b/>
          <w:i w:val="0"/>
          <w:color w:val="3D3E3E"/>
          <w:sz w:val="19"/>
        </w:rPr>
        <w:t>Japan: hike-story vs a fiscal premium that just cooled.</w:t>
      </w:r>
      <w:r>
        <w:rPr>
          <w:rFonts w:ascii="Public Sans" w:hAnsi="Public Sans"/>
          <w:b w:val="0"/>
          <w:i w:val="0"/>
          <w:color w:val="3D3E3E"/>
          <w:sz w:val="19"/>
        </w:rPr>
        <w:t xml:space="preserve"> </w:t>
      </w:r>
      <w:r>
        <w:rPr>
          <w:rFonts w:ascii="Public Sans" w:hAnsi="Public Sans"/>
          <w:b/>
          <w:i w:val="0"/>
          <w:color w:val="3D3E3E"/>
          <w:sz w:val="19"/>
        </w:rPr>
        <w:t>Assessment — the data-hike case is Solid</w:t>
      </w:r>
      <w:r>
        <w:rPr>
          <w:rFonts w:ascii="Public Sans" w:hAnsi="Public Sans"/>
          <w:b w:val="0"/>
          <w:i w:val="0"/>
          <w:color w:val="3D3E3E"/>
          <w:sz w:val="19"/>
        </w:rPr>
        <w:t xml:space="preserve"> (lending, capex, wages) but </w:t>
      </w:r>
      <w:r>
        <w:rPr>
          <w:rFonts w:ascii="Public Sans" w:hAnsi="Public Sans"/>
          <w:b/>
          <w:i w:val="0"/>
          <w:color w:val="3D3E3E"/>
          <w:sz w:val="19"/>
        </w:rPr>
        <w:t>the fiscal-premium fade is the more actionable read this week</w:t>
      </w:r>
      <w:r>
        <w:rPr>
          <w:rFonts w:ascii="Public Sans" w:hAnsi="Public Sans"/>
          <w:b w:val="0"/>
          <w:i w:val="0"/>
          <w:color w:val="3D3E3E"/>
          <w:sz w:val="19"/>
        </w:rPr>
        <w:t xml:space="preserve"> (10y OIS −6bp on the tax-cut delay). The tension resolves at the mid-July Cabinet approval; own the 5y as the cleaner inflation-fade, respect the super-long as the fiscal risk.</w:t>
      </w:r>
    </w:p>
    <w:p>
      <w:pPr>
        <w:spacing w:after="80" w:line="283" w:lineRule="auto"/>
      </w:pPr>
      <w:r>
        <w:rPr>
          <w:rFonts w:ascii="Public Sans" w:hAnsi="Public Sans"/>
          <w:b w:val="0"/>
          <w:i w:val="0"/>
          <w:color w:val="3D3E3E"/>
          <w:sz w:val="19"/>
        </w:rPr>
        <w:t xml:space="preserve">3. </w:t>
      </w:r>
      <w:r>
        <w:rPr>
          <w:rFonts w:ascii="Public Sans" w:hAnsi="Public Sans"/>
          <w:b/>
          <w:i w:val="0"/>
          <w:color w:val="3D3E3E"/>
          <w:sz w:val="19"/>
        </w:rPr>
        <w:t>Indonesia: Citi long-end IndoGB constructive vs DB sidelined.</w:t>
      </w:r>
      <w:r>
        <w:rPr>
          <w:rFonts w:ascii="Public Sans" w:hAnsi="Public Sans"/>
          <w:b w:val="0"/>
          <w:i w:val="0"/>
          <w:color w:val="3D3E3E"/>
          <w:sz w:val="19"/>
        </w:rPr>
        <w:t xml:space="preserve"> </w:t>
      </w:r>
      <w:r>
        <w:rPr>
          <w:rFonts w:ascii="Public Sans" w:hAnsi="Public Sans"/>
          <w:b/>
          <w:i w:val="0"/>
          <w:color w:val="3D3E3E"/>
          <w:sz w:val="19"/>
        </w:rPr>
        <w:t>Assessment — Live and unusually clean.</w:t>
      </w:r>
      <w:r>
        <w:rPr>
          <w:rFonts w:ascii="Public Sans" w:hAnsi="Public Sans"/>
          <w:b w:val="0"/>
          <w:i w:val="0"/>
          <w:color w:val="3D3E3E"/>
          <w:sz w:val="19"/>
        </w:rPr>
        <w:t xml:space="preserve"> Citi's "striving for stability" (BI pro-stability, fiscal buffer via MBG cut) is coherent; DB's caution rests on the deficit revision to 2.85% and oil sensitivity. The softest ASEAN FX (−0.5%) tilts the near-term risk to DB. </w:t>
      </w:r>
      <w:r>
        <w:rPr>
          <w:rFonts w:ascii="Public Sans" w:hAnsi="Public Sans"/>
          <w:b w:val="0"/>
          <w:i/>
          <w:color w:val="3D3E3E"/>
          <w:sz w:val="19"/>
        </w:rPr>
        <w:t>Instrument pending Deepak — express the FX leg, hold the rates instrument.</w:t>
      </w:r>
    </w:p>
    <w:p>
      <w:pPr>
        <w:spacing w:after="80" w:line="283" w:lineRule="auto"/>
      </w:pPr>
      <w:r>
        <w:rPr>
          <w:rFonts w:ascii="Public Sans" w:hAnsi="Public Sans"/>
          <w:b w:val="0"/>
          <w:i w:val="0"/>
          <w:color w:val="3D3E3E"/>
          <w:sz w:val="19"/>
        </w:rPr>
        <w:t xml:space="preserve">4. </w:t>
      </w:r>
      <w:r>
        <w:rPr>
          <w:rFonts w:ascii="Public Sans" w:hAnsi="Public Sans"/>
          <w:b/>
          <w:i w:val="0"/>
          <w:color w:val="3D3E3E"/>
          <w:sz w:val="19"/>
        </w:rPr>
        <w:t>India: HSBC "summer of hope" vs DB "uncertainty persists."</w:t>
      </w:r>
      <w:r>
        <w:rPr>
          <w:rFonts w:ascii="Public Sans" w:hAnsi="Public Sans"/>
          <w:b w:val="0"/>
          <w:i w:val="0"/>
          <w:color w:val="3D3E3E"/>
          <w:sz w:val="19"/>
        </w:rPr>
        <w:t xml:space="preserve"> </w:t>
      </w:r>
      <w:r>
        <w:rPr>
          <w:rFonts w:ascii="Public Sans" w:hAnsi="Public Sans"/>
          <w:b/>
          <w:i w:val="0"/>
          <w:color w:val="3D3E3E"/>
          <w:sz w:val="19"/>
        </w:rPr>
        <w:t>Assessment — HSBC's constructive call is Weak on timing</w:t>
      </w:r>
      <w:r>
        <w:rPr>
          <w:rFonts w:ascii="Public Sans" w:hAnsi="Public Sans"/>
          <w:b w:val="0"/>
          <w:i w:val="0"/>
          <w:color w:val="3D3E3E"/>
          <w:sz w:val="19"/>
        </w:rPr>
        <w:t xml:space="preserve"> — it was published on a </w:t>
      </w:r>
      <w:r>
        <w:rPr>
          <w:rFonts w:ascii="Public Sans" w:hAnsi="Public Sans"/>
          <w:b w:val="0"/>
          <w:i/>
          <w:color w:val="3D3E3E"/>
          <w:sz w:val="19"/>
        </w:rPr>
        <w:t>lower-oil</w:t>
      </w:r>
      <w:r>
        <w:rPr>
          <w:rFonts w:ascii="Public Sans" w:hAnsi="Public Sans"/>
          <w:b w:val="0"/>
          <w:i w:val="0"/>
          <w:color w:val="3D3E3E"/>
          <w:sz w:val="19"/>
        </w:rPr>
        <w:t xml:space="preserve"> premise the 8 Jul ceasefire break undercut, and the June CPI (today) is rising (~4.2%). The structural FX-package inflow story is Solid; the tactical entry into a re-spiking oil tape is not.</w:t>
      </w:r>
    </w:p>
    <w:p>
      <w:pPr>
        <w:spacing w:after="80" w:line="283" w:lineRule="auto"/>
      </w:pPr>
      <w:r>
        <w:rPr>
          <w:rFonts w:ascii="Public Sans" w:hAnsi="Public Sans"/>
          <w:b w:val="0"/>
          <w:i w:val="0"/>
          <w:color w:val="3D3E3E"/>
          <w:sz w:val="19"/>
        </w:rPr>
        <w:t xml:space="preserve">5. </w:t>
      </w:r>
      <w:r>
        <w:rPr>
          <w:rFonts w:ascii="Public Sans" w:hAnsi="Public Sans"/>
          <w:b/>
          <w:i w:val="0"/>
          <w:color w:val="3D3E3E"/>
          <w:sz w:val="19"/>
        </w:rPr>
        <w:t>BoK 16 July: 25 vs 50.</w:t>
      </w:r>
      <w:r>
        <w:rPr>
          <w:rFonts w:ascii="Public Sans" w:hAnsi="Public Sans"/>
          <w:b w:val="0"/>
          <w:i w:val="0"/>
          <w:color w:val="3D3E3E"/>
          <w:sz w:val="19"/>
        </w:rPr>
        <w:t xml:space="preserve"> </w:t>
      </w:r>
      <w:r>
        <w:rPr>
          <w:rFonts w:ascii="Public Sans" w:hAnsi="Public Sans"/>
          <w:b/>
          <w:i w:val="0"/>
          <w:color w:val="3D3E3E"/>
          <w:sz w:val="19"/>
        </w:rPr>
        <w:t>Assessment — +25 is the Solid base</w:t>
      </w:r>
      <w:r>
        <w:rPr>
          <w:rFonts w:ascii="Public Sans" w:hAnsi="Public Sans"/>
          <w:b w:val="0"/>
          <w:i w:val="0"/>
          <w:color w:val="3D3E3E"/>
          <w:sz w:val="19"/>
        </w:rPr>
        <w:t xml:space="preserve"> (Citi/Nomura, no dissent); a 50bp catch-up is Weak with the won already the week's strongest currency. Korea sits outside our roster but drives the North-Asia semis/rates complex — watch it, don't book it here.</w:t>
      </w:r>
    </w:p>
    <w:p>
      <w:pPr>
        <w:spacing w:after="80" w:line="283" w:lineRule="auto"/>
      </w:pPr>
      <w:r>
        <w:rPr>
          <w:rFonts w:ascii="Public Sans" w:hAnsi="Public Sans"/>
          <w:b w:val="0"/>
          <w:i w:val="0"/>
          <w:color w:val="3D3E3E"/>
          <w:sz w:val="19"/>
        </w:rPr>
        <w:t xml:space="preserve">6. </w:t>
      </w:r>
      <w:r>
        <w:rPr>
          <w:rFonts w:ascii="Public Sans" w:hAnsi="Public Sans"/>
          <w:b/>
          <w:i w:val="0"/>
          <w:color w:val="3D3E3E"/>
          <w:sz w:val="19"/>
        </w:rPr>
        <w:t>MAS 14 July: re-steepen vs pause.</w:t>
      </w:r>
      <w:r>
        <w:rPr>
          <w:rFonts w:ascii="Public Sans" w:hAnsi="Public Sans"/>
          <w:b w:val="0"/>
          <w:i w:val="0"/>
          <w:color w:val="3D3E3E"/>
          <w:sz w:val="19"/>
        </w:rPr>
        <w:t xml:space="preserve"> Citi still expects a July steepening (60% prior); Nomura/Barclays lean pause; a same-day 2Q GDP advance (~5.6%) decides. </w:t>
      </w:r>
      <w:r>
        <w:rPr>
          <w:rFonts w:ascii="Public Sans" w:hAnsi="Public Sans"/>
          <w:b/>
          <w:i w:val="0"/>
          <w:color w:val="3D3E3E"/>
          <w:sz w:val="19"/>
        </w:rPr>
        <w:t>Assessment — Live</w:t>
      </w:r>
      <w:r>
        <w:rPr>
          <w:rFonts w:ascii="Public Sans" w:hAnsi="Public Sans"/>
          <w:b w:val="0"/>
          <w:i w:val="0"/>
          <w:color w:val="3D3E3E"/>
          <w:sz w:val="19"/>
        </w:rPr>
        <w:t xml:space="preserve">; trade the SGD-NEER </w:t>
      </w:r>
      <w:r>
        <w:rPr>
          <w:rFonts w:ascii="Public Sans" w:hAnsi="Public Sans"/>
          <w:b w:val="0"/>
          <w:i/>
          <w:color w:val="3D3E3E"/>
          <w:sz w:val="19"/>
        </w:rPr>
        <w:t>slope</w:t>
      </w:r>
      <w:r>
        <w:rPr>
          <w:rFonts w:ascii="Public Sans" w:hAnsi="Public Sans"/>
          <w:b w:val="0"/>
          <w:i w:val="0"/>
          <w:color w:val="3D3E3E"/>
          <w:sz w:val="19"/>
        </w:rPr>
        <w:t>, not the binary.</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This week — estimates &amp; where the desks split (② 13–19 Jul, the cross-cut)</w:t>
      </w:r>
    </w:p>
    <w:p>
      <w:pPr>
        <w:spacing w:after="80" w:line="283" w:lineRule="auto"/>
      </w:pPr>
      <w:r>
        <w:rPr>
          <w:rFonts w:ascii="Public Sans" w:hAnsi="Public Sans"/>
          <w:b w:val="0"/>
          <w:i w:val="0"/>
          <w:color w:val="3D3E3E"/>
          <w:sz w:val="19"/>
        </w:rPr>
        <w:t>The heaviest bucket: the coming week's decision-grade events, with consensus, what's priced, the assumption each call rests on, and where the desks diverge.</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12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7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Date</w:t>
            </w:r>
          </w:p>
        </w:tc>
        <w:tc>
          <w:tcPr>
            <w:tcW w:type="dxa" w:w="23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16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What's priced</w:t>
            </w:r>
          </w:p>
        </w:tc>
        <w:tc>
          <w:tcPr>
            <w:tcW w:type="dxa" w:w="23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Key assumption</w:t>
            </w:r>
          </w:p>
        </w:tc>
        <w:tc>
          <w:tcPr>
            <w:tcW w:type="dxa" w:w="23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the desks differ &amp; why</w:t>
            </w:r>
          </w:p>
        </w:tc>
      </w:tr>
      <w:tr>
        <w:tc>
          <w:tcPr>
            <w:tcW w:type="dxa" w:w="12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India June CPI</w:t>
            </w:r>
          </w:p>
        </w:tc>
        <w:tc>
          <w:tcPr>
            <w:tcW w:type="dxa" w:w="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Mon 13 Jul</w:t>
            </w:r>
          </w:p>
        </w:tc>
        <w:tc>
          <w:tcPr>
            <w:tcW w:type="dxa" w:w="23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4.2% (Citi) / 4.3–4.4% (mkt); prior 3.93%</w:t>
            </w:r>
          </w:p>
        </w:tc>
        <w:tc>
          <w:tcPr>
            <w:tcW w:type="dxa" w:w="16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receivers leaning; MIBOR 10y −3bp WoW</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fuel + food pass-through lifts headline but core stays ~3.7%</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DB 4.16% (core 3.7%, gold-led personal-care drag) vs mkt 4.4%; soft feeds receivers, firm validates DB's inflation-risk caution</w:t>
            </w:r>
          </w:p>
        </w:tc>
      </w:tr>
      <w:tr>
        <w:tc>
          <w:tcPr>
            <w:tcW w:type="dxa" w:w="12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 June CPI</w:t>
            </w:r>
          </w:p>
        </w:tc>
        <w:tc>
          <w:tcPr>
            <w:tcW w:type="dxa" w:w="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Tue 14 Jul</w:t>
            </w:r>
          </w:p>
        </w:tc>
        <w:tc>
          <w:tcPr>
            <w:tcW w:type="dxa" w:w="23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2.9% y/y, 0.3% m/m; headline 3.9% y/y, −0.1% m/m</w:t>
            </w:r>
          </w:p>
        </w:tc>
        <w:tc>
          <w:tcPr>
            <w:tcW w:type="dxa" w:w="16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 prices a benign step-down</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tariff impulse waning, used-car + core-goods deflation</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Nomura 0.215% m/m core (benign, no-hike-2027) vs Barclays "hikes sticky, pay 5y5y"; </w:t>
            </w:r>
            <w:r>
              <w:rPr>
                <w:rFonts w:ascii="Public Sans" w:hAnsi="Public Sans"/>
                <w:b/>
                <w:i w:val="0"/>
                <w:color w:val="3D3E3E"/>
                <w:sz w:val="16"/>
              </w:rPr>
              <w:t>the hike-vs-hold adjudicator</w:t>
            </w:r>
          </w:p>
        </w:tc>
      </w:tr>
      <w:tr>
        <w:tc>
          <w:tcPr>
            <w:tcW w:type="dxa" w:w="12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Warsh testimony</w:t>
            </w:r>
          </w:p>
        </w:tc>
        <w:tc>
          <w:tcPr>
            <w:tcW w:type="dxa" w:w="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Tue–Wed 14–15 Jul</w:t>
            </w:r>
          </w:p>
        </w:tc>
        <w:tc>
          <w:tcPr>
            <w:tcW w:type="dxa" w:w="23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first semi-annual to House/Senate</w:t>
            </w:r>
          </w:p>
        </w:tc>
        <w:tc>
          <w:tcPr>
            <w:tcW w:type="dxa" w:w="16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little</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Warsh stresses price stability, defers to task forces</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"unlikely to break new ground"; risk is any signal on the framework review / forward-guidance de-emphasis</w:t>
            </w:r>
          </w:p>
        </w:tc>
      </w:tr>
      <w:tr>
        <w:tc>
          <w:tcPr>
            <w:tcW w:type="dxa" w:w="12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MAS review + SG 2Q GDP adv.</w:t>
            </w:r>
          </w:p>
        </w:tc>
        <w:tc>
          <w:tcPr>
            <w:tcW w:type="dxa" w:w="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Mon/Tue 14 Jul</w:t>
            </w:r>
          </w:p>
        </w:tc>
        <w:tc>
          <w:tcPr>
            <w:tcW w:type="dxa" w:w="23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GDP ~5.6% y/y (Citi), +1.3% q/q; MAS binary</w:t>
            </w:r>
          </w:p>
        </w:tc>
        <w:tc>
          <w:tcPr>
            <w:tcW w:type="dxa" w:w="16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close call</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tech-led output gap hands MAS a re-steepen case</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60% steepen vs Nomura/Barclays pause; trade the NEER slope</w:t>
            </w:r>
          </w:p>
        </w:tc>
      </w:tr>
      <w:tr>
        <w:tc>
          <w:tcPr>
            <w:tcW w:type="dxa" w:w="12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BoC decision + MPR</w:t>
            </w:r>
          </w:p>
        </w:tc>
        <w:tc>
          <w:tcPr>
            <w:tcW w:type="dxa" w:w="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Wed 15 Jul</w:t>
            </w:r>
          </w:p>
        </w:tc>
        <w:tc>
          <w:tcPr>
            <w:tcW w:type="dxa" w:w="23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hold 2.25%</w:t>
            </w:r>
          </w:p>
        </w:tc>
        <w:tc>
          <w:tcPr>
            <w:tcW w:type="dxa" w:w="16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fully</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jobs cool but don't break; trade surplus resilient</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hold locked (jobs +10k / u-rate 6.6% cons); the MPR tone + CAD is the trade</w:t>
            </w:r>
          </w:p>
        </w:tc>
      </w:tr>
      <w:tr>
        <w:tc>
          <w:tcPr>
            <w:tcW w:type="dxa" w:w="12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BoK decision</w:t>
            </w:r>
          </w:p>
        </w:tc>
        <w:tc>
          <w:tcPr>
            <w:tcW w:type="dxa" w:w="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Thu 16 Jul</w:t>
            </w:r>
          </w:p>
        </w:tc>
        <w:tc>
          <w:tcPr>
            <w:tcW w:type="dxa" w:w="23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+25bp → 2.75%</w:t>
            </w:r>
          </w:p>
        </w:tc>
        <w:tc>
          <w:tcPr>
            <w:tcW w:type="dxa" w:w="16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3M CD prices ~25</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catch-up on above-target inflation + won defence</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Citi/Nomura +25 gradual, no dissent; residual DB 50bp tail, low-probability with KRW strongest</w:t>
            </w:r>
          </w:p>
        </w:tc>
      </w:tr>
      <w:tr>
        <w:tc>
          <w:tcPr>
            <w:tcW w:type="dxa" w:w="12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UK GDP (May)</w:t>
            </w:r>
          </w:p>
        </w:tc>
        <w:tc>
          <w:tcPr>
            <w:tcW w:type="dxa" w:w="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Thu 16 Jul</w:t>
            </w:r>
          </w:p>
        </w:tc>
        <w:tc>
          <w:tcPr>
            <w:tcW w:type="dxa" w:w="23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+0.1% m/m (prior −0.1%)</w:t>
            </w:r>
          </w:p>
        </w:tc>
        <w:tc>
          <w:tcPr>
            <w:tcW w:type="dxa" w:w="16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gilts already backed up +12bp</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activity confirms services-led softening</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sub-trend adds to the dovish domestic tilt against a hawkish global rates wave</w:t>
            </w:r>
          </w:p>
        </w:tc>
      </w:tr>
      <w:tr>
        <w:tc>
          <w:tcPr>
            <w:tcW w:type="dxa" w:w="12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 retail sales (June)</w:t>
            </w:r>
          </w:p>
        </w:tc>
        <w:tc>
          <w:tcPr>
            <w:tcW w:type="dxa" w:w="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Thu 16 Jul</w:t>
            </w:r>
          </w:p>
        </w:tc>
        <w:tc>
          <w:tcPr>
            <w:tcW w:type="dxa" w:w="23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+0.3% m/m (prior +0.9%)</w:t>
            </w:r>
          </w:p>
        </w:tc>
        <w:tc>
          <w:tcPr>
            <w:tcW w:type="dxa" w:w="16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little</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gasoline drag, core components firm</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 slowdown is gasoline-led, control group holds; confirms resilience</w:t>
            </w:r>
          </w:p>
        </w:tc>
      </w:tr>
      <w:tr>
        <w:tc>
          <w:tcPr>
            <w:tcW w:type="dxa" w:w="12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MY CPI + 2Q GDP</w:t>
            </w:r>
          </w:p>
        </w:tc>
        <w:tc>
          <w:tcPr>
            <w:tcW w:type="dxa" w:w="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Fri 17 Jul</w:t>
            </w:r>
          </w:p>
        </w:tc>
        <w:tc>
          <w:tcPr>
            <w:tcW w:type="dxa" w:w="23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2.1% y/y; GDP ~4.8% y/y</w:t>
            </w:r>
          </w:p>
        </w:tc>
        <w:tc>
          <w:tcPr>
            <w:tcW w:type="dxa" w:w="16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fully (BNM on hold)</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subsidies keep inflation contained; exports carry growth</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low dispersion; only a CPI upside surprise reopens the backloaded-hike risk</w:t>
            </w:r>
          </w:p>
        </w:tc>
      </w:tr>
      <w:tr>
        <w:tc>
          <w:tcPr>
            <w:tcW w:type="dxa" w:w="12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 Michigan sentiment (prel)</w:t>
            </w:r>
          </w:p>
        </w:tc>
        <w:tc>
          <w:tcPr>
            <w:tcW w:type="dxa" w:w="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Fri 17 Jul</w:t>
            </w:r>
          </w:p>
        </w:tc>
        <w:tc>
          <w:tcPr>
            <w:tcW w:type="dxa" w:w="23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51.0 (prior 49.5)</w:t>
            </w:r>
          </w:p>
        </w:tc>
        <w:tc>
          <w:tcPr>
            <w:tcW w:type="dxa" w:w="16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little</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sentiment stabilises off lows</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re-spike in gas prices is the downside risk to the print</w:t>
            </w:r>
          </w:p>
        </w:tc>
      </w:tr>
    </w:tbl>
    <w:p>
      <w:pPr>
        <w:spacing w:after="80" w:line="283" w:lineRule="auto"/>
      </w:pPr>
      <w:r>
        <w:rPr>
          <w:rFonts w:ascii="Public Sans" w:hAnsi="Public Sans"/>
          <w:b/>
          <w:i w:val="0"/>
          <w:color w:val="3D3E3E"/>
          <w:sz w:val="19"/>
        </w:rPr>
        <w:t>The cross-cut read.</w:t>
      </w:r>
      <w:r>
        <w:rPr>
          <w:rFonts w:ascii="Public Sans" w:hAnsi="Public Sans"/>
          <w:b w:val="0"/>
          <w:i w:val="0"/>
          <w:color w:val="3D3E3E"/>
          <w:sz w:val="19"/>
        </w:rPr>
        <w:t xml:space="preserve"> This week </w:t>
      </w:r>
      <w:r>
        <w:rPr>
          <w:rFonts w:ascii="Public Sans" w:hAnsi="Public Sans"/>
          <w:b w:val="0"/>
          <w:i/>
          <w:color w:val="3D3E3E"/>
          <w:sz w:val="19"/>
        </w:rPr>
        <w:t>resolves</w:t>
      </w:r>
      <w:r>
        <w:rPr>
          <w:rFonts w:ascii="Public Sans" w:hAnsi="Public Sans"/>
          <w:b w:val="0"/>
          <w:i w:val="0"/>
          <w:color w:val="3D3E3E"/>
          <w:sz w:val="19"/>
        </w:rPr>
        <w:t xml:space="preserve"> what last week merely set up. The </w:t>
      </w:r>
      <w:r>
        <w:rPr>
          <w:rFonts w:ascii="Public Sans" w:hAnsi="Public Sans"/>
          <w:b/>
          <w:i w:val="0"/>
          <w:color w:val="3D3E3E"/>
          <w:sz w:val="19"/>
        </w:rPr>
        <w:t>US CPI is the fulcrum</w:t>
      </w:r>
      <w:r>
        <w:rPr>
          <w:rFonts w:ascii="Public Sans" w:hAnsi="Public Sans"/>
          <w:b w:val="0"/>
          <w:i w:val="0"/>
          <w:color w:val="3D3E3E"/>
          <w:sz w:val="19"/>
        </w:rPr>
        <w:t xml:space="preserve">: a benign core (Nomura's ~0.2% m/m) lets the front end fade the ceasefire-driven back-up; a hot core (&gt;0.3%) with oil re-spiking is the combination that re-prices the Warsh Fed's hike option and drags the whole hawkish complex (BoK, RBNZ, BSP) with it. </w:t>
      </w:r>
      <w:r>
        <w:rPr>
          <w:rFonts w:ascii="Public Sans" w:hAnsi="Public Sans"/>
          <w:b/>
          <w:i w:val="0"/>
          <w:color w:val="3D3E3E"/>
          <w:sz w:val="19"/>
        </w:rPr>
        <w:t>BoK is the second axis</w:t>
      </w:r>
      <w:r>
        <w:rPr>
          <w:rFonts w:ascii="Public Sans" w:hAnsi="Public Sans"/>
          <w:b w:val="0"/>
          <w:i w:val="0"/>
          <w:color w:val="3D3E3E"/>
          <w:sz w:val="19"/>
        </w:rPr>
        <w:t xml:space="preserve"> — a +25 with no dissent is priced; the only surprise is a hawkish-hold-the-terminal signal. </w:t>
      </w:r>
      <w:r>
        <w:rPr>
          <w:rFonts w:ascii="Public Sans" w:hAnsi="Public Sans"/>
          <w:b/>
          <w:i w:val="0"/>
          <w:color w:val="3D3E3E"/>
          <w:sz w:val="19"/>
        </w:rPr>
        <w:t>MAS/SG GDP</w:t>
      </w:r>
      <w:r>
        <w:rPr>
          <w:rFonts w:ascii="Public Sans" w:hAnsi="Public Sans"/>
          <w:b w:val="0"/>
          <w:i w:val="0"/>
          <w:color w:val="3D3E3E"/>
          <w:sz w:val="19"/>
        </w:rPr>
        <w:t xml:space="preserve"> is the ASEAN swing — a strong tech-led GDP hands Citi its NEER re-steepen. Everything else (BoC hold, MY CPI, UK GDP) is a </w:t>
      </w:r>
      <w:r>
        <w:rPr>
          <w:rFonts w:ascii="Public Sans" w:hAnsi="Public Sans"/>
          <w:b w:val="0"/>
          <w:i/>
          <w:color w:val="3D3E3E"/>
          <w:sz w:val="19"/>
        </w:rPr>
        <w:t>confirming</w:t>
      </w:r>
      <w:r>
        <w:rPr>
          <w:rFonts w:ascii="Public Sans" w:hAnsi="Public Sans"/>
          <w:b w:val="0"/>
          <w:i w:val="0"/>
          <w:color w:val="3D3E3E"/>
          <w:sz w:val="19"/>
        </w:rPr>
        <w:t xml:space="preserve"> print, not a mover.</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The week ahead — preview (③ 20–26 Jul)</w:t>
      </w:r>
    </w:p>
    <w:p>
      <w:pPr>
        <w:spacing w:after="80" w:line="283" w:lineRule="auto"/>
      </w:pPr>
      <w:r>
        <w:rPr>
          <w:rFonts w:ascii="Public Sans" w:hAnsi="Public Sans"/>
          <w:b w:val="0"/>
          <w:i w:val="0"/>
          <w:color w:val="3D3E3E"/>
          <w:sz w:val="19"/>
        </w:rPr>
        <w:t xml:space="preserve">Lighter than §above, but the fortnight's heavyweight decisions cluster just beyond it. Same discipline: every line says what it </w:t>
      </w:r>
      <w:r>
        <w:rPr>
          <w:rFonts w:ascii="Public Sans" w:hAnsi="Public Sans"/>
          <w:b w:val="0"/>
          <w:i/>
          <w:color w:val="3D3E3E"/>
          <w:sz w:val="19"/>
        </w:rPr>
        <w:t>tests</w:t>
      </w:r>
      <w:r>
        <w:rPr>
          <w:rFonts w:ascii="Public Sans" w:hAnsi="Public Sans"/>
          <w:b w:val="0"/>
          <w:i w:val="0"/>
          <w:color w:val="3D3E3E"/>
          <w:sz w:val="19"/>
        </w:rPr>
        <w:t>.</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2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4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Date</w:t>
            </w:r>
          </w:p>
        </w:tc>
        <w:tc>
          <w:tcPr>
            <w:tcW w:type="dxa" w:w="239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prior</w:t>
            </w:r>
          </w:p>
        </w:tc>
        <w:tc>
          <w:tcPr>
            <w:tcW w:type="dxa" w:w="27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it tests</w:t>
            </w:r>
          </w:p>
        </w:tc>
        <w:tc>
          <w:tcPr>
            <w:tcW w:type="dxa" w:w="27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Early lean</w:t>
            </w:r>
          </w:p>
        </w:tc>
      </w:tr>
      <w:tr>
        <w:tc>
          <w:tcPr>
            <w:tcW w:type="dxa" w:w="22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Canada CPI (June)</w:t>
            </w:r>
          </w:p>
        </w:tc>
        <w:tc>
          <w:tcPr>
            <w:tcW w:type="dxa" w:w="4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Mon 20 Jul</w:t>
            </w:r>
          </w:p>
        </w:tc>
        <w:tc>
          <w:tcPr>
            <w:tcW w:type="dxa" w:w="239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3.2% y/y (core 2.2%)</w:t>
            </w:r>
          </w:p>
        </w:tc>
        <w:tc>
          <w:tcPr>
            <w:tcW w:type="dxa" w:w="2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whether the BoC-hold is comfortable or contested</w:t>
            </w:r>
          </w:p>
        </w:tc>
        <w:tc>
          <w:tcPr>
            <w:tcW w:type="dxa" w:w="2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firm core keeps BoC parked; a soft print revives a cut debate</w:t>
            </w:r>
          </w:p>
        </w:tc>
      </w:tr>
      <w:tr>
        <w:tc>
          <w:tcPr>
            <w:tcW w:type="dxa" w:w="22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NZ Q2 CPI</w:t>
            </w:r>
          </w:p>
        </w:tc>
        <w:tc>
          <w:tcPr>
            <w:tcW w:type="dxa" w:w="4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Tue 21 Jul</w:t>
            </w:r>
          </w:p>
        </w:tc>
        <w:tc>
          <w:tcPr>
            <w:tcW w:type="dxa" w:w="239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prior 3.1% y/y / 0.9% q/q</w:t>
            </w:r>
          </w:p>
        </w:tc>
        <w:tc>
          <w:tcPr>
            <w:tcW w:type="dxa" w:w="2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RBNZ's 0.4% q/q "low hurdle" (JPM sees upside)</w:t>
            </w:r>
          </w:p>
        </w:tc>
        <w:tc>
          <w:tcPr>
            <w:tcW w:type="dxa" w:w="2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hot print cements the Sep + Oct hikes to 3%</w:t>
            </w:r>
          </w:p>
        </w:tc>
      </w:tr>
      <w:tr>
        <w:tc>
          <w:tcPr>
            <w:tcW w:type="dxa" w:w="22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UK jobs (21) + CPI (22)</w:t>
            </w:r>
          </w:p>
        </w:tc>
        <w:tc>
          <w:tcPr>
            <w:tcW w:type="dxa" w:w="4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Tue–Wed</w:t>
            </w:r>
          </w:p>
        </w:tc>
        <w:tc>
          <w:tcPr>
            <w:tcW w:type="dxa" w:w="239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u-rate 4.9%; CPI 2.8% y/y (core 2.6%)</w:t>
            </w:r>
          </w:p>
        </w:tc>
        <w:tc>
          <w:tcPr>
            <w:tcW w:type="dxa" w:w="2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whether the domestic-soft / global-hawkish tension in gilts breaks</w:t>
            </w:r>
          </w:p>
        </w:tc>
        <w:tc>
          <w:tcPr>
            <w:tcW w:type="dxa" w:w="2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sticky services CPI vs a loosening labour market — the BoE's 30 Jul dilemma</w:t>
            </w:r>
          </w:p>
        </w:tc>
      </w:tr>
      <w:tr>
        <w:tc>
          <w:tcPr>
            <w:tcW w:type="dxa" w:w="22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BI decision</w:t>
            </w:r>
          </w:p>
        </w:tc>
        <w:tc>
          <w:tcPr>
            <w:tcW w:type="dxa" w:w="4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Wed 22 Jul</w:t>
            </w:r>
          </w:p>
        </w:tc>
        <w:tc>
          <w:tcPr>
            <w:tcW w:type="dxa" w:w="239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5.75% (one feed flags a 6.0% hike forecast)</w:t>
            </w:r>
          </w:p>
        </w:tc>
        <w:tc>
          <w:tcPr>
            <w:tcW w:type="dxa" w:w="2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BI's pro-stability resolve vs a soft rupiah + wider deficit</w:t>
            </w:r>
          </w:p>
        </w:tc>
        <w:tc>
          <w:tcPr>
            <w:tcW w:type="dxa" w:w="2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base case (Citi); a hike is the tail if IDR breaks</w:t>
            </w:r>
          </w:p>
        </w:tc>
      </w:tr>
      <w:tr>
        <w:tc>
          <w:tcPr>
            <w:tcW w:type="dxa" w:w="22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Japan CPI (June)</w:t>
            </w:r>
          </w:p>
        </w:tc>
        <w:tc>
          <w:tcPr>
            <w:tcW w:type="dxa" w:w="4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Fri 24 Jul</w:t>
            </w:r>
          </w:p>
        </w:tc>
        <w:tc>
          <w:tcPr>
            <w:tcW w:type="dxa" w:w="239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1.5% y/y (ex-fresh-food 1.4%)</w:t>
            </w:r>
          </w:p>
        </w:tc>
        <w:tc>
          <w:tcPr>
            <w:tcW w:type="dxa" w:w="2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behind-the-curve overshoot into the 31 Jul BoJ</w:t>
            </w:r>
          </w:p>
        </w:tc>
        <w:tc>
          <w:tcPr>
            <w:tcW w:type="dxa" w:w="2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firmer core keeps the October-hike base case intact</w:t>
            </w:r>
          </w:p>
        </w:tc>
      </w:tr>
      <w:tr>
        <w:tc>
          <w:tcPr>
            <w:tcW w:type="dxa" w:w="22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AU labour (23) · SG CPI (23) · flash PMIs (24)</w:t>
            </w:r>
          </w:p>
        </w:tc>
        <w:tc>
          <w:tcPr>
            <w:tcW w:type="dxa" w:w="4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23–24 Jul</w:t>
            </w:r>
          </w:p>
        </w:tc>
        <w:tc>
          <w:tcPr>
            <w:tcW w:type="dxa" w:w="239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 u-rate 4.4%; SG CPI 1.8%</w:t>
            </w:r>
          </w:p>
        </w:tc>
        <w:tc>
          <w:tcPr>
            <w:tcW w:type="dxa" w:w="2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AU's tight labour vs the "1–2% GDP" slowdown</w:t>
            </w:r>
          </w:p>
        </w:tc>
        <w:tc>
          <w:tcPr>
            <w:tcW w:type="dxa" w:w="2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 jobs the input to the 29 Jul Q2 CPI cycle-decider</w:t>
            </w:r>
          </w:p>
        </w:tc>
      </w:tr>
    </w:tbl>
    <w:p>
      <w:pPr>
        <w:spacing w:after="80" w:line="283" w:lineRule="auto"/>
      </w:pPr>
      <w:r>
        <w:rPr>
          <w:rFonts w:ascii="Public Sans" w:hAnsi="Public Sans"/>
          <w:b/>
          <w:i w:val="0"/>
          <w:color w:val="3D3E3E"/>
          <w:sz w:val="19"/>
        </w:rPr>
        <w:t>Watchlist (&gt;1 week):</w:t>
      </w:r>
      <w:r>
        <w:rPr>
          <w:rFonts w:ascii="Public Sans" w:hAnsi="Public Sans"/>
          <w:b w:val="0"/>
          <w:i w:val="0"/>
          <w:color w:val="3D3E3E"/>
          <w:sz w:val="19"/>
        </w:rPr>
        <w:t xml:space="preserve"> </w:t>
      </w:r>
      <w:r>
        <w:rPr>
          <w:rFonts w:ascii="Public Sans" w:hAnsi="Public Sans"/>
          <w:b/>
          <w:i w:val="0"/>
          <w:color w:val="3D3E3E"/>
          <w:sz w:val="19"/>
        </w:rPr>
        <w:t>AU Q2 CPI (29 Jul)</w:t>
      </w:r>
      <w:r>
        <w:rPr>
          <w:rFonts w:ascii="Public Sans" w:hAnsi="Public Sans"/>
          <w:b w:val="0"/>
          <w:i w:val="0"/>
          <w:color w:val="3D3E3E"/>
          <w:sz w:val="19"/>
        </w:rPr>
        <w:t xml:space="preserve"> — the RBA cycle-decider (trimmed mean 3.5% prior; a hot print revives a hike from 4.35%) · </w:t>
      </w:r>
      <w:r>
        <w:rPr>
          <w:rFonts w:ascii="Public Sans" w:hAnsi="Public Sans"/>
          <w:b/>
          <w:i w:val="0"/>
          <w:color w:val="3D3E3E"/>
          <w:sz w:val="19"/>
        </w:rPr>
        <w:t>FOMC (29 Jul)</w:t>
      </w:r>
      <w:r>
        <w:rPr>
          <w:rFonts w:ascii="Public Sans" w:hAnsi="Public Sans"/>
          <w:b w:val="0"/>
          <w:i w:val="0"/>
          <w:color w:val="3D3E3E"/>
          <w:sz w:val="19"/>
        </w:rPr>
        <w:t xml:space="preserve"> — hold 3.5–3.75% expected, the tone post-CPI is the trade · </w:t>
      </w:r>
      <w:r>
        <w:rPr>
          <w:rFonts w:ascii="Public Sans" w:hAnsi="Public Sans"/>
          <w:b/>
          <w:i w:val="0"/>
          <w:color w:val="3D3E3E"/>
          <w:sz w:val="19"/>
        </w:rPr>
        <w:t>BoE (30 Jul)</w:t>
      </w:r>
      <w:r>
        <w:rPr>
          <w:rFonts w:ascii="Public Sans" w:hAnsi="Public Sans"/>
          <w:b w:val="0"/>
          <w:i w:val="0"/>
          <w:color w:val="3D3E3E"/>
          <w:sz w:val="19"/>
        </w:rPr>
        <w:t xml:space="preserve"> — 3.75%, a cut-vs-hold vote split · </w:t>
      </w:r>
      <w:r>
        <w:rPr>
          <w:rFonts w:ascii="Public Sans" w:hAnsi="Public Sans"/>
          <w:b/>
          <w:i w:val="0"/>
          <w:color w:val="3D3E3E"/>
          <w:sz w:val="19"/>
        </w:rPr>
        <w:t>BoJ MPM (31 Jul)</w:t>
      </w:r>
      <w:r>
        <w:rPr>
          <w:rFonts w:ascii="Public Sans" w:hAnsi="Public Sans"/>
          <w:b w:val="0"/>
          <w:i w:val="0"/>
          <w:color w:val="3D3E3E"/>
          <w:sz w:val="19"/>
        </w:rPr>
        <w:t xml:space="preserve"> — no move expected, the Outlook Report + any October-hike signposting is the event · US core PCE + Q2 GDP advance (30 Jul).</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30"/>
        </w:rPr>
        <w:t>TIER 2 — Per-country deep sections</w:t>
      </w:r>
    </w:p>
    <w:p>
      <w:pPr>
        <w:spacing w:after="80" w:line="283" w:lineRule="auto"/>
      </w:pPr>
      <w:r>
        <w:rPr>
          <w:rFonts w:ascii="Public Sans" w:hAnsi="Public Sans"/>
          <w:b w:val="0"/>
          <w:i/>
          <w:color w:val="3D3E3E"/>
          <w:sz w:val="19"/>
        </w:rPr>
        <w:t>(Ordered by what moved the week. Every country a real read; none dropped. Each carries ① drivers with desk-read tables + charts + so-what callouts, a coded trade board, a mini Argument Audit, and a This-week/Next-week forward table. ②③ vantage preserved.)</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UNITED STATES — the doubt gets taken back</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June FOMC </w:t>
      </w:r>
      <w:r>
        <w:rPr>
          <w:rFonts w:ascii="Public Sans" w:hAnsi="Public Sans"/>
          <w:b/>
          <w:i w:val="0"/>
          <w:color w:val="3D3E3E"/>
          <w:sz w:val="19"/>
        </w:rPr>
        <w:t>held</w:t>
      </w:r>
      <w:r>
        <w:rPr>
          <w:rFonts w:ascii="Public Sans" w:hAnsi="Public Sans"/>
          <w:b w:val="0"/>
          <w:i w:val="0"/>
          <w:color w:val="3D3E3E"/>
          <w:sz w:val="19"/>
        </w:rPr>
        <w:t xml:space="preserve"> (target 3.50–3.75%) · June core CPI consensus </w:t>
      </w:r>
      <w:r>
        <w:rPr>
          <w:rFonts w:ascii="Public Sans" w:hAnsi="Public Sans"/>
          <w:b/>
          <w:i w:val="0"/>
          <w:color w:val="3D3E3E"/>
          <w:sz w:val="19"/>
        </w:rPr>
        <w:t>2.9% y/y / 0.2–0.3% m/m</w:t>
      </w:r>
      <w:r>
        <w:rPr>
          <w:rFonts w:ascii="Public Sans" w:hAnsi="Public Sans"/>
          <w:b w:val="0"/>
          <w:i w:val="0"/>
          <w:color w:val="3D3E3E"/>
          <w:sz w:val="19"/>
        </w:rPr>
        <w:t xml:space="preserve"> (14 Jul) · 10y SOFR swap </w:t>
      </w:r>
      <w:r>
        <w:rPr>
          <w:rFonts w:ascii="Public Sans" w:hAnsi="Public Sans"/>
          <w:b/>
          <w:i w:val="0"/>
          <w:color w:val="3D3E3E"/>
          <w:sz w:val="19"/>
        </w:rPr>
        <w:t>4.14%</w:t>
      </w:r>
      <w:r>
        <w:rPr>
          <w:rFonts w:ascii="Public Sans" w:hAnsi="Public Sans"/>
          <w:b w:val="0"/>
          <w:i w:val="0"/>
          <w:color w:val="3D3E3E"/>
          <w:sz w:val="19"/>
        </w:rPr>
        <w:t xml:space="preserve"> (+8.5bp WoW), 2y 4.07% (+8.2bp) · initial claims </w:t>
      </w:r>
      <w:r>
        <w:rPr>
          <w:rFonts w:ascii="Public Sans" w:hAnsi="Public Sans"/>
          <w:b/>
          <w:i w:val="0"/>
          <w:color w:val="3D3E3E"/>
          <w:sz w:val="19"/>
        </w:rPr>
        <w:t>215k</w:t>
      </w:r>
      <w:r>
        <w:rPr>
          <w:rFonts w:ascii="Public Sans" w:hAnsi="Public Sans"/>
          <w:b w:val="0"/>
          <w:i w:val="0"/>
          <w:color w:val="3D3E3E"/>
          <w:sz w:val="19"/>
        </w:rPr>
        <w:t xml:space="preserve">, ISM services </w:t>
      </w:r>
      <w:r>
        <w:rPr>
          <w:rFonts w:ascii="Public Sans" w:hAnsi="Public Sans"/>
          <w:b/>
          <w:i w:val="0"/>
          <w:color w:val="3D3E3E"/>
          <w:sz w:val="19"/>
        </w:rPr>
        <w:t>54.0</w:t>
      </w:r>
      <w:r>
        <w:rPr>
          <w:rFonts w:ascii="Public Sans" w:hAnsi="Public Sans"/>
          <w:b w:val="0"/>
          <w:i w:val="0"/>
          <w:color w:val="3D3E3E"/>
          <w:sz w:val="19"/>
        </w:rPr>
        <w:t xml:space="preserve">, existing home sales </w:t>
      </w:r>
      <w:r>
        <w:rPr>
          <w:rFonts w:ascii="Public Sans" w:hAnsi="Public Sans"/>
          <w:b/>
          <w:i w:val="0"/>
          <w:color w:val="3D3E3E"/>
          <w:sz w:val="19"/>
        </w:rPr>
        <w:t>4.09m</w:t>
      </w:r>
      <w:r>
        <w:rPr>
          <w:rFonts w:ascii="Public Sans" w:hAnsi="Public Sans"/>
          <w:b w:val="0"/>
          <w:i w:val="0"/>
          <w:color w:val="3D3E3E"/>
          <w:sz w:val="19"/>
        </w:rPr>
        <w:t xml:space="preserve"> (miss) · WTI </w:t>
      </w:r>
      <w:r>
        <w:rPr>
          <w:rFonts w:ascii="Public Sans" w:hAnsi="Public Sans"/>
          <w:b/>
          <w:i w:val="0"/>
          <w:color w:val="3D3E3E"/>
          <w:sz w:val="19"/>
        </w:rPr>
        <w:t>~$74.7</w:t>
      </w:r>
      <w:r>
        <w:rPr>
          <w:rFonts w:ascii="Public Sans" w:hAnsi="Public Sans"/>
          <w:b w:val="0"/>
          <w:i w:val="0"/>
          <w:color w:val="3D3E3E"/>
          <w:sz w:val="19"/>
        </w:rPr>
        <w:t xml:space="preserve"> (8 Jul, ceasefire break) · Nomura core-PCE call </w:t>
      </w:r>
      <w:r>
        <w:rPr>
          <w:rFonts w:ascii="Public Sans" w:hAnsi="Public Sans"/>
          <w:b/>
          <w:i w:val="0"/>
          <w:color w:val="3D3E3E"/>
          <w:sz w:val="19"/>
        </w:rPr>
        <w:t>3.4% y/y</w:t>
      </w:r>
      <w:r>
        <w:rPr>
          <w:rFonts w:ascii="Public Sans" w:hAnsi="Public Sans"/>
          <w:b w:val="0"/>
          <w:i w:val="0"/>
          <w:color w:val="3D3E3E"/>
          <w:sz w:val="19"/>
        </w:rPr>
        <w:t xml:space="preserve">, Fed call </w:t>
      </w:r>
      <w:r>
        <w:rPr>
          <w:rFonts w:ascii="Public Sans" w:hAnsi="Public Sans"/>
          <w:b/>
          <w:i w:val="0"/>
          <w:color w:val="3D3E3E"/>
          <w:sz w:val="19"/>
        </w:rPr>
        <w:t>no hikes through 2027</w:t>
      </w:r>
      <w:r>
        <w:rPr>
          <w:rFonts w:ascii="Public Sans" w:hAnsi="Public Sans"/>
          <w:b w:val="0"/>
          <w:i w:val="0"/>
          <w:color w:val="3D3E3E"/>
          <w:sz w:val="19"/>
        </w:rPr>
        <w:t xml:space="preserve"> · Q2 GDP tracking </w:t>
      </w:r>
      <w:r>
        <w:rPr>
          <w:rFonts w:ascii="Public Sans" w:hAnsi="Public Sans"/>
          <w:b/>
          <w:i w:val="0"/>
          <w:color w:val="3D3E3E"/>
          <w:sz w:val="19"/>
        </w:rPr>
        <w:t>2.3%</w:t>
      </w:r>
      <w:r>
        <w:rPr>
          <w:rFonts w:ascii="Public Sans" w:hAnsi="Public Sans"/>
          <w:b w:val="0"/>
          <w:i w:val="0"/>
          <w:color w:val="3D3E3E"/>
          <w:sz w:val="19"/>
        </w:rPr>
        <w:t xml:space="preserve"> (Nomura).</w:t>
      </w:r>
    </w:p>
    <w:p>
      <w:pPr>
        <w:spacing w:after="80" w:line="283" w:lineRule="auto"/>
      </w:pPr>
      <w:r>
        <w:rPr>
          <w:rFonts w:ascii="Public Sans" w:hAnsi="Public Sans"/>
          <w:b w:val="0"/>
          <w:i w:val="0"/>
          <w:color w:val="3D3E3E"/>
          <w:sz w:val="19"/>
        </w:rPr>
        <w:t xml:space="preserve">The prior week's "first doubt" about the US hiking leg lasted exactly one week. The 8 July ceasefire collapse re-spiked oil, breakevens widened, and the front end backed up 8bp — but the </w:t>
      </w:r>
      <w:r>
        <w:rPr>
          <w:rFonts w:ascii="Public Sans" w:hAnsi="Public Sans"/>
          <w:b w:val="0"/>
          <w:i/>
          <w:color w:val="3D3E3E"/>
          <w:sz w:val="19"/>
        </w:rPr>
        <w:t>data</w:t>
      </w:r>
      <w:r>
        <w:rPr>
          <w:rFonts w:ascii="Public Sans" w:hAnsi="Public Sans"/>
          <w:b w:val="0"/>
          <w:i w:val="0"/>
          <w:color w:val="3D3E3E"/>
          <w:sz w:val="19"/>
        </w:rPr>
        <w:t xml:space="preserve"> underneath never softened. The desks are trading resilience-plus-inflation-risk, and the 14 July CPI is the one number that resolves it.</w:t>
      </w:r>
    </w:p>
    <w:p>
      <w:pPr>
        <w:spacing w:before="200" w:after="60"/>
        <w:keepNext/>
        <w:pBdr>
          <w:bottom w:val="single" w:sz="4" w:space="2" w:color="E0E9E4"/>
        </w:pBdr>
      </w:pPr>
      <w:r>
        <w:rPr>
          <w:rFonts w:ascii="Georgia" w:hAnsi="Georgia"/>
          <w:b/>
          <w:color w:val="4D806A"/>
          <w:sz w:val="23"/>
        </w:rPr>
        <w:t>Driver 1 — The held Fed and a "keeps-on-ticking" dataflow</w:t>
      </w:r>
    </w:p>
    <w:p>
      <w:pPr>
        <w:spacing w:before="120" w:after="40"/>
        <w:keepNext/>
      </w:pPr>
      <w:r>
        <w:rPr>
          <w:rFonts w:ascii="Public Sans" w:hAnsi="Public Sans"/>
          <w:b/>
          <w:i w:val="0"/>
          <w:color w:val="001830"/>
          <w:sz w:val="19"/>
        </w:rPr>
        <w:t>Desk-read — the June FOMC minutes + the week's activity prints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4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5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5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4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JPM (Feroli)</w:t>
            </w:r>
          </w:p>
        </w:tc>
        <w:tc>
          <w:tcPr>
            <w:tcW w:type="dxa" w:w="45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FOMC </w:t>
            </w:r>
            <w:r>
              <w:rPr>
                <w:rFonts w:ascii="Public Sans" w:hAnsi="Public Sans"/>
                <w:b w:val="0"/>
                <w:i/>
                <w:color w:val="3D3E3E"/>
                <w:sz w:val="16"/>
              </w:rPr>
              <w:t>held</w:t>
            </w:r>
            <w:r>
              <w:rPr>
                <w:rFonts w:ascii="Public Sans" w:hAnsi="Public Sans"/>
                <w:b w:val="0"/>
                <w:i w:val="0"/>
                <w:color w:val="3D3E3E"/>
                <w:sz w:val="16"/>
              </w:rPr>
              <w:t>; several thought policy "not currently restrictive", a few "slightly restrictive"; the risk-assessment section replaced by scenarios; upside inflation risks "remained elevated", downside labour risks "abated somewhat"</w:t>
            </w:r>
          </w:p>
        </w:tc>
        <w:tc>
          <w:tcPr>
            <w:tcW w:type="dxa" w:w="45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"Downward pressure on unemployment"; Global Data Watch "keeps on ticking" — normalisation, not a turn</w:t>
            </w:r>
          </w:p>
        </w:tc>
      </w:tr>
      <w:tr>
        <w:tc>
          <w:tcPr>
            <w:tcW w:type="dxa" w:w="14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Nomura (Amemiya)</w:t>
            </w:r>
          </w:p>
        </w:tc>
        <w:tc>
          <w:tcPr>
            <w:tcW w:type="dxa" w:w="45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Claims 215k, ISM services 54.0; expects retail sales +0.3% (gasoline-led slowdown, control group firm), IP rebounding on autos + core mfg</w:t>
            </w:r>
          </w:p>
        </w:tc>
        <w:tc>
          <w:tcPr>
            <w:tcW w:type="dxa" w:w="45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Growth momentum continues; </w:t>
            </w:r>
            <w:r>
              <w:rPr>
                <w:rFonts w:ascii="Public Sans" w:hAnsi="Public Sans"/>
                <w:b/>
                <w:i w:val="0"/>
                <w:color w:val="3D3E3E"/>
                <w:sz w:val="16"/>
              </w:rPr>
              <w:t>no rate hikes through end-2027</w:t>
            </w:r>
          </w:p>
        </w:tc>
      </w:tr>
      <w:tr>
        <w:tc>
          <w:tcPr>
            <w:tcW w:type="dxa" w:w="14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Barclays (Pradhan)</w:t>
            </w:r>
          </w:p>
        </w:tc>
        <w:tc>
          <w:tcPr>
            <w:tcW w:type="dxa" w:w="45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highly sensitive to Iran; hike-pricing "sticky"; economic resilience intact</w:t>
            </w:r>
          </w:p>
        </w:tc>
        <w:tc>
          <w:tcPr>
            <w:tcW w:type="dxa" w:w="45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Pay 5y5y SOFR</w:t>
            </w:r>
            <w:r>
              <w:rPr>
                <w:rFonts w:ascii="Public Sans" w:hAnsi="Public Sans"/>
                <w:b w:val="0"/>
                <w:i w:val="0"/>
                <w:color w:val="3D3E3E"/>
                <w:sz w:val="16"/>
              </w:rPr>
              <w:t xml:space="preserve"> — room for both expectations and term premium to reprice higher</w:t>
            </w:r>
          </w:p>
        </w:tc>
      </w:tr>
      <w:tr>
        <w:tc>
          <w:tcPr>
            <w:tcW w:type="dxa" w:w="14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GS</w:t>
            </w:r>
          </w:p>
        </w:tc>
        <w:tc>
          <w:tcPr>
            <w:tcW w:type="dxa" w:w="45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 Economics Weekly: labour resilient at the halftime mark</w:t>
            </w:r>
          </w:p>
        </w:tc>
        <w:tc>
          <w:tcPr>
            <w:tcW w:type="dxa" w:w="45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Hike-pricing decays only slowly; on-hold base case</w:t>
            </w:r>
          </w:p>
        </w:tc>
      </w:tr>
    </w:tbl>
    <w:p>
      <w:pPr>
        <w:spacing w:after="80" w:line="283" w:lineRule="auto"/>
      </w:pPr>
      <w:r>
        <w:rPr>
          <w:rFonts w:ascii="Public Sans" w:hAnsi="Public Sans"/>
          <w:b w:val="0"/>
          <w:i w:val="0"/>
          <w:color w:val="3D3E3E"/>
          <w:sz w:val="19"/>
        </w:rPr>
        <w:t>The lone soft print was existing home sales (4.09m vs 4.2m cons, −2.4% m/m); claims (215k), ISM services (54.0) and the trade balance all held. The FOMC minutes revealed a genuinely split committee — "most thought policy could be maintained or even lowered if inflation abated; nearly an equal number thought policy should be tightened if inflation remained elevated."</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Four desks, one read on the </w:t>
      </w:r>
      <w:r>
        <w:rPr>
          <w:rFonts w:ascii="Public Sans" w:hAnsi="Public Sans"/>
          <w:b w:val="0"/>
          <w:i/>
          <w:color w:val="3D3E3E"/>
          <w:sz w:val="19"/>
        </w:rPr>
        <w:t>data</w:t>
      </w:r>
      <w:r>
        <w:rPr>
          <w:rFonts w:ascii="Public Sans" w:hAnsi="Public Sans"/>
          <w:b w:val="0"/>
          <w:i w:val="0"/>
          <w:color w:val="3D3E3E"/>
          <w:sz w:val="19"/>
        </w:rPr>
        <w:t xml:space="preserve"> (resilient) and one read on the </w:t>
      </w:r>
      <w:r>
        <w:rPr>
          <w:rFonts w:ascii="Public Sans" w:hAnsi="Public Sans"/>
          <w:b w:val="0"/>
          <w:i/>
          <w:color w:val="3D3E3E"/>
          <w:sz w:val="19"/>
        </w:rPr>
        <w:t>Fed</w:t>
      </w:r>
      <w:r>
        <w:rPr>
          <w:rFonts w:ascii="Public Sans" w:hAnsi="Public Sans"/>
          <w:b w:val="0"/>
          <w:i w:val="0"/>
          <w:color w:val="3D3E3E"/>
          <w:sz w:val="19"/>
        </w:rPr>
        <w:t xml:space="preserve"> (held, split, data-dependent). The disagreement is entirely about the </w:t>
      </w:r>
      <w:r>
        <w:rPr>
          <w:rFonts w:ascii="Public Sans" w:hAnsi="Public Sans"/>
          <w:b w:val="0"/>
          <w:i/>
          <w:color w:val="3D3E3E"/>
          <w:sz w:val="19"/>
        </w:rPr>
        <w:t>next</w:t>
      </w:r>
      <w:r>
        <w:rPr>
          <w:rFonts w:ascii="Public Sans" w:hAnsi="Public Sans"/>
          <w:b w:val="0"/>
          <w:i w:val="0"/>
          <w:color w:val="3D3E3E"/>
          <w:sz w:val="19"/>
        </w:rPr>
        <w:t xml:space="preserve"> move's direction, and it is downstream of one number — the 14 July core CPI. Nobody is arguing the economy is rolling over; the "doubt" was always an oil/jobs artefact, not a trend.</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resilient backdrop supports the back-up in yields; the directional Fed bet waits on the CPI. Barclays' pay-5y5y is the expression that doesn't require picking the next-move direction.</w:t>
      </w:r>
    </w:p>
    <w:p>
      <w:pPr>
        <w:spacing w:before="200" w:after="60"/>
        <w:keepNext/>
        <w:pBdr>
          <w:bottom w:val="single" w:sz="4" w:space="2" w:color="E0E9E4"/>
        </w:pBdr>
      </w:pPr>
      <w:r>
        <w:rPr>
          <w:rFonts w:ascii="Georgia" w:hAnsi="Georgia"/>
          <w:b/>
          <w:color w:val="4D806A"/>
          <w:sz w:val="23"/>
        </w:rPr>
        <w:t>Driver 2 — Oil, breakevens and the curve back-up</w:t>
      </w:r>
    </w:p>
    <w:p>
      <w:pPr>
        <w:spacing w:after="80" w:line="283" w:lineRule="auto"/>
      </w:pPr>
      <w:r>
        <w:rPr>
          <w:rFonts w:ascii="Public Sans" w:hAnsi="Public Sans"/>
          <w:b w:val="0"/>
          <w:i w:val="0"/>
          <w:color w:val="3D3E3E"/>
          <w:sz w:val="19"/>
        </w:rPr>
        <w:t xml:space="preserve">The ceasefire break was a </w:t>
      </w:r>
      <w:r>
        <w:rPr>
          <w:rFonts w:ascii="Public Sans" w:hAnsi="Public Sans"/>
          <w:b w:val="0"/>
          <w:i/>
          <w:color w:val="3D3E3E"/>
          <w:sz w:val="19"/>
        </w:rPr>
        <w:t>breakeven</w:t>
      </w:r>
      <w:r>
        <w:rPr>
          <w:rFonts w:ascii="Public Sans" w:hAnsi="Public Sans"/>
          <w:b w:val="0"/>
          <w:i w:val="0"/>
          <w:color w:val="3D3E3E"/>
          <w:sz w:val="19"/>
        </w:rPr>
        <w:t xml:space="preserve"> event more than a real-rate one. Barclays' cross-market read: global bond markets sold off on the renewed hostilities, US 2y +4bp on the day but UK/Germany 2y +~15bp, and 10y breakevens widened sharply in Europe (Bunds underperformed). Across the full week the US curve rose +8bp (2y) / +8.5bp (10y) — a parallel-ish back-up — while the S&amp;P still gained +1.2% (Nasdaq +1.7%) and VIX eased to ~15. Equities are pricing a </w:t>
      </w:r>
      <w:r>
        <w:rPr>
          <w:rFonts w:ascii="Public Sans" w:hAnsi="Public Sans"/>
          <w:b w:val="0"/>
          <w:i/>
          <w:color w:val="3D3E3E"/>
          <w:sz w:val="19"/>
        </w:rPr>
        <w:t>higher-for-longer</w:t>
      </w:r>
      <w:r>
        <w:rPr>
          <w:rFonts w:ascii="Public Sans" w:hAnsi="Public Sans"/>
          <w:b w:val="0"/>
          <w:i w:val="0"/>
          <w:color w:val="3D3E3E"/>
          <w:sz w:val="19"/>
        </w:rPr>
        <w:t xml:space="preserve"> Fed on an inflation impulse, not a stagflationary growth downgrade.</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{"type":"line","title":"US SOFR swap — the ceasefire-break back-up (WoW)","caption":"The front and long end rose together ~8bp on the week as oil re-spiked and breakevens widened. 2y 3.98%→4.07%, 10y 4.05%→4.14%. A parallel hawkish shift, not a curve move.","unit":"%","series":[{"name":"3 Jul","color":"#2b5a86","points":[["2y",3.98],["10y",4.05]]},{"name":"10 Jul","color":"#a1382f","points":[["2y",4.07],["10y",4.14]]}]}</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The clean way to hold this is Barclays' pay-5y5y SOFR: it expresses "resilience + a fatter term premium" (the structural bond-glut view) without a directional-Fed bet, and it carries the hawkish-CPI tail as convexity. The falsifier is a soft core CPI (≤0.2% m/m) with oil settling back toward $70 — that unwinds both the expectations and the term-premium legs at once.</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own the term-premium/back-up via 5y5y or a 2s10s steepener; do not fade the sell-off ahead of the CPI print that could extend it.</w:t>
      </w:r>
    </w:p>
    <w:p>
      <w:pPr>
        <w:spacing w:before="200" w:after="60"/>
        <w:keepNext/>
        <w:pBdr>
          <w:bottom w:val="single" w:sz="4" w:space="2" w:color="E0E9E4"/>
        </w:pBdr>
      </w:pPr>
      <w:r>
        <w:rPr>
          <w:rFonts w:ascii="Georgia" w:hAnsi="Georgia"/>
          <w:b/>
          <w:color w:val="4D806A"/>
          <w:sz w:val="23"/>
        </w:rPr>
        <w:t>Driver 3 — The inflation decomposition: benign core, the World-Cup wrinkle</w:t>
      </w:r>
    </w:p>
    <w:p>
      <w:pPr>
        <w:spacing w:after="80" w:line="283" w:lineRule="auto"/>
      </w:pPr>
      <w:r>
        <w:rPr>
          <w:rFonts w:ascii="Public Sans" w:hAnsi="Public Sans"/>
          <w:b w:val="0"/>
          <w:i w:val="0"/>
          <w:color w:val="3D3E3E"/>
          <w:sz w:val="19"/>
        </w:rPr>
        <w:t xml:space="preserve">Nomura's June CPI forecast is the granular base case: core CPI </w:t>
      </w:r>
      <w:r>
        <w:rPr>
          <w:rFonts w:ascii="Public Sans" w:hAnsi="Public Sans"/>
          <w:b/>
          <w:i w:val="0"/>
          <w:color w:val="3D3E3E"/>
          <w:sz w:val="19"/>
        </w:rPr>
        <w:t>+0.215% m/m</w:t>
      </w:r>
      <w:r>
        <w:rPr>
          <w:rFonts w:ascii="Public Sans" w:hAnsi="Public Sans"/>
          <w:b w:val="0"/>
          <w:i w:val="0"/>
          <w:color w:val="3D3E3E"/>
          <w:sz w:val="19"/>
        </w:rPr>
        <w:t xml:space="preserve"> (May 0.208%, April 0.376%), with </w:t>
      </w:r>
      <w:r>
        <w:rPr>
          <w:rFonts w:ascii="Public Sans" w:hAnsi="Public Sans"/>
          <w:b/>
          <w:i w:val="0"/>
          <w:color w:val="3D3E3E"/>
          <w:sz w:val="19"/>
        </w:rPr>
        <w:t>core goods negative a second month</w:t>
      </w:r>
      <w:r>
        <w:rPr>
          <w:rFonts w:ascii="Public Sans" w:hAnsi="Public Sans"/>
          <w:b w:val="0"/>
          <w:i w:val="0"/>
          <w:color w:val="3D3E3E"/>
          <w:sz w:val="19"/>
        </w:rPr>
        <w:t xml:space="preserve"> (used-vehicle prices down, no semi-shortage pass-through to electronics) and </w:t>
      </w:r>
      <w:r>
        <w:rPr>
          <w:rFonts w:ascii="Public Sans" w:hAnsi="Public Sans"/>
          <w:b/>
          <w:i w:val="0"/>
          <w:color w:val="3D3E3E"/>
          <w:sz w:val="19"/>
        </w:rPr>
        <w:t>supercore +0.373%</w:t>
      </w:r>
      <w:r>
        <w:rPr>
          <w:rFonts w:ascii="Public Sans" w:hAnsi="Public Sans"/>
          <w:b w:val="0"/>
          <w:i w:val="0"/>
          <w:color w:val="3D3E3E"/>
          <w:sz w:val="19"/>
        </w:rPr>
        <w:t xml:space="preserve"> — the latter juiced by lodging-away-from-home on the </w:t>
      </w:r>
      <w:r>
        <w:rPr>
          <w:rFonts w:ascii="Public Sans" w:hAnsi="Public Sans"/>
          <w:b/>
          <w:i w:val="0"/>
          <w:color w:val="3D3E3E"/>
          <w:sz w:val="19"/>
        </w:rPr>
        <w:t>FIFA World Cup</w:t>
      </w:r>
      <w:r>
        <w:rPr>
          <w:rFonts w:ascii="Public Sans" w:hAnsi="Public Sans"/>
          <w:b w:val="0"/>
          <w:i w:val="0"/>
          <w:color w:val="3D3E3E"/>
          <w:sz w:val="19"/>
        </w:rPr>
        <w:t xml:space="preserve">, offset by soft transport-services (lower jet fuel → airline fares). Rent and OER moderated to +0.24% / +0.28% m/m. That feeds </w:t>
      </w:r>
      <w:r>
        <w:rPr>
          <w:rFonts w:ascii="Public Sans" w:hAnsi="Public Sans"/>
          <w:b/>
          <w:i w:val="0"/>
          <w:color w:val="3D3E3E"/>
          <w:sz w:val="19"/>
        </w:rPr>
        <w:t>core PCE +0.271% m/m → 3.4% y/y</w:t>
      </w:r>
      <w:r>
        <w:rPr>
          <w:rFonts w:ascii="Public Sans" w:hAnsi="Public Sans"/>
          <w:b w:val="0"/>
          <w:i w:val="0"/>
          <w:color w:val="3D3E3E"/>
          <w:sz w:val="19"/>
        </w:rPr>
        <w:t xml:space="preserve"> — but BEA methodology changes (portfolio-management, software, legal services) will </w:t>
      </w:r>
      <w:r>
        <w:rPr>
          <w:rFonts w:ascii="Public Sans" w:hAnsi="Public Sans"/>
          <w:b w:val="0"/>
          <w:i/>
          <w:color w:val="3D3E3E"/>
          <w:sz w:val="19"/>
        </w:rPr>
        <w:t>cut</w:t>
      </w:r>
      <w:r>
        <w:rPr>
          <w:rFonts w:ascii="Public Sans" w:hAnsi="Public Sans"/>
          <w:b w:val="0"/>
          <w:i w:val="0"/>
          <w:color w:val="3D3E3E"/>
          <w:sz w:val="19"/>
        </w:rPr>
        <w:t xml:space="preserve"> ~20bp off y/y core PCE, so policymakers may discount some of the mechanical boost.</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{"type":"line","title":"US core CPI momentum — the disinflation Nomura expects to hold","caption":"Core CPI m/m: 0.376% (Apr) → 0.208% (May) → 0.215% (Jun e). Core goods negative a 2nd month; supercore firmer on World-Cup lodging. y/y core steady ~2.9%. A print &gt;0.3% is the hawkish trigger.","unit":"% m/m","series":[{"name":"Core CPI m/m","color":"#1f6b4f","points":[["Apr",0.376],["May",0.208],["Jun e",0.215]]},{"name":"Supercore m/m","color":"#b5761f","points":[["Apr",0.30],["May",0.273],["Jun e",0.373]]}]}</w:t>
      </w:r>
    </w:p>
    <w:p>
      <w:pPr>
        <w:spacing w:after="80" w:line="283" w:lineRule="auto"/>
      </w:pP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decomposition says the CPI base case is benign — a fade of the ceasefire back-up if it prints. The risk is asymmetric to a hot supercore (World-Cup services + a lagged oil pass-through) that reopens the hike premium.</w:t>
      </w:r>
    </w:p>
    <w:p>
      <w:pPr>
        <w:spacing w:before="200" w:after="60"/>
        <w:keepNext/>
        <w:pBdr>
          <w:bottom w:val="single" w:sz="4" w:space="2" w:color="E0E9E4"/>
        </w:pBdr>
      </w:pPr>
      <w:r>
        <w:rPr>
          <w:rFonts w:ascii="Georgia" w:hAnsi="Georgia"/>
          <w:b/>
          <w:color w:val="4D806A"/>
          <w:sz w:val="23"/>
        </w:rPr>
        <w:t>Driver 4 — The Warsh framework: task forces and forward-guidance de-emphasis</w:t>
      </w:r>
    </w:p>
    <w:p>
      <w:pPr>
        <w:spacing w:after="80" w:line="283" w:lineRule="auto"/>
      </w:pPr>
      <w:r>
        <w:rPr>
          <w:rFonts w:ascii="Public Sans" w:hAnsi="Public Sans"/>
          <w:b w:val="0"/>
          <w:i w:val="0"/>
          <w:color w:val="3D3E3E"/>
          <w:sz w:val="19"/>
        </w:rPr>
        <w:t>The Warsh Fed's institutional signal firmed. Five "Chairman's Task Forces" launched (JPM's read: the naming is telling — leaders align with Warsh's stated preferences; the communications group will likely de-emphasise forward guidance, the balance-sheet group stress financial-stability risks of asset purchases, the data group favour alternative data). Nomura reads the membership as "evolutionary, not revolutionary" — Warsh even included balance-sheet members who oppose his views, a credibility signal — and expects his 14–15 July testimony to defer to the task forces. Barclays notes the communication regime itself changes vol: shorter statements mean higher meeting-day vol, offset by falling macro uncertainty. Williams (NY Fed) tempered his dovish lean, flagging that persistent AI demand "could force the Fed to raise rates."</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JPM and Nomura split on how loaded the task-force personnel are (JPM: aligned with Warsh; Nomura: deliberately balanced), but agree the </w:t>
      </w:r>
      <w:r>
        <w:rPr>
          <w:rFonts w:ascii="Public Sans" w:hAnsi="Public Sans"/>
          <w:b w:val="0"/>
          <w:i/>
          <w:color w:val="3D3E3E"/>
          <w:sz w:val="19"/>
        </w:rPr>
        <w:t>near-term</w:t>
      </w:r>
      <w:r>
        <w:rPr>
          <w:rFonts w:ascii="Public Sans" w:hAnsi="Public Sans"/>
          <w:b w:val="0"/>
          <w:i w:val="0"/>
          <w:color w:val="3D3E3E"/>
          <w:sz w:val="19"/>
        </w:rPr>
        <w:t xml:space="preserve"> policy read is unchanged — the review is a 2H26/2027 story. For the book, the actionable Warsh signal this week is narrow: any hint on forward-guidance de-emphasis raises event-day rate vol, which argues for owning gamma into the CPI/testimony cluster.</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framework review is not a July mover; it is a vol story. Own optionality into 14–15 July rather than a directional framework bet.</w:t>
      </w:r>
    </w:p>
    <w:p>
      <w:pPr>
        <w:spacing w:before="200" w:after="60"/>
        <w:keepNext/>
        <w:pBdr>
          <w:bottom w:val="single" w:sz="4" w:space="2" w:color="E0E9E4"/>
        </w:pBdr>
      </w:pPr>
      <w:r>
        <w:rPr>
          <w:rFonts w:ascii="Georgia" w:hAnsi="Georgia"/>
          <w:b/>
          <w:color w:val="4D806A"/>
          <w:sz w:val="23"/>
        </w:rPr>
        <w:t>Country trade board — United States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4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6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31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2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45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6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4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U1</w:t>
            </w:r>
          </w:p>
        </w:tc>
        <w:tc>
          <w:tcPr>
            <w:tcW w:type="dxa" w:w="6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w:t>
            </w:r>
          </w:p>
        </w:tc>
        <w:tc>
          <w:tcPr>
            <w:tcW w:type="dxa" w:w="31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Pay 5y5y SOFR</w:t>
            </w:r>
          </w:p>
        </w:tc>
        <w:tc>
          <w:tcPr>
            <w:tcW w:type="dxa" w:w="12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this week</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expectations + term premium higher / soft CPI + oil&lt;$70</w:t>
            </w:r>
          </w:p>
        </w:tc>
        <w:tc>
          <w:tcPr>
            <w:tcW w:type="dxa" w:w="6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New</w:t>
            </w:r>
          </w:p>
        </w:tc>
      </w:tr>
      <w:tr>
        <w:tc>
          <w:tcPr>
            <w:tcW w:type="dxa" w:w="4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U2</w:t>
            </w:r>
          </w:p>
        </w:tc>
        <w:tc>
          <w:tcPr>
            <w:tcW w:type="dxa" w:w="6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 UBS</w:t>
            </w:r>
          </w:p>
        </w:tc>
        <w:tc>
          <w:tcPr>
            <w:tcW w:type="dxa" w:w="31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2s10s steepener (US)</w:t>
            </w:r>
          </w:p>
        </w:tc>
        <w:tc>
          <w:tcPr>
            <w:tcW w:type="dxa" w:w="12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persists</w:t>
            </w:r>
          </w:p>
        </w:tc>
        <w:tc>
          <w:tcPr>
            <w:tcW w:type="dxa" w:w="45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bull- or bear-steepen</w:t>
            </w:r>
          </w:p>
        </w:tc>
        <w:tc>
          <w:tcPr>
            <w:tcW w:type="dxa" w:w="6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Persists</w:t>
            </w:r>
          </w:p>
        </w:tc>
      </w:tr>
      <w:tr>
        <w:tc>
          <w:tcPr>
            <w:tcW w:type="dxa" w:w="4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U3</w:t>
            </w:r>
          </w:p>
        </w:tc>
        <w:tc>
          <w:tcPr>
            <w:tcW w:type="dxa" w:w="6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RV read</w:t>
            </w:r>
          </w:p>
        </w:tc>
        <w:tc>
          <w:tcPr>
            <w:tcW w:type="dxa" w:w="31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Own gamma into 14–15 Jul (CPI + Warsh)</w:t>
            </w:r>
          </w:p>
        </w:tc>
        <w:tc>
          <w:tcPr>
            <w:tcW w:type="dxa" w:w="12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pre-event</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realised vol on the print</w:t>
            </w:r>
          </w:p>
        </w:tc>
        <w:tc>
          <w:tcPr>
            <w:tcW w:type="dxa" w:w="6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Tactical</w:t>
            </w:r>
          </w:p>
        </w:tc>
      </w:tr>
    </w:tbl>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INTERNAL COHERENCE CHECK</w:t>
      </w:r>
      <w:r>
        <w:rPr>
          <w:rFonts w:ascii="Public Sans" w:hAnsi="Public Sans"/>
          <w:b w:val="0"/>
          <w:i w:val="0"/>
          <w:color w:val="3D3E3E"/>
          <w:sz w:val="19"/>
        </w:rPr>
        <w:t xml:space="preserve"> — U1 (pay 5y5y) and U2 (2s10s steepener) are complementary, not redundant: 5y5y expresses the term-premium/expectations back-up at the forward, the steepener expresses the long-end-cheapens-most bond-glut view. Both lose on the </w:t>
      </w:r>
      <w:r>
        <w:rPr>
          <w:rFonts w:ascii="Public Sans" w:hAnsi="Public Sans"/>
          <w:b w:val="0"/>
          <w:i/>
          <w:color w:val="3D3E3E"/>
          <w:sz w:val="19"/>
        </w:rPr>
        <w:t>same</w:t>
      </w:r>
      <w:r>
        <w:rPr>
          <w:rFonts w:ascii="Public Sans" w:hAnsi="Public Sans"/>
          <w:b w:val="0"/>
          <w:i w:val="0"/>
          <w:color w:val="3D3E3E"/>
          <w:sz w:val="19"/>
        </w:rPr>
        <w:t xml:space="preserve"> trigger — a benign core CPI with oil retreating — so they are one risk factor, not two. Size accordingly and treat U3 (long gamma) as the hedge against being wrong on the print direction.</w:t>
      </w:r>
    </w:p>
    <w:p>
      <w:pPr>
        <w:spacing w:before="200" w:after="60"/>
        <w:keepNext/>
        <w:pBdr>
          <w:bottom w:val="single" w:sz="4" w:space="2" w:color="E0E9E4"/>
        </w:pBdr>
      </w:pPr>
      <w:r>
        <w:rPr>
          <w:rFonts w:ascii="Georgia" w:hAnsi="Georgia"/>
          <w:b/>
          <w:color w:val="4D806A"/>
          <w:sz w:val="23"/>
        </w:rPr>
        <w:t>Mini Argument Audit — United States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31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375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375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31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Hike-pricing sticky vs revised away</w:t>
            </w:r>
          </w:p>
        </w:tc>
        <w:tc>
          <w:tcPr>
            <w:tcW w:type="dxa" w:w="37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(pay 5y5y, resilience, sticky hikes) vs Nomura (no hikes to 2027, benign core)</w:t>
            </w:r>
          </w:p>
        </w:tc>
        <w:tc>
          <w:tcPr>
            <w:tcW w:type="dxa" w:w="37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Resilience Solid, next-move Live.</w:t>
            </w:r>
            <w:r>
              <w:rPr>
                <w:rFonts w:ascii="Public Sans" w:hAnsi="Public Sans"/>
                <w:b w:val="0"/>
                <w:i w:val="0"/>
                <w:color w:val="3D3E3E"/>
                <w:sz w:val="16"/>
              </w:rPr>
              <w:t xml:space="preserve"> 215k claims, ISM 54.0, a held-but-split Fed with upside-risk language are hard facts; the 14 Jul core CPI is the sole adjudicator. Pay-5y5y is a higher-quality expression than an outright directional bet.</w:t>
            </w:r>
          </w:p>
        </w:tc>
      </w:tr>
      <w:tr>
        <w:tc>
          <w:tcPr>
            <w:tcW w:type="dxa" w:w="31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Is oil a growth shock or an inflation impulse?</w:t>
            </w:r>
          </w:p>
        </w:tc>
        <w:tc>
          <w:tcPr>
            <w:tcW w:type="dxa" w:w="37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Bond selloff + breakevens (inflation) vs equities +1.2%, VIX→15 (no downgrade)</w:t>
            </w:r>
          </w:p>
        </w:tc>
        <w:tc>
          <w:tcPr>
            <w:tcW w:type="dxa" w:w="37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Inflation-impulse read Solid.</w:t>
            </w:r>
            <w:r>
              <w:rPr>
                <w:rFonts w:ascii="Public Sans" w:hAnsi="Public Sans"/>
                <w:b w:val="0"/>
                <w:i w:val="0"/>
                <w:color w:val="3D3E3E"/>
                <w:sz w:val="16"/>
              </w:rPr>
              <w:t xml:space="preserve"> Breakevens, not real rates, led the move; risk assets and vol confirm no growth scare — for now. A move through $85 on Hormuz would flip this.</w:t>
            </w:r>
          </w:p>
        </w:tc>
      </w:tr>
      <w:tr>
        <w:tc>
          <w:tcPr>
            <w:tcW w:type="dxa" w:w="31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Does the Warsh framework matter for July?</w:t>
            </w:r>
          </w:p>
        </w:tc>
        <w:tc>
          <w:tcPr>
            <w:tcW w:type="dxa" w:w="37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Institutional signal firming (JPM) vs "evolutionary, not revolutionary" (Nomura)</w:t>
            </w:r>
          </w:p>
        </w:tc>
        <w:tc>
          <w:tcPr>
            <w:tcW w:type="dxa" w:w="37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Weak as a July driver, Live as a vol story.</w:t>
            </w:r>
            <w:r>
              <w:rPr>
                <w:rFonts w:ascii="Public Sans" w:hAnsi="Public Sans"/>
                <w:b w:val="0"/>
                <w:i w:val="0"/>
                <w:color w:val="3D3E3E"/>
                <w:sz w:val="16"/>
              </w:rPr>
              <w:t xml:space="preserve"> The review is a 2H26/2027 event; its near-term footprint is event-day rate vol on any guidance-de-emphasis hint.</w:t>
            </w:r>
          </w:p>
        </w:tc>
      </w:tr>
    </w:tbl>
    <w:p>
      <w:pPr>
        <w:spacing w:before="200" w:after="60"/>
        <w:keepNext/>
        <w:pBdr>
          <w:bottom w:val="single" w:sz="4" w:space="2" w:color="E0E9E4"/>
        </w:pBdr>
      </w:pPr>
      <w:r>
        <w:rPr>
          <w:rFonts w:ascii="Georgia" w:hAnsi="Georgia"/>
          <w:b/>
          <w:color w:val="4D806A"/>
          <w:sz w:val="23"/>
        </w:rPr>
        <w:t>This week &amp; next week — United States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0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16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295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189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 it rests on</w:t>
            </w:r>
          </w:p>
        </w:tc>
        <w:tc>
          <w:tcPr>
            <w:tcW w:type="dxa" w:w="30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10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14 Jul</w:t>
            </w:r>
          </w:p>
        </w:tc>
        <w:tc>
          <w:tcPr>
            <w:tcW w:type="dxa" w:w="16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CPI</w:t>
            </w:r>
          </w:p>
        </w:tc>
        <w:tc>
          <w:tcPr>
            <w:tcW w:type="dxa" w:w="29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2.9% y/y, 0.3% m/m; headline 3.9% y/y, −0.1% m/m</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tariff fade + core-goods deflation</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Nomura 0.215% benign vs Barclays sticky-hikes; </w:t>
            </w:r>
            <w:r>
              <w:rPr>
                <w:rFonts w:ascii="Public Sans" w:hAnsi="Public Sans"/>
                <w:b/>
                <w:i w:val="0"/>
                <w:color w:val="3D3E3E"/>
                <w:sz w:val="16"/>
              </w:rPr>
              <w:t>the hike-vs-hold adjudicator</w:t>
            </w:r>
          </w:p>
        </w:tc>
      </w:tr>
      <w:tr>
        <w:tc>
          <w:tcPr>
            <w:tcW w:type="dxa" w:w="10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This wk — 14–15 Jul</w:t>
            </w:r>
          </w:p>
        </w:tc>
        <w:tc>
          <w:tcPr>
            <w:tcW w:type="dxa" w:w="16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Warsh testimony (House/Senate)</w:t>
            </w:r>
          </w:p>
        </w:tc>
        <w:tc>
          <w:tcPr>
            <w:tcW w:type="dxa" w:w="29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first semi-annual</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defers to task forces</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 "unlikely to break new ground"; the risk is a framework-review signal</w:t>
            </w:r>
          </w:p>
        </w:tc>
      </w:tr>
      <w:tr>
        <w:tc>
          <w:tcPr>
            <w:tcW w:type="dxa" w:w="10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15 Jul</w:t>
            </w:r>
          </w:p>
        </w:tc>
        <w:tc>
          <w:tcPr>
            <w:tcW w:type="dxa" w:w="16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PPI</w:t>
            </w:r>
          </w:p>
        </w:tc>
        <w:tc>
          <w:tcPr>
            <w:tcW w:type="dxa" w:w="29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0.4% m/m; final demand prior 1.1%</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services PPI feeds core PCE</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portfolio-mgmt PPI (+2.7% m/m est) helps core PCE outpace core CPI</w:t>
            </w:r>
          </w:p>
        </w:tc>
      </w:tr>
      <w:tr>
        <w:tc>
          <w:tcPr>
            <w:tcW w:type="dxa" w:w="10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This wk — 16 Jul</w:t>
            </w:r>
          </w:p>
        </w:tc>
        <w:tc>
          <w:tcPr>
            <w:tcW w:type="dxa" w:w="16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Retail sales</w:t>
            </w:r>
          </w:p>
        </w:tc>
        <w:tc>
          <w:tcPr>
            <w:tcW w:type="dxa" w:w="29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+0.3% m/m (prior +0.9%)</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gasoline drag, control group firm</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 slowdown is gasoline-led; confirms resilience</w:t>
            </w:r>
          </w:p>
        </w:tc>
      </w:tr>
      <w:tr>
        <w:tc>
          <w:tcPr>
            <w:tcW w:type="dxa" w:w="10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17 Jul</w:t>
            </w:r>
          </w:p>
        </w:tc>
        <w:tc>
          <w:tcPr>
            <w:tcW w:type="dxa" w:w="16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Michigan sentiment prel</w:t>
            </w:r>
          </w:p>
        </w:tc>
        <w:tc>
          <w:tcPr>
            <w:tcW w:type="dxa" w:w="29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51.0 (prior 49.5)</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sentiment off lows</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gas-price re-spike is the downside risk</w:t>
            </w:r>
          </w:p>
        </w:tc>
      </w:tr>
      <w:tr>
        <w:tc>
          <w:tcPr>
            <w:tcW w:type="dxa" w:w="10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Next wk — 29 Jul</w:t>
            </w:r>
          </w:p>
        </w:tc>
        <w:tc>
          <w:tcPr>
            <w:tcW w:type="dxa" w:w="16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FOMC decision</w:t>
            </w:r>
          </w:p>
        </w:tc>
        <w:tc>
          <w:tcPr>
            <w:tcW w:type="dxa" w:w="29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3.5–3.75%</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data doesn't force a move</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tone post-CPI is the trade</w:t>
            </w:r>
          </w:p>
        </w:tc>
      </w:tr>
      <w:tr>
        <w:tc>
          <w:tcPr>
            <w:tcW w:type="dxa" w:w="10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Next wk — 30 Jul</w:t>
            </w:r>
          </w:p>
        </w:tc>
        <w:tc>
          <w:tcPr>
            <w:tcW w:type="dxa" w:w="16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PCE + Q2 GDP adv</w:t>
            </w:r>
          </w:p>
        </w:tc>
        <w:tc>
          <w:tcPr>
            <w:tcW w:type="dxa" w:w="29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PCE 0.3% m/m; GDP +2.1%</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 ~2%+</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Q2 tracking 2.3%, real final sales 2.9%</w:t>
            </w:r>
          </w:p>
        </w:tc>
      </w:tr>
    </w:tbl>
    <w:p>
      <w:pPr>
        <w:spacing w:after="80" w:line="283" w:lineRule="auto"/>
      </w:pPr>
      <w:r>
        <w:rPr>
          <w:rFonts w:ascii="Public Sans" w:hAnsi="Public Sans"/>
          <w:b w:val="0"/>
          <w:i w:val="0"/>
          <w:color w:val="3D3E3E"/>
          <w:sz w:val="19"/>
        </w:rPr>
        <w:t>Positioning read: the whole week funnels into Tuesday's core CPI. A ≤0.2% print with oil easing lets the front end fade the ceasefire back-up (unwind U1/U2); a ≥0.3% print with oil bid extends it and revives the Warsh-Fed hike option. Own gamma through the CPI + testimony; do not carry a naked directional-Fed view into a coin-flip inflation print.</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UNITED KINGDOM — the biggest DM back-up, on the least domestic news</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10y SONIA </w:t>
      </w:r>
      <w:r>
        <w:rPr>
          <w:rFonts w:ascii="Public Sans" w:hAnsi="Public Sans"/>
          <w:b/>
          <w:i w:val="0"/>
          <w:color w:val="3D3E3E"/>
          <w:sz w:val="19"/>
        </w:rPr>
        <w:t>4.49%</w:t>
      </w:r>
      <w:r>
        <w:rPr>
          <w:rFonts w:ascii="Public Sans" w:hAnsi="Public Sans"/>
          <w:b w:val="0"/>
          <w:i w:val="0"/>
          <w:color w:val="3D3E3E"/>
          <w:sz w:val="19"/>
        </w:rPr>
        <w:t xml:space="preserve"> (+12bp WoW), 2y 4.12% (+13bp) — the biggest DM front-end move · GBP </w:t>
      </w:r>
      <w:r>
        <w:rPr>
          <w:rFonts w:ascii="Public Sans" w:hAnsi="Public Sans"/>
          <w:b/>
          <w:i w:val="0"/>
          <w:color w:val="3D3E3E"/>
          <w:sz w:val="19"/>
        </w:rPr>
        <w:t>+0.3%</w:t>
      </w:r>
      <w:r>
        <w:rPr>
          <w:rFonts w:ascii="Public Sans" w:hAnsi="Public Sans"/>
          <w:b w:val="0"/>
          <w:i w:val="0"/>
          <w:color w:val="3D3E3E"/>
          <w:sz w:val="19"/>
        </w:rPr>
        <w:t xml:space="preserve"> (1.3399) · BoE Bank Rate </w:t>
      </w:r>
      <w:r>
        <w:rPr>
          <w:rFonts w:ascii="Public Sans" w:hAnsi="Public Sans"/>
          <w:b/>
          <w:i w:val="0"/>
          <w:color w:val="3D3E3E"/>
          <w:sz w:val="19"/>
        </w:rPr>
        <w:t>3.75%</w:t>
      </w:r>
      <w:r>
        <w:rPr>
          <w:rFonts w:ascii="Public Sans" w:hAnsi="Public Sans"/>
          <w:b w:val="0"/>
          <w:i w:val="0"/>
          <w:color w:val="3D3E3E"/>
          <w:sz w:val="19"/>
        </w:rPr>
        <w:t xml:space="preserve"> (30 Jul next) · construction PMI </w:t>
      </w:r>
      <w:r>
        <w:rPr>
          <w:rFonts w:ascii="Public Sans" w:hAnsi="Public Sans"/>
          <w:b/>
          <w:i w:val="0"/>
          <w:color w:val="3D3E3E"/>
          <w:sz w:val="19"/>
        </w:rPr>
        <w:t>38.4</w:t>
      </w:r>
      <w:r>
        <w:rPr>
          <w:rFonts w:ascii="Public Sans" w:hAnsi="Public Sans"/>
          <w:b w:val="0"/>
          <w:i w:val="0"/>
          <w:color w:val="3D3E3E"/>
          <w:sz w:val="19"/>
        </w:rPr>
        <w:t xml:space="preserve"> (soft), RICS house-price balance </w:t>
      </w:r>
      <w:r>
        <w:rPr>
          <w:rFonts w:ascii="Public Sans" w:hAnsi="Public Sans"/>
          <w:b/>
          <w:i w:val="0"/>
          <w:color w:val="3D3E3E"/>
          <w:sz w:val="19"/>
        </w:rPr>
        <w:t>−33</w:t>
      </w:r>
      <w:r>
        <w:rPr>
          <w:rFonts w:ascii="Public Sans" w:hAnsi="Public Sans"/>
          <w:b w:val="0"/>
          <w:i w:val="0"/>
          <w:color w:val="3D3E3E"/>
          <w:sz w:val="19"/>
        </w:rPr>
        <w:t xml:space="preserve"> (from −35), BRC retail-sales monitor decelerating to </w:t>
      </w:r>
      <w:r>
        <w:rPr>
          <w:rFonts w:ascii="Public Sans" w:hAnsi="Public Sans"/>
          <w:b/>
          <w:i w:val="0"/>
          <w:color w:val="3D3E3E"/>
          <w:sz w:val="19"/>
        </w:rPr>
        <w:t>2.9%</w:t>
      </w:r>
      <w:r>
        <w:rPr>
          <w:rFonts w:ascii="Public Sans" w:hAnsi="Public Sans"/>
          <w:b w:val="0"/>
          <w:i w:val="0"/>
          <w:color w:val="3D3E3E"/>
          <w:sz w:val="19"/>
        </w:rPr>
        <w:t xml:space="preserve"> · June CPI prior </w:t>
      </w:r>
      <w:r>
        <w:rPr>
          <w:rFonts w:ascii="Public Sans" w:hAnsi="Public Sans"/>
          <w:b/>
          <w:i w:val="0"/>
          <w:color w:val="3D3E3E"/>
          <w:sz w:val="19"/>
        </w:rPr>
        <w:t>2.8%</w:t>
      </w:r>
      <w:r>
        <w:rPr>
          <w:rFonts w:ascii="Public Sans" w:hAnsi="Public Sans"/>
          <w:b w:val="0"/>
          <w:i w:val="0"/>
          <w:color w:val="3D3E3E"/>
          <w:sz w:val="19"/>
        </w:rPr>
        <w:t xml:space="preserve"> (core 2.6%), prints 22 Jul.</w:t>
      </w:r>
    </w:p>
    <w:p>
      <w:pPr>
        <w:spacing w:after="80" w:line="283" w:lineRule="auto"/>
      </w:pPr>
      <w:r>
        <w:rPr>
          <w:rFonts w:ascii="Public Sans" w:hAnsi="Public Sans"/>
          <w:b w:val="0"/>
          <w:i w:val="0"/>
          <w:color w:val="3D3E3E"/>
          <w:sz w:val="19"/>
        </w:rPr>
        <w:t xml:space="preserve">The UK rate move was almost entirely </w:t>
      </w:r>
      <w:r>
        <w:rPr>
          <w:rFonts w:ascii="Public Sans" w:hAnsi="Public Sans"/>
          <w:b w:val="0"/>
          <w:i/>
          <w:color w:val="3D3E3E"/>
          <w:sz w:val="19"/>
        </w:rPr>
        <w:t>imported</w:t>
      </w:r>
      <w:r>
        <w:rPr>
          <w:rFonts w:ascii="Public Sans" w:hAnsi="Public Sans"/>
          <w:b w:val="0"/>
          <w:i w:val="0"/>
          <w:color w:val="3D3E3E"/>
          <w:sz w:val="19"/>
        </w:rPr>
        <w:t xml:space="preserve"> — gilts backed up 12–13bp on the global ceasefire-driven wave (Barclays: UK 2y +~15bp on the day) while the domestic dataflow stayed soft. That tension is the BoE's 30 July dilemma in miniature.</w:t>
      </w:r>
    </w:p>
    <w:p>
      <w:pPr>
        <w:spacing w:before="200" w:after="60"/>
        <w:keepNext/>
        <w:pBdr>
          <w:bottom w:val="single" w:sz="4" w:space="2" w:color="E0E9E4"/>
        </w:pBdr>
      </w:pPr>
      <w:r>
        <w:rPr>
          <w:rFonts w:ascii="Georgia" w:hAnsi="Georgia"/>
          <w:b/>
          <w:color w:val="4D806A"/>
          <w:sz w:val="23"/>
        </w:rPr>
        <w:t>Driver 1 — Rates rode the global wave, not the data</w:t>
      </w:r>
    </w:p>
    <w:p>
      <w:pPr>
        <w:spacing w:before="120" w:after="40"/>
        <w:keepNext/>
      </w:pPr>
      <w:r>
        <w:rPr>
          <w:rFonts w:ascii="Public Sans" w:hAnsi="Public Sans"/>
          <w:b/>
          <w:i w:val="0"/>
          <w:color w:val="001830"/>
          <w:sz w:val="19"/>
        </w:rPr>
        <w:t>Desk-read — a +12–13bp gilt back-up on no UK catalyst</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30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380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380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30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Barclays (Khanna)</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UK 2y rose ~15bp on the day of the Iran re-escalation, in line with Germany and more than the US; a global breakeven-led move</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Gilts are a global-rates taker here; the domestic story is a </w:t>
            </w:r>
            <w:r>
              <w:rPr>
                <w:rFonts w:ascii="Public Sans" w:hAnsi="Public Sans"/>
                <w:b w:val="0"/>
                <w:i/>
                <w:color w:val="3D3E3E"/>
                <w:sz w:val="16"/>
              </w:rPr>
              <w:t>separate</w:t>
            </w:r>
            <w:r>
              <w:rPr>
                <w:rFonts w:ascii="Public Sans" w:hAnsi="Public Sans"/>
                <w:b w:val="0"/>
                <w:i w:val="0"/>
                <w:color w:val="3D3E3E"/>
                <w:sz w:val="16"/>
              </w:rPr>
              <w:t>, softer signal</w:t>
            </w:r>
          </w:p>
        </w:tc>
      </w:tr>
      <w:tr>
        <w:tc>
          <w:tcPr>
            <w:tcW w:type="dxa" w:w="30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Barclays (Rates Strategy, "Getting ratioed")</w:t>
            </w:r>
          </w:p>
        </w:tc>
        <w:tc>
          <w:tcPr>
            <w:tcW w:type="dxa" w:w="3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FPC loosened capital requirements but stopped short of the gilt exemption that would have created a structural bid; ending the reserves exclusion is underestimated and would bolster short-gilt demand</w:t>
            </w:r>
          </w:p>
        </w:tc>
        <w:tc>
          <w:tcPr>
            <w:tcW w:type="dxa" w:w="3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 domestic offset to the sell-off; a latent short-end demand story if the FPC goes further</w:t>
            </w:r>
          </w:p>
        </w:tc>
      </w:tr>
    </w:tbl>
    <w:p>
      <w:pPr>
        <w:spacing w:after="80" w:line="283" w:lineRule="auto"/>
      </w:pPr>
      <w:r>
        <w:rPr>
          <w:rFonts w:ascii="Public Sans" w:hAnsi="Public Sans"/>
          <w:b w:val="0"/>
          <w:i w:val="0"/>
          <w:color w:val="3D3E3E"/>
          <w:sz w:val="19"/>
        </w:rPr>
        <w:t>The gilt front end rose 13bp with zero hawkish UK news — the move was the European breakeven wave plus the failed FPC bid. Domestically the pulse is weak: construction PMI 38.4 (deep contraction), RICS −33, BRC retail sales decelerating.</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{"type":"grouped","title":"UK gilts led the DM back-up — 2y and 10y SONIA vs peers (WoW bp)","caption":"UK 2y +13bp / 10y +12bp, the biggest front-end move in the DM universe, imported from the global breakeven wave rather than UK data (which softened). Contrast Japan (−6bp 10y).","unit":"bp WoW","series":[{"name":"2y","color":"#2b5a86","points":[["UK",13.1],["NZ",14.6],["US",8.2],["CA",7.6],["JP",1.0]]},{"name":"10y","color":"#b5761f","points":[["UK",12.0],["NZ",12.0],["US",8.5],["CA",6.9],["JP",-6.0]]}]}</w:t>
      </w:r>
    </w:p>
    <w:p>
      <w:pPr>
        <w:spacing w:after="80" w:line="283" w:lineRule="auto"/>
      </w:pP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gilt front end is rich to the domestic data if the move was purely global — a receive-UK-2y-vs-the-complex fade, with the 22 July CPI as the trigger/stop.</w:t>
      </w:r>
    </w:p>
    <w:p>
      <w:pPr>
        <w:spacing w:before="200" w:after="60"/>
        <w:keepNext/>
        <w:pBdr>
          <w:bottom w:val="single" w:sz="4" w:space="2" w:color="E0E9E4"/>
        </w:pBdr>
      </w:pPr>
      <w:r>
        <w:rPr>
          <w:rFonts w:ascii="Georgia" w:hAnsi="Georgia"/>
          <w:b/>
          <w:color w:val="4D806A"/>
          <w:sz w:val="23"/>
        </w:rPr>
        <w:t>Driver 2 — The domestic pulse is soft</w:t>
      </w:r>
    </w:p>
    <w:p>
      <w:pPr>
        <w:spacing w:after="80" w:line="283" w:lineRule="auto"/>
      </w:pPr>
      <w:r>
        <w:rPr>
          <w:rFonts w:ascii="Public Sans" w:hAnsi="Public Sans"/>
          <w:b w:val="0"/>
          <w:i w:val="0"/>
          <w:color w:val="3D3E3E"/>
          <w:sz w:val="19"/>
        </w:rPr>
        <w:t>Construction PMI 38.4 (below the 40 consensus, barely above the 38.2 prior), RICS house-price balance −33, Lloyds house prices +0.2% m/m, new-car registrations firm (+11.4%) but the BRC retail-sales monitor decelerating to 2.9% (from 3.4%). The activity signal is sub-trend and services-led-soft — the opposite of the hawkish rate move.</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The gilt curve and the UK data are pointing in </w:t>
      </w:r>
      <w:r>
        <w:rPr>
          <w:rFonts w:ascii="Public Sans" w:hAnsi="Public Sans"/>
          <w:b w:val="0"/>
          <w:i/>
          <w:color w:val="3D3E3E"/>
          <w:sz w:val="19"/>
        </w:rPr>
        <w:t>opposite</w:t>
      </w:r>
      <w:r>
        <w:rPr>
          <w:rFonts w:ascii="Public Sans" w:hAnsi="Public Sans"/>
          <w:b w:val="0"/>
          <w:i w:val="0"/>
          <w:color w:val="3D3E3E"/>
          <w:sz w:val="19"/>
        </w:rPr>
        <w:t xml:space="preserve"> directions this week: rates backed up 12bp while every domestic activity print softened. That divergence only resolves one way — either the 22 July CPI validates the sell-off (sticky services) or the domestic-soft signal wins and the front end re-rallies. The tell to watch is services inflation, not the headline.</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domestic data argues the BoE stays on a cutting path; the front end has priced that out on a global impulse. Fade the 2y back-up conditional on a soft-to-in-line 22 Jul CPI.</w:t>
      </w:r>
    </w:p>
    <w:p>
      <w:pPr>
        <w:spacing w:before="200" w:after="60"/>
        <w:keepNext/>
        <w:pBdr>
          <w:bottom w:val="single" w:sz="4" w:space="2" w:color="E0E9E4"/>
        </w:pBdr>
      </w:pPr>
      <w:r>
        <w:rPr>
          <w:rFonts w:ascii="Georgia" w:hAnsi="Georgia"/>
          <w:b/>
          <w:color w:val="4D806A"/>
          <w:sz w:val="23"/>
        </w:rPr>
        <w:t>Driver 3 — The BoE's 30 July dilemma</w:t>
      </w:r>
    </w:p>
    <w:p>
      <w:pPr>
        <w:spacing w:after="80" w:line="283" w:lineRule="auto"/>
      </w:pPr>
      <w:r>
        <w:rPr>
          <w:rFonts w:ascii="Public Sans" w:hAnsi="Public Sans"/>
          <w:b w:val="0"/>
          <w:i w:val="0"/>
          <w:color w:val="3D3E3E"/>
          <w:sz w:val="19"/>
        </w:rPr>
        <w:t>The 30 July BoE meeting is the crux: a loosening labour market (u-rate 4.9%, average earnings decelerating) against still-sticky services inflation (core CPI 2.6%). Bank Rate is 3.75%; the vote split is the event, not the level. The 21 July jobs and 22 July CPI are the inputs that pre-set it.</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The UK front end is the cleanest "domestic-soft vs global-hawkish" relative-value in the DM complex. Received UK 2y vs paid US/EUR expresses "the BoE cuts while the Fed holds", and the gilt back-up this week improved the entry. The falsifier is a sticky 22 July services CPI that hands the BoE cover to hold — size to the CPI, not the thesis.</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express the BoE-cuts view in the 2y vs a paid US/EUR leg; the 22 July CPI is both the catalyst and the stop.</w:t>
      </w:r>
    </w:p>
    <w:p>
      <w:pPr>
        <w:spacing w:before="200" w:after="60"/>
        <w:keepNext/>
        <w:pBdr>
          <w:bottom w:val="single" w:sz="4" w:space="2" w:color="E0E9E4"/>
        </w:pBdr>
      </w:pPr>
      <w:r>
        <w:rPr>
          <w:rFonts w:ascii="Georgia" w:hAnsi="Georgia"/>
          <w:b/>
          <w:color w:val="4D806A"/>
          <w:sz w:val="23"/>
        </w:rPr>
        <w:t>Country trade board — United Kingdom</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4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13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424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15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285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6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4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K1</w:t>
            </w:r>
          </w:p>
        </w:tc>
        <w:tc>
          <w:tcPr>
            <w:tcW w:type="dxa" w:w="13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 / consensus</w:t>
            </w:r>
          </w:p>
        </w:tc>
        <w:tc>
          <w:tcPr>
            <w:tcW w:type="dxa" w:w="42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2s10s gilt steepener</w:t>
            </w:r>
          </w:p>
        </w:tc>
        <w:tc>
          <w:tcPr>
            <w:tcW w:type="dxa" w:w="11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persists</w:t>
            </w:r>
          </w:p>
        </w:tc>
        <w:tc>
          <w:tcPr>
            <w:tcW w:type="dxa" w:w="28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supply + a BoE-cut path</w:t>
            </w:r>
          </w:p>
        </w:tc>
        <w:tc>
          <w:tcPr>
            <w:tcW w:type="dxa" w:w="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Persists</w:t>
            </w:r>
          </w:p>
        </w:tc>
      </w:tr>
      <w:tr>
        <w:tc>
          <w:tcPr>
            <w:tcW w:type="dxa" w:w="4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K2</w:t>
            </w:r>
          </w:p>
        </w:tc>
        <w:tc>
          <w:tcPr>
            <w:tcW w:type="dxa" w:w="13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RV read</w:t>
            </w:r>
          </w:p>
        </w:tc>
        <w:tc>
          <w:tcPr>
            <w:tcW w:type="dxa" w:w="42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Receive UK 2y vs paid US/EUR</w:t>
            </w:r>
          </w:p>
        </w:tc>
        <w:tc>
          <w:tcPr>
            <w:tcW w:type="dxa" w:w="11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post-back-up</w:t>
            </w:r>
          </w:p>
        </w:tc>
        <w:tc>
          <w:tcPr>
            <w:tcW w:type="dxa" w:w="28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soft 22 Jul CPI / sticky services CPI</w:t>
            </w:r>
          </w:p>
        </w:tc>
        <w:tc>
          <w:tcPr>
            <w:tcW w:type="dxa" w:w="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Tactical</w:t>
            </w:r>
          </w:p>
        </w:tc>
      </w:tr>
      <w:tr>
        <w:tc>
          <w:tcPr>
            <w:tcW w:type="dxa" w:w="4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K3</w:t>
            </w:r>
          </w:p>
        </w:tc>
        <w:tc>
          <w:tcPr>
            <w:tcW w:type="dxa" w:w="13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(latent)</w:t>
            </w:r>
          </w:p>
        </w:tc>
        <w:tc>
          <w:tcPr>
            <w:tcW w:type="dxa" w:w="42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Own short-gilt demand if FPC ends the reserves exclusion</w:t>
            </w:r>
          </w:p>
        </w:tc>
        <w:tc>
          <w:tcPr>
            <w:tcW w:type="dxa" w:w="11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watch</w:t>
            </w:r>
          </w:p>
        </w:tc>
        <w:tc>
          <w:tcPr>
            <w:tcW w:type="dxa" w:w="28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FPC policy shift</w:t>
            </w:r>
          </w:p>
        </w:tc>
        <w:tc>
          <w:tcPr>
            <w:tcW w:type="dxa" w:w="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Watch</w:t>
            </w:r>
          </w:p>
        </w:tc>
      </w:tr>
    </w:tbl>
    <w:p>
      <w:pPr>
        <w:spacing w:before="200" w:after="60"/>
        <w:keepNext/>
        <w:pBdr>
          <w:bottom w:val="single" w:sz="4" w:space="2" w:color="E0E9E4"/>
        </w:pBdr>
      </w:pPr>
      <w:r>
        <w:rPr>
          <w:rFonts w:ascii="Georgia" w:hAnsi="Georgia"/>
          <w:b/>
          <w:color w:val="4D806A"/>
          <w:sz w:val="23"/>
        </w:rPr>
        <w:t>Mini Argument Audit — United Kingdom</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9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38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38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29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Domestic-soft vs global-hawkish in gilts</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Weak PMIs/housing (dovish) vs a +12bp global-led back-up</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Live, resolves on 22 Jul CPI.</w:t>
            </w:r>
            <w:r>
              <w:rPr>
                <w:rFonts w:ascii="Public Sans" w:hAnsi="Public Sans"/>
                <w:b w:val="0"/>
                <w:i w:val="0"/>
                <w:color w:val="3D3E3E"/>
                <w:sz w:val="16"/>
              </w:rPr>
              <w:t xml:space="preserve"> The back-up came with no UK catalyst; if services CPI cools, the front end is rich and the fade works. Sticky services validates the sell-off.</w:t>
            </w:r>
          </w:p>
        </w:tc>
      </w:tr>
      <w:tr>
        <w:tc>
          <w:tcPr>
            <w:tcW w:type="dxa" w:w="29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Does the FPC create a structural gilt bid?</w:t>
            </w:r>
          </w:p>
        </w:tc>
        <w:tc>
          <w:tcPr>
            <w:tcW w:type="dxa" w:w="38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Barclays: reserves-exclusion end underestimated vs the FPC stopping short this time</w:t>
            </w:r>
          </w:p>
        </w:tc>
        <w:tc>
          <w:tcPr>
            <w:tcW w:type="dxa" w:w="38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Weak/latent.</w:t>
            </w:r>
            <w:r>
              <w:rPr>
                <w:rFonts w:ascii="Public Sans" w:hAnsi="Public Sans"/>
                <w:b w:val="0"/>
                <w:i w:val="0"/>
                <w:color w:val="3D3E3E"/>
                <w:sz w:val="16"/>
              </w:rPr>
              <w:t xml:space="preserve"> A real short-end demand story exists but is not yet policy; treat as a watch, not a position.</w:t>
            </w:r>
          </w:p>
        </w:tc>
      </w:tr>
    </w:tbl>
    <w:p>
      <w:pPr>
        <w:spacing w:before="200" w:after="60"/>
        <w:keepNext/>
        <w:pBdr>
          <w:bottom w:val="single" w:sz="4" w:space="2" w:color="E0E9E4"/>
        </w:pBdr>
      </w:pPr>
      <w:r>
        <w:rPr>
          <w:rFonts w:ascii="Georgia" w:hAnsi="Georgia"/>
          <w:b/>
          <w:color w:val="4D806A"/>
          <w:sz w:val="23"/>
        </w:rPr>
        <w:t>This week &amp; next week — United Kingdom</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0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186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282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14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w:t>
            </w:r>
          </w:p>
        </w:tc>
        <w:tc>
          <w:tcPr>
            <w:tcW w:type="dxa" w:w="35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10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16 Jul</w:t>
            </w:r>
          </w:p>
        </w:tc>
        <w:tc>
          <w:tcPr>
            <w:tcW w:type="dxa" w:w="186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GDP (May)</w:t>
            </w:r>
          </w:p>
        </w:tc>
        <w:tc>
          <w:tcPr>
            <w:tcW w:type="dxa" w:w="28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+0.1% m/m (prior −0.1%)</w:t>
            </w:r>
          </w:p>
        </w:tc>
        <w:tc>
          <w:tcPr>
            <w:tcW w:type="dxa" w:w="14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services-led softening</w:t>
            </w:r>
          </w:p>
        </w:tc>
        <w:tc>
          <w:tcPr>
            <w:tcW w:type="dxa" w:w="35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sub-trend adds a dovish tilt against the hawkish rate move</w:t>
            </w:r>
          </w:p>
        </w:tc>
      </w:tr>
      <w:tr>
        <w:tc>
          <w:tcPr>
            <w:tcW w:type="dxa" w:w="10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This wk — 16 Jul</w:t>
            </w:r>
          </w:p>
        </w:tc>
        <w:tc>
          <w:tcPr>
            <w:tcW w:type="dxa" w:w="186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IP / manufacturing production</w:t>
            </w:r>
          </w:p>
        </w:tc>
        <w:tc>
          <w:tcPr>
            <w:tcW w:type="dxa" w:w="282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+0.1% / −0.1% m/m</w:t>
            </w:r>
          </w:p>
        </w:tc>
        <w:tc>
          <w:tcPr>
            <w:tcW w:type="dxa" w:w="14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activity sub-trend</w:t>
            </w:r>
          </w:p>
        </w:tc>
        <w:tc>
          <w:tcPr>
            <w:tcW w:type="dxa" w:w="35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confirms the soft pulse</w:t>
            </w:r>
          </w:p>
        </w:tc>
      </w:tr>
      <w:tr>
        <w:tc>
          <w:tcPr>
            <w:tcW w:type="dxa" w:w="10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Next wk — 21 Jul</w:t>
            </w:r>
          </w:p>
        </w:tc>
        <w:tc>
          <w:tcPr>
            <w:tcW w:type="dxa" w:w="186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Jobs / earnings</w:t>
            </w:r>
          </w:p>
        </w:tc>
        <w:tc>
          <w:tcPr>
            <w:tcW w:type="dxa" w:w="28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u-rate 4.9%; earnings 4.4% (3m/yr)</w:t>
            </w:r>
          </w:p>
        </w:tc>
        <w:tc>
          <w:tcPr>
            <w:tcW w:type="dxa" w:w="14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labour loosening</w:t>
            </w:r>
          </w:p>
        </w:tc>
        <w:tc>
          <w:tcPr>
            <w:tcW w:type="dxa" w:w="35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feeds the BoE cut case</w:t>
            </w:r>
          </w:p>
        </w:tc>
      </w:tr>
      <w:tr>
        <w:tc>
          <w:tcPr>
            <w:tcW w:type="dxa" w:w="10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Next wk — 22 Jul</w:t>
            </w:r>
          </w:p>
        </w:tc>
        <w:tc>
          <w:tcPr>
            <w:tcW w:type="dxa" w:w="186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 CPI</w:t>
            </w:r>
          </w:p>
        </w:tc>
        <w:tc>
          <w:tcPr>
            <w:tcW w:type="dxa" w:w="282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2.7% y/y (core 2.7%); prior 2.8% (core 2.6%)</w:t>
            </w:r>
          </w:p>
        </w:tc>
        <w:tc>
          <w:tcPr>
            <w:tcW w:type="dxa" w:w="14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services CPI the swing</w:t>
            </w:r>
          </w:p>
        </w:tc>
        <w:tc>
          <w:tcPr>
            <w:tcW w:type="dxa" w:w="35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the BoE 30 Jul dilemma</w:t>
            </w:r>
            <w:r>
              <w:rPr>
                <w:rFonts w:ascii="Public Sans" w:hAnsi="Public Sans"/>
                <w:b w:val="0"/>
                <w:i w:val="0"/>
                <w:color w:val="3D3E3E"/>
                <w:sz w:val="16"/>
              </w:rPr>
              <w:t xml:space="preserve"> — sticky services vs a loosening labour market</w:t>
            </w:r>
          </w:p>
        </w:tc>
      </w:tr>
      <w:tr>
        <w:tc>
          <w:tcPr>
            <w:tcW w:type="dxa" w:w="10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Next wk — 24 Jul</w:t>
            </w:r>
          </w:p>
        </w:tc>
        <w:tc>
          <w:tcPr>
            <w:tcW w:type="dxa" w:w="186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Retail sales</w:t>
            </w:r>
          </w:p>
        </w:tc>
        <w:tc>
          <w:tcPr>
            <w:tcW w:type="dxa" w:w="28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+1.2% m/m</w:t>
            </w:r>
          </w:p>
        </w:tc>
        <w:tc>
          <w:tcPr>
            <w:tcW w:type="dxa" w:w="14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consumer holding</w:t>
            </w:r>
          </w:p>
        </w:tc>
        <w:tc>
          <w:tcPr>
            <w:tcW w:type="dxa" w:w="35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secondary to CPI</w:t>
            </w:r>
          </w:p>
        </w:tc>
      </w:tr>
    </w:tbl>
    <w:p>
      <w:pPr>
        <w:spacing w:after="80" w:line="283" w:lineRule="auto"/>
      </w:pPr>
      <w:r>
        <w:rPr>
          <w:rFonts w:ascii="Public Sans" w:hAnsi="Public Sans"/>
          <w:b w:val="0"/>
          <w:i w:val="0"/>
          <w:color w:val="3D3E3E"/>
          <w:sz w:val="19"/>
        </w:rPr>
        <w:t>Positioning read: the UK is a rates-taker this week (GDP/IP confirm soft) and a rates-maker next week (jobs + CPI). Hold the 2s10s steepener; layer the receive-2y-vs-US/EUR fade only into a soft-to-in-line 22 July services CPI, which is also the BoE-meeting pre-set.</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CANADA — a locked hold, rates on the US leash</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BoC rate </w:t>
      </w:r>
      <w:r>
        <w:rPr>
          <w:rFonts w:ascii="Public Sans" w:hAnsi="Public Sans"/>
          <w:b/>
          <w:i w:val="0"/>
          <w:color w:val="3D3E3E"/>
          <w:sz w:val="19"/>
        </w:rPr>
        <w:t>2.25%</w:t>
      </w:r>
      <w:r>
        <w:rPr>
          <w:rFonts w:ascii="Public Sans" w:hAnsi="Public Sans"/>
          <w:b w:val="0"/>
          <w:i w:val="0"/>
          <w:color w:val="3D3E3E"/>
          <w:sz w:val="19"/>
        </w:rPr>
        <w:t xml:space="preserve"> (15 Jul decision, hold locked) · 10y CORRA </w:t>
      </w:r>
      <w:r>
        <w:rPr>
          <w:rFonts w:ascii="Public Sans" w:hAnsi="Public Sans"/>
          <w:b/>
          <w:i w:val="0"/>
          <w:color w:val="3D3E3E"/>
          <w:sz w:val="19"/>
        </w:rPr>
        <w:t>3.26%</w:t>
      </w:r>
      <w:r>
        <w:rPr>
          <w:rFonts w:ascii="Public Sans" w:hAnsi="Public Sans"/>
          <w:b w:val="0"/>
          <w:i w:val="0"/>
          <w:color w:val="3D3E3E"/>
          <w:sz w:val="19"/>
        </w:rPr>
        <w:t xml:space="preserve"> (+6.9bp WoW), 2y 2.73% (+7.6bp) · CAD </w:t>
      </w:r>
      <w:r>
        <w:rPr>
          <w:rFonts w:ascii="Public Sans" w:hAnsi="Public Sans"/>
          <w:b/>
          <w:i w:val="0"/>
          <w:color w:val="3D3E3E"/>
          <w:sz w:val="19"/>
        </w:rPr>
        <w:t>+0.4%</w:t>
      </w:r>
      <w:r>
        <w:rPr>
          <w:rFonts w:ascii="Public Sans" w:hAnsi="Public Sans"/>
          <w:b w:val="0"/>
          <w:i w:val="0"/>
          <w:color w:val="3D3E3E"/>
          <w:sz w:val="19"/>
        </w:rPr>
        <w:t xml:space="preserve"> (1.4147) · June jobs consensus </w:t>
      </w:r>
      <w:r>
        <w:rPr>
          <w:rFonts w:ascii="Public Sans" w:hAnsi="Public Sans"/>
          <w:b/>
          <w:i w:val="0"/>
          <w:color w:val="3D3E3E"/>
          <w:sz w:val="19"/>
        </w:rPr>
        <w:t>+10k</w:t>
      </w:r>
      <w:r>
        <w:rPr>
          <w:rFonts w:ascii="Public Sans" w:hAnsi="Public Sans"/>
          <w:b w:val="0"/>
          <w:i w:val="0"/>
          <w:color w:val="3D3E3E"/>
          <w:sz w:val="19"/>
        </w:rPr>
        <w:t xml:space="preserve">, u-rate </w:t>
      </w:r>
      <w:r>
        <w:rPr>
          <w:rFonts w:ascii="Public Sans" w:hAnsi="Public Sans"/>
          <w:b/>
          <w:i w:val="0"/>
          <w:color w:val="3D3E3E"/>
          <w:sz w:val="19"/>
        </w:rPr>
        <w:t>6.6%</w:t>
      </w:r>
      <w:r>
        <w:rPr>
          <w:rFonts w:ascii="Public Sans" w:hAnsi="Public Sans"/>
          <w:b w:val="0"/>
          <w:i w:val="0"/>
          <w:color w:val="3D3E3E"/>
          <w:sz w:val="19"/>
        </w:rPr>
        <w:t xml:space="preserve"> · trade balance </w:t>
      </w:r>
      <w:r>
        <w:rPr>
          <w:rFonts w:ascii="Public Sans" w:hAnsi="Public Sans"/>
          <w:b/>
          <w:i w:val="0"/>
          <w:color w:val="3D3E3E"/>
          <w:sz w:val="19"/>
        </w:rPr>
        <w:t>C$4.24bn</w:t>
      </w:r>
      <w:r>
        <w:rPr>
          <w:rFonts w:ascii="Public Sans" w:hAnsi="Public Sans"/>
          <w:b w:val="0"/>
          <w:i w:val="0"/>
          <w:color w:val="3D3E3E"/>
          <w:sz w:val="19"/>
        </w:rPr>
        <w:t xml:space="preserve"> surplus (beat C$2.9bn; prior C$3.41bn ®) · Ivey PMI </w:t>
      </w:r>
      <w:r>
        <w:rPr>
          <w:rFonts w:ascii="Public Sans" w:hAnsi="Public Sans"/>
          <w:b/>
          <w:i w:val="0"/>
          <w:color w:val="3D3E3E"/>
          <w:sz w:val="19"/>
        </w:rPr>
        <w:t>56.2</w:t>
      </w:r>
      <w:r>
        <w:rPr>
          <w:rFonts w:ascii="Public Sans" w:hAnsi="Public Sans"/>
          <w:b w:val="0"/>
          <w:i w:val="0"/>
          <w:color w:val="3D3E3E"/>
          <w:sz w:val="19"/>
        </w:rPr>
        <w:t xml:space="preserve"> (miss vs 59.1), BoC business-outlook future sales </w:t>
      </w:r>
      <w:r>
        <w:rPr>
          <w:rFonts w:ascii="Public Sans" w:hAnsi="Public Sans"/>
          <w:b/>
          <w:i w:val="0"/>
          <w:color w:val="3D3E3E"/>
          <w:sz w:val="19"/>
        </w:rPr>
        <w:t>8.0</w:t>
      </w:r>
      <w:r>
        <w:rPr>
          <w:rFonts w:ascii="Public Sans" w:hAnsi="Public Sans"/>
          <w:b w:val="0"/>
          <w:i w:val="0"/>
          <w:color w:val="3D3E3E"/>
          <w:sz w:val="19"/>
        </w:rPr>
        <w:t xml:space="preserve"> (from 25.0).</w:t>
      </w:r>
    </w:p>
    <w:p>
      <w:pPr>
        <w:spacing w:after="80" w:line="283" w:lineRule="auto"/>
      </w:pPr>
      <w:r>
        <w:rPr>
          <w:rFonts w:ascii="Public Sans" w:hAnsi="Public Sans"/>
          <w:b w:val="0"/>
          <w:i w:val="0"/>
          <w:color w:val="3D3E3E"/>
          <w:sz w:val="19"/>
        </w:rPr>
        <w:t xml:space="preserve">Canada is a quieter read: the rate move was almost entirely an echo of the US back-up, and the 15 July BoC decision is a locked hold. The interest is the </w:t>
      </w:r>
      <w:r>
        <w:rPr>
          <w:rFonts w:ascii="Public Sans" w:hAnsi="Public Sans"/>
          <w:b w:val="0"/>
          <w:i/>
          <w:color w:val="3D3E3E"/>
          <w:sz w:val="19"/>
        </w:rPr>
        <w:t>tone</w:t>
      </w:r>
      <w:r>
        <w:rPr>
          <w:rFonts w:ascii="Public Sans" w:hAnsi="Public Sans"/>
          <w:b w:val="0"/>
          <w:i w:val="0"/>
          <w:color w:val="3D3E3E"/>
          <w:sz w:val="19"/>
        </w:rPr>
        <w:t xml:space="preserve"> into the 20 July CPI.</w:t>
      </w:r>
    </w:p>
    <w:p>
      <w:pPr>
        <w:spacing w:before="200" w:after="60"/>
        <w:keepNext/>
        <w:pBdr>
          <w:bottom w:val="single" w:sz="4" w:space="2" w:color="E0E9E4"/>
        </w:pBdr>
      </w:pPr>
      <w:r>
        <w:rPr>
          <w:rFonts w:ascii="Georgia" w:hAnsi="Georgia"/>
          <w:b/>
          <w:color w:val="4D806A"/>
          <w:sz w:val="23"/>
        </w:rPr>
        <w:t>Driver 1 — The data mix and a locked hold</w:t>
      </w:r>
    </w:p>
    <w:p>
      <w:pPr>
        <w:spacing w:before="120" w:after="40"/>
        <w:keepNext/>
      </w:pPr>
      <w:r>
        <w:rPr>
          <w:rFonts w:ascii="Public Sans" w:hAnsi="Public Sans"/>
          <w:b/>
          <w:i w:val="0"/>
          <w:color w:val="001830"/>
          <w:sz w:val="19"/>
        </w:rPr>
        <w:t>Desk-read — a mixed-but-not-breaking dataflow into the BoC</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0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3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3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20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GS (Canadian Rates Weekly)</w:t>
            </w:r>
          </w:p>
        </w:tc>
        <w:tc>
          <w:tcPr>
            <w:tcW w:type="dxa" w:w="43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Rates-strategy update; CAD rates track the US complex; hold priced</w:t>
            </w:r>
          </w:p>
        </w:tc>
        <w:tc>
          <w:tcPr>
            <w:tcW w:type="dxa" w:w="43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domestic catalyst to move the BoC off 2.25%</w:t>
            </w:r>
          </w:p>
        </w:tc>
      </w:tr>
      <w:tr>
        <w:tc>
          <w:tcPr>
            <w:tcW w:type="dxa" w:w="20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Market (cb_events)</w:t>
            </w:r>
          </w:p>
        </w:tc>
        <w:tc>
          <w:tcPr>
            <w:tcW w:type="dxa" w:w="43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Trade surplus beat sharply (C$4.24bn); Ivey softened to 56.2; future sales dropped to 8.0</w:t>
            </w:r>
          </w:p>
        </w:tc>
        <w:tc>
          <w:tcPr>
            <w:tcW w:type="dxa" w:w="43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cooling-but-resilient mix that keeps the BoC parked; jobs +10k / u-rate 6.6% is the confirming print</w:t>
            </w:r>
          </w:p>
        </w:tc>
      </w:tr>
    </w:tbl>
    <w:p>
      <w:pPr>
        <w:spacing w:after="80" w:line="283" w:lineRule="auto"/>
      </w:pPr>
      <w:r>
        <w:rPr>
          <w:rFonts w:ascii="Public Sans" w:hAnsi="Public Sans"/>
          <w:b w:val="0"/>
          <w:i w:val="0"/>
          <w:color w:val="3D3E3E"/>
          <w:sz w:val="19"/>
        </w:rPr>
        <w:t>The trade surplus beat (C$4.24bn on stronger exports) offset the softer Ivey PMI and a sharp drop in the business-outlook future-sales balance (8.0 from 25.0). Net: nothing that forces a move.</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The trade-surplus beat and the collapsing future-sales balance point in opposite directions, which is exactly why the BoC hold is uncontested: neither the growth nor the inflation side is decisive. The decision is locked; the only variable is how the MPR frames the risk balance into the 20 July CPI.</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no rate-level trade into 15 July; the expression is the MPR tone and CAD, not the front end.</w:t>
      </w:r>
    </w:p>
    <w:p>
      <w:pPr>
        <w:spacing w:before="200" w:after="60"/>
        <w:keepNext/>
        <w:pBdr>
          <w:bottom w:val="single" w:sz="4" w:space="2" w:color="E0E9E4"/>
        </w:pBdr>
      </w:pPr>
      <w:r>
        <w:rPr>
          <w:rFonts w:ascii="Georgia" w:hAnsi="Georgia"/>
          <w:b/>
          <w:color w:val="4D806A"/>
          <w:sz w:val="23"/>
        </w:rPr>
        <w:t>Driver 2 — Rates on the US leash; CAD on the trade beat</w:t>
      </w:r>
    </w:p>
    <w:p>
      <w:pPr>
        <w:spacing w:after="80" w:line="283" w:lineRule="auto"/>
      </w:pPr>
      <w:r>
        <w:rPr>
          <w:rFonts w:ascii="Public Sans" w:hAnsi="Public Sans"/>
          <w:b w:val="0"/>
          <w:i w:val="0"/>
          <w:color w:val="3D3E3E"/>
          <w:sz w:val="19"/>
        </w:rPr>
        <w:t>CORRA swaps rose +7bp (2y) / +7bp (10y), almost exactly tracking the US back-up — Canada imported the ceasefire-driven move with no domestic add-on. CAD firmed +0.4% to 1.4147, helped by the trade-surplus beat and the softer broad USD. The BoC-Fed spread is stable; CAD is trading oil + the US risk tape more than domestic rates.</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{"type":"line","title":"CAD CORRA swap tracked the US back-up (WoW)","caption":"2y 2.66%→2.73% (+7.6bp), 10y 3.19%→3.26% (+6.9bp) — an imported move almost identical to the US, with no domestic BoC catalyst.","unit":"%","series":[{"name":"3 Jul","color":"#2b5a86","points":[["2y",2.66],["10y",3.19]]},{"name":"10 Jul","color":"#a1382f","points":[["2y",2.73],["10y",3.26]]}]}</w:t>
      </w:r>
    </w:p>
    <w:p>
      <w:pPr>
        <w:spacing w:after="80" w:line="283" w:lineRule="auto"/>
      </w:pP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Canada rates are a US-beta position this week, not a standalone; trade CAD on oil + the broad USD, not the BoC.</w:t>
      </w:r>
    </w:p>
    <w:p>
      <w:pPr>
        <w:spacing w:before="200" w:after="60"/>
        <w:keepNext/>
        <w:pBdr>
          <w:bottom w:val="single" w:sz="4" w:space="2" w:color="E0E9E4"/>
        </w:pBdr>
      </w:pPr>
      <w:r>
        <w:rPr>
          <w:rFonts w:ascii="Georgia" w:hAnsi="Georgia"/>
          <w:b/>
          <w:color w:val="4D806A"/>
          <w:sz w:val="23"/>
        </w:rPr>
        <w:t>Driver 3 — The 20 July CPI is the real swing</w:t>
      </w:r>
    </w:p>
    <w:p>
      <w:pPr>
        <w:spacing w:after="80" w:line="283" w:lineRule="auto"/>
      </w:pPr>
      <w:r>
        <w:rPr>
          <w:rFonts w:ascii="Public Sans" w:hAnsi="Public Sans"/>
          <w:b w:val="0"/>
          <w:i w:val="0"/>
          <w:color w:val="3D3E3E"/>
          <w:sz w:val="19"/>
        </w:rPr>
        <w:t xml:space="preserve">The BoC hold is locked; the 20 July CPI (prior 3.2% headline, core 2.2%) is what decides whether the </w:t>
      </w:r>
      <w:r>
        <w:rPr>
          <w:rFonts w:ascii="Public Sans" w:hAnsi="Public Sans"/>
          <w:b w:val="0"/>
          <w:i/>
          <w:color w:val="3D3E3E"/>
          <w:sz w:val="19"/>
        </w:rPr>
        <w:t>tone</w:t>
      </w:r>
      <w:r>
        <w:rPr>
          <w:rFonts w:ascii="Public Sans" w:hAnsi="Public Sans"/>
          <w:b w:val="0"/>
          <w:i w:val="0"/>
          <w:color w:val="3D3E3E"/>
          <w:sz w:val="19"/>
        </w:rPr>
        <w:t xml:space="preserve"> leans toward an eventual cut or a longer hold. A firm core keeps the BoC comfortably parked; a soft print revives a cut debate that CAD and the front end would price.</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Canada is the universe's cleanest "priced-and-parked" read: the 15 July decision carries no surprise risk, so the tradable event is the 20 July CPI, one meeting removed. Positioning the front end before the CPI is trading the MPR tone blind — wait for the print.</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no high-conviction in-window Canada trade; the 20 July CPI is the catalyst to re-engage the front end.</w:t>
      </w:r>
    </w:p>
    <w:p>
      <w:pPr>
        <w:spacing w:before="200" w:after="60"/>
        <w:keepNext/>
        <w:pBdr>
          <w:bottom w:val="single" w:sz="4" w:space="2" w:color="E0E9E4"/>
        </w:pBdr>
      </w:pPr>
      <w:r>
        <w:rPr>
          <w:rFonts w:ascii="Georgia" w:hAnsi="Georgia"/>
          <w:b/>
          <w:color w:val="4D806A"/>
          <w:sz w:val="23"/>
        </w:rPr>
        <w:t>Country trade board — Canada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2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61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41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3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27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12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5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C1</w:t>
            </w:r>
          </w:p>
        </w:tc>
        <w:tc>
          <w:tcPr>
            <w:tcW w:type="dxa" w:w="6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41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high-conviction in-window Canada rate trade)</w:t>
            </w:r>
          </w:p>
        </w:tc>
        <w:tc>
          <w:tcPr>
            <w:tcW w:type="dxa" w:w="13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27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2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Quiet / priced</w:t>
            </w:r>
          </w:p>
        </w:tc>
      </w:tr>
      <w:tr>
        <w:tc>
          <w:tcPr>
            <w:tcW w:type="dxa" w:w="52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C2</w:t>
            </w:r>
          </w:p>
        </w:tc>
        <w:tc>
          <w:tcPr>
            <w:tcW w:type="dxa" w:w="6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RV read</w:t>
            </w:r>
          </w:p>
        </w:tc>
        <w:tc>
          <w:tcPr>
            <w:tcW w:type="dxa" w:w="41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CAD long on oil + trade-surplus beat</w:t>
            </w:r>
          </w:p>
        </w:tc>
        <w:tc>
          <w:tcPr>
            <w:tcW w:type="dxa" w:w="13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~1.4147</w:t>
            </w:r>
          </w:p>
        </w:tc>
        <w:tc>
          <w:tcPr>
            <w:tcW w:type="dxa" w:w="27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broad-USD reversal / oil retreat</w:t>
            </w:r>
          </w:p>
        </w:tc>
        <w:tc>
          <w:tcPr>
            <w:tcW w:type="dxa" w:w="122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Tactical</w:t>
            </w:r>
          </w:p>
        </w:tc>
      </w:tr>
    </w:tbl>
    <w:p>
      <w:pPr>
        <w:spacing w:before="200" w:after="60"/>
        <w:keepNext/>
        <w:pBdr>
          <w:bottom w:val="single" w:sz="4" w:space="2" w:color="E0E9E4"/>
        </w:pBdr>
      </w:pPr>
      <w:r>
        <w:rPr>
          <w:rFonts w:ascii="Georgia" w:hAnsi="Georgia"/>
          <w:b/>
          <w:color w:val="4D806A"/>
          <w:sz w:val="23"/>
        </w:rPr>
        <w:t>Mini Argument Audit — Canada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9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38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38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29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BoC hold comfortable or contested?</w:t>
            </w:r>
          </w:p>
        </w:tc>
        <w:tc>
          <w:tcPr>
            <w:tcW w:type="dxa" w:w="38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Trade-surplus beat (firm) vs soft Ivey / future sales (cooling)</w:t>
            </w:r>
          </w:p>
        </w:tc>
        <w:tc>
          <w:tcPr>
            <w:tcW w:type="dxa" w:w="38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Hold Solid; the 20 Jul CPI is the swing.</w:t>
            </w:r>
            <w:r>
              <w:rPr>
                <w:rFonts w:ascii="Public Sans" w:hAnsi="Public Sans"/>
                <w:b w:val="0"/>
                <w:i w:val="0"/>
                <w:color w:val="3D3E3E"/>
                <w:sz w:val="16"/>
              </w:rPr>
              <w:t xml:space="preserve"> The 15 Jul hold is locked; whether the tone leans toward a later cut depends on the CPI, one meeting removed.</w:t>
            </w:r>
          </w:p>
        </w:tc>
      </w:tr>
      <w:tr>
        <w:tc>
          <w:tcPr>
            <w:tcW w:type="dxa" w:w="29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Are Canada rates a standalone or a US beta?</w:t>
            </w:r>
          </w:p>
        </w:tc>
        <w:tc>
          <w:tcPr>
            <w:tcW w:type="dxa" w:w="38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+7bp move with no domestic catalyst</w:t>
            </w:r>
          </w:p>
        </w:tc>
        <w:tc>
          <w:tcPr>
            <w:tcW w:type="dxa" w:w="38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US-beta Solid.</w:t>
            </w:r>
            <w:r>
              <w:rPr>
                <w:rFonts w:ascii="Public Sans" w:hAnsi="Public Sans"/>
                <w:b w:val="0"/>
                <w:i w:val="0"/>
                <w:color w:val="3D3E3E"/>
                <w:sz w:val="16"/>
              </w:rPr>
              <w:t xml:space="preserve"> The CORRA move mirrored the US almost exactly; trade it as a US-rates position, not a BoC call.</w:t>
            </w:r>
          </w:p>
        </w:tc>
      </w:tr>
    </w:tbl>
    <w:p>
      <w:pPr>
        <w:spacing w:before="200" w:after="60"/>
        <w:keepNext/>
        <w:pBdr>
          <w:bottom w:val="single" w:sz="4" w:space="2" w:color="E0E9E4"/>
        </w:pBdr>
      </w:pPr>
      <w:r>
        <w:rPr>
          <w:rFonts w:ascii="Georgia" w:hAnsi="Georgia"/>
          <w:b/>
          <w:color w:val="4D806A"/>
          <w:sz w:val="23"/>
        </w:rPr>
        <w:t>This week &amp; next week — Canada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2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14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20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21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w:t>
            </w:r>
          </w:p>
        </w:tc>
        <w:tc>
          <w:tcPr>
            <w:tcW w:type="dxa" w:w="37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12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15 Jul</w:t>
            </w:r>
          </w:p>
        </w:tc>
        <w:tc>
          <w:tcPr>
            <w:tcW w:type="dxa" w:w="1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BoC decision + MPR</w:t>
            </w:r>
          </w:p>
        </w:tc>
        <w:tc>
          <w:tcPr>
            <w:tcW w:type="dxa" w:w="20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hold 2.25%</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 cools, doesn't break</w:t>
            </w:r>
          </w:p>
        </w:tc>
        <w:tc>
          <w:tcPr>
            <w:tcW w:type="dxa" w:w="37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hold locked; the MPR tone + CAD are the trade</w:t>
            </w:r>
          </w:p>
        </w:tc>
      </w:tr>
      <w:tr>
        <w:tc>
          <w:tcPr>
            <w:tcW w:type="dxa" w:w="12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This wk — 16 Jul</w:t>
            </w:r>
          </w:p>
        </w:tc>
        <w:tc>
          <w:tcPr>
            <w:tcW w:type="dxa" w:w="1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Housing starts</w:t>
            </w:r>
          </w:p>
        </w:tc>
        <w:tc>
          <w:tcPr>
            <w:tcW w:type="dxa" w:w="20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260k (prior 261.4k)</w:t>
            </w:r>
          </w:p>
        </w:tc>
        <w:tc>
          <w:tcPr>
            <w:tcW w:type="dxa" w:w="21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housing steady</w:t>
            </w:r>
          </w:p>
        </w:tc>
        <w:tc>
          <w:tcPr>
            <w:tcW w:type="dxa" w:w="37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secondary</w:t>
            </w:r>
          </w:p>
        </w:tc>
      </w:tr>
      <w:tr>
        <w:tc>
          <w:tcPr>
            <w:tcW w:type="dxa" w:w="12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Next wk — 20 Jul</w:t>
            </w:r>
          </w:p>
        </w:tc>
        <w:tc>
          <w:tcPr>
            <w:tcW w:type="dxa" w:w="1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CPI</w:t>
            </w:r>
          </w:p>
        </w:tc>
        <w:tc>
          <w:tcPr>
            <w:tcW w:type="dxa" w:w="20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3.2% y/y (core 2.2%)</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inflation sticky</w:t>
            </w:r>
          </w:p>
        </w:tc>
        <w:tc>
          <w:tcPr>
            <w:tcW w:type="dxa" w:w="37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firm keeps BoC parked; soft revives a cut debate</w:t>
            </w:r>
          </w:p>
        </w:tc>
      </w:tr>
      <w:tr>
        <w:tc>
          <w:tcPr>
            <w:tcW w:type="dxa" w:w="12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Next wk — 23 Jul</w:t>
            </w:r>
          </w:p>
        </w:tc>
        <w:tc>
          <w:tcPr>
            <w:tcW w:type="dxa" w:w="1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Retail sales</w:t>
            </w:r>
          </w:p>
        </w:tc>
        <w:tc>
          <w:tcPr>
            <w:tcW w:type="dxa" w:w="20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prior +0.5% m/m</w:t>
            </w:r>
          </w:p>
        </w:tc>
        <w:tc>
          <w:tcPr>
            <w:tcW w:type="dxa" w:w="21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consumer holding</w:t>
            </w:r>
          </w:p>
        </w:tc>
        <w:tc>
          <w:tcPr>
            <w:tcW w:type="dxa" w:w="37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confirms the base</w:t>
            </w:r>
          </w:p>
        </w:tc>
      </w:tr>
      <w:tr>
        <w:tc>
          <w:tcPr>
            <w:tcW w:type="dxa" w:w="12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Next wk — 31 Jul</w:t>
            </w:r>
          </w:p>
        </w:tc>
        <w:tc>
          <w:tcPr>
            <w:tcW w:type="dxa" w:w="1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May GDP</w:t>
            </w:r>
          </w:p>
        </w:tc>
        <w:tc>
          <w:tcPr>
            <w:tcW w:type="dxa" w:w="20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+0.5% m/m</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activity holds</w:t>
            </w:r>
          </w:p>
        </w:tc>
        <w:tc>
          <w:tcPr>
            <w:tcW w:type="dxa" w:w="37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growth-momentum read into H2</w:t>
            </w:r>
          </w:p>
        </w:tc>
      </w:tr>
    </w:tbl>
    <w:p>
      <w:pPr>
        <w:spacing w:after="80" w:line="283" w:lineRule="auto"/>
      </w:pPr>
      <w:r>
        <w:rPr>
          <w:rFonts w:ascii="Public Sans" w:hAnsi="Public Sans"/>
          <w:b w:val="0"/>
          <w:i w:val="0"/>
          <w:color w:val="3D3E3E"/>
          <w:sz w:val="19"/>
        </w:rPr>
        <w:t>Positioning read: Canada is priced-and-parked into 15 July — no rate-level trade. Express any view via CAD (oil + trade beat + broad USD) and re-engage the front end only around the 20 July CPI, the one print that can shift the BoC's tone.</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JAPAN — the fiscal premium blinks first</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10y JPY TONAR-OIS </w:t>
      </w:r>
      <w:r>
        <w:rPr>
          <w:rFonts w:ascii="Public Sans" w:hAnsi="Public Sans"/>
          <w:b/>
          <w:i w:val="0"/>
          <w:color w:val="3D3E3E"/>
          <w:sz w:val="19"/>
        </w:rPr>
        <w:t>2.57%</w:t>
      </w:r>
      <w:r>
        <w:rPr>
          <w:rFonts w:ascii="Public Sans" w:hAnsi="Public Sans"/>
          <w:b w:val="0"/>
          <w:i w:val="0"/>
          <w:color w:val="3D3E3E"/>
          <w:sz w:val="19"/>
        </w:rPr>
        <w:t xml:space="preserve"> (−6bp WoW) — the only DM curve that rallied · 2y 1.44% (+1bp) · policy rate </w:t>
      </w:r>
      <w:r>
        <w:rPr>
          <w:rFonts w:ascii="Public Sans" w:hAnsi="Public Sans"/>
          <w:b/>
          <w:i w:val="0"/>
          <w:color w:val="3D3E3E"/>
          <w:sz w:val="19"/>
        </w:rPr>
        <w:t>1.00%</w:t>
      </w:r>
      <w:r>
        <w:rPr>
          <w:rFonts w:ascii="Public Sans" w:hAnsi="Public Sans"/>
          <w:b w:val="0"/>
          <w:i w:val="0"/>
          <w:color w:val="3D3E3E"/>
          <w:sz w:val="19"/>
        </w:rPr>
        <w:t xml:space="preserve"> (highest since 1995), next hike base case </w:t>
      </w:r>
      <w:r>
        <w:rPr>
          <w:rFonts w:ascii="Public Sans" w:hAnsi="Public Sans"/>
          <w:b/>
          <w:i w:val="0"/>
          <w:color w:val="3D3E3E"/>
          <w:sz w:val="19"/>
        </w:rPr>
        <w:t>October</w:t>
      </w:r>
      <w:r>
        <w:rPr>
          <w:rFonts w:ascii="Public Sans" w:hAnsi="Public Sans"/>
          <w:b w:val="0"/>
          <w:i w:val="0"/>
          <w:color w:val="3D3E3E"/>
          <w:sz w:val="19"/>
        </w:rPr>
        <w:t xml:space="preserve"> · USD/JPY </w:t>
      </w:r>
      <w:r>
        <w:rPr>
          <w:rFonts w:ascii="Public Sans" w:hAnsi="Public Sans"/>
          <w:b/>
          <w:i w:val="0"/>
          <w:color w:val="3D3E3E"/>
          <w:sz w:val="19"/>
        </w:rPr>
        <w:t>¥161.7</w:t>
      </w:r>
      <w:r>
        <w:rPr>
          <w:rFonts w:ascii="Public Sans" w:hAnsi="Public Sans"/>
          <w:b w:val="0"/>
          <w:i w:val="0"/>
          <w:color w:val="3D3E3E"/>
          <w:sz w:val="19"/>
        </w:rPr>
        <w:t xml:space="preserve"> (JPY −0.2%) · bank lending </w:t>
      </w:r>
      <w:r>
        <w:rPr>
          <w:rFonts w:ascii="Public Sans" w:hAnsi="Public Sans"/>
          <w:b/>
          <w:i w:val="0"/>
          <w:color w:val="3D3E3E"/>
          <w:sz w:val="19"/>
        </w:rPr>
        <w:t>+5.7% y/y</w:t>
      </w:r>
      <w:r>
        <w:rPr>
          <w:rFonts w:ascii="Public Sans" w:hAnsi="Public Sans"/>
          <w:b w:val="0"/>
          <w:i w:val="0"/>
          <w:color w:val="3D3E3E"/>
          <w:sz w:val="19"/>
        </w:rPr>
        <w:t xml:space="preserve"> (June) · household spending </w:t>
      </w:r>
      <w:r>
        <w:rPr>
          <w:rFonts w:ascii="Public Sans" w:hAnsi="Public Sans"/>
          <w:b/>
          <w:i w:val="0"/>
          <w:color w:val="3D3E3E"/>
          <w:sz w:val="19"/>
        </w:rPr>
        <w:t>+3.7% m/m</w:t>
      </w:r>
      <w:r>
        <w:rPr>
          <w:rFonts w:ascii="Public Sans" w:hAnsi="Public Sans"/>
          <w:b w:val="0"/>
          <w:i w:val="0"/>
          <w:color w:val="3D3E3E"/>
          <w:sz w:val="19"/>
        </w:rPr>
        <w:t xml:space="preserve"> (vs +1.4% cons) · June PPI consensus </w:t>
      </w:r>
      <w:r>
        <w:rPr>
          <w:rFonts w:ascii="Public Sans" w:hAnsi="Public Sans"/>
          <w:b/>
          <w:i w:val="0"/>
          <w:color w:val="3D3E3E"/>
          <w:sz w:val="19"/>
        </w:rPr>
        <w:t>6.8% y/y</w:t>
      </w:r>
      <w:r>
        <w:rPr>
          <w:rFonts w:ascii="Public Sans" w:hAnsi="Public Sans"/>
          <w:b w:val="0"/>
          <w:i w:val="0"/>
          <w:color w:val="3D3E3E"/>
          <w:sz w:val="19"/>
        </w:rPr>
        <w:t xml:space="preserve"> (from 6.3%) · food consumption-tax cut </w:t>
      </w:r>
      <w:r>
        <w:rPr>
          <w:rFonts w:ascii="Public Sans" w:hAnsi="Public Sans"/>
          <w:b/>
          <w:i w:val="0"/>
          <w:color w:val="3D3E3E"/>
          <w:sz w:val="19"/>
        </w:rPr>
        <w:t>delayed</w:t>
      </w:r>
      <w:r>
        <w:rPr>
          <w:rFonts w:ascii="Public Sans" w:hAnsi="Public Sans"/>
          <w:b w:val="0"/>
          <w:i w:val="0"/>
          <w:color w:val="3D3E3E"/>
          <w:sz w:val="19"/>
        </w:rPr>
        <w:t>; growth-investment framework (no upper limit) retained.</w:t>
      </w:r>
    </w:p>
    <w:p>
      <w:pPr>
        <w:spacing w:after="80" w:line="283" w:lineRule="auto"/>
      </w:pPr>
      <w:r>
        <w:rPr>
          <w:rFonts w:ascii="Public Sans" w:hAnsi="Public Sans"/>
          <w:b w:val="0"/>
          <w:i w:val="0"/>
          <w:color w:val="3D3E3E"/>
          <w:sz w:val="19"/>
        </w:rPr>
        <w:t xml:space="preserve">One argument still runs through Japan — </w:t>
      </w:r>
      <w:r>
        <w:rPr>
          <w:rFonts w:ascii="Public Sans" w:hAnsi="Public Sans"/>
          <w:b w:val="0"/>
          <w:i/>
          <w:color w:val="3D3E3E"/>
          <w:sz w:val="19"/>
        </w:rPr>
        <w:t>the data justifies more hikes and the politics is built to restrain them</w:t>
      </w:r>
      <w:r>
        <w:rPr>
          <w:rFonts w:ascii="Public Sans" w:hAnsi="Public Sans"/>
          <w:b w:val="0"/>
          <w:i w:val="0"/>
          <w:color w:val="3D3E3E"/>
          <w:sz w:val="19"/>
        </w:rPr>
        <w:t xml:space="preserve"> — but this week the politics blinked in the market's favour. The Takaichi food-tax cut stalled, the fiscal-supply premium that spiked the prior week cooled, and the JGB curve rallied while the rest of DM sold off. That divergence is the whole trade.</w:t>
      </w:r>
    </w:p>
    <w:p>
      <w:pPr>
        <w:spacing w:before="200" w:after="60"/>
        <w:keepNext/>
        <w:pBdr>
          <w:bottom w:val="single" w:sz="4" w:space="2" w:color="E0E9E4"/>
        </w:pBdr>
      </w:pPr>
      <w:r>
        <w:rPr>
          <w:rFonts w:ascii="Georgia" w:hAnsi="Georgia"/>
          <w:b/>
          <w:color w:val="4D806A"/>
          <w:sz w:val="23"/>
        </w:rPr>
        <w:t>Driver 1 — The fiscal premium cools (the food-tax-cut delay)</w:t>
      </w:r>
    </w:p>
    <w:p>
      <w:pPr>
        <w:spacing w:before="120" w:after="40"/>
        <w:keepNext/>
      </w:pPr>
      <w:r>
        <w:rPr>
          <w:rFonts w:ascii="Public Sans" w:hAnsi="Public Sans"/>
          <w:b/>
          <w:i w:val="0"/>
          <w:color w:val="001830"/>
          <w:sz w:val="19"/>
        </w:rPr>
        <w:t>Desk-read — the Basic Policy ("Honebuto") toward mid-July Cabinet approval</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4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6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6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4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DB (Koyama/Omori)</w:t>
            </w:r>
          </w:p>
        </w:tc>
        <w:tc>
          <w:tcPr>
            <w:tcW w:type="dxa" w:w="46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Food consumption-tax cut delayed — no opposition consensus, likely pushed past the summer budget requests; the growth-investment framework (no upper limit) + supplementary-budget incorporation retained; the monetary-policy wording revised from the draft</w:t>
            </w:r>
          </w:p>
        </w:tc>
        <w:tc>
          <w:tcPr>
            <w:tcW w:type="dxa" w:w="46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Fiscal expansion largely priced; but a "lax discipline" final wording at Cabinet approval could push JGB yields </w:t>
            </w:r>
            <w:r>
              <w:rPr>
                <w:rFonts w:ascii="Public Sans" w:hAnsi="Public Sans"/>
                <w:b w:val="0"/>
                <w:i/>
                <w:color w:val="3D3E3E"/>
                <w:sz w:val="16"/>
              </w:rPr>
              <w:t>up</w:t>
            </w:r>
            <w:r>
              <w:rPr>
                <w:rFonts w:ascii="Public Sans" w:hAnsi="Public Sans"/>
                <w:b w:val="0"/>
                <w:i w:val="0"/>
                <w:color w:val="3D3E3E"/>
                <w:sz w:val="16"/>
              </w:rPr>
              <w:t xml:space="preserve"> again</w:t>
            </w:r>
          </w:p>
        </w:tc>
      </w:tr>
      <w:tr>
        <w:tc>
          <w:tcPr>
            <w:tcW w:type="dxa" w:w="14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Barclays (Kadota)</w:t>
            </w:r>
          </w:p>
        </w:tc>
        <w:tc>
          <w:tcPr>
            <w:tcW w:type="dxa" w:w="46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GPIF FY25 results: rebalancing </w:t>
            </w:r>
            <w:r>
              <w:rPr>
                <w:rFonts w:ascii="Public Sans" w:hAnsi="Public Sans"/>
                <w:b w:val="0"/>
                <w:i/>
                <w:color w:val="3D3E3E"/>
                <w:sz w:val="16"/>
              </w:rPr>
              <w:t>into</w:t>
            </w:r>
            <w:r>
              <w:rPr>
                <w:rFonts w:ascii="Public Sans" w:hAnsi="Public Sans"/>
                <w:b w:val="0"/>
                <w:i w:val="0"/>
                <w:color w:val="3D3E3E"/>
                <w:sz w:val="16"/>
              </w:rPr>
              <w:t xml:space="preserve"> JGBs from domestic/foreign equities; super-long impact up, JGBi (linkers) down; FX-unhedged foreign bonds up</w:t>
            </w:r>
          </w:p>
        </w:tc>
        <w:tc>
          <w:tcPr>
            <w:tcW w:type="dxa" w:w="46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structural JGB bid; "continued bear-steepening on fiscal concern" but supported at the long end</w:t>
            </w:r>
          </w:p>
        </w:tc>
      </w:tr>
      <w:tr>
        <w:tc>
          <w:tcPr>
            <w:tcW w:type="dxa" w:w="14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Nomura</w:t>
            </w:r>
          </w:p>
        </w:tc>
        <w:tc>
          <w:tcPr>
            <w:tcW w:type="dxa" w:w="46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"Out-of-the-blue" GPIF-related remarks a JPY factor this week; near-term reversals dominate</w:t>
            </w:r>
          </w:p>
        </w:tc>
        <w:tc>
          <w:tcPr>
            <w:tcW w:type="dxa" w:w="46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Portfolio-rebalancing flows over directional conviction</w:t>
            </w:r>
          </w:p>
        </w:tc>
      </w:tr>
    </w:tbl>
    <w:p>
      <w:pPr>
        <w:spacing w:after="80" w:line="283" w:lineRule="auto"/>
      </w:pPr>
      <w:r>
        <w:rPr>
          <w:rFonts w:ascii="Public Sans" w:hAnsi="Public Sans"/>
          <w:b w:val="0"/>
          <w:i w:val="0"/>
          <w:color w:val="3D3E3E"/>
          <w:sz w:val="19"/>
        </w:rPr>
        <w:t xml:space="preserve">The 10y OIS fell 6bp to 2.57% and 30y JGBs round-tripped a sharp intraday sell-off — the fiscal-panic premium of the prior week (+18bp on 10y) partially unwound. The market read the tax-cut delay as </w:t>
      </w:r>
      <w:r>
        <w:rPr>
          <w:rFonts w:ascii="Public Sans" w:hAnsi="Public Sans"/>
          <w:b w:val="0"/>
          <w:i/>
          <w:color w:val="3D3E3E"/>
          <w:sz w:val="19"/>
        </w:rPr>
        <w:t>less</w:t>
      </w:r>
      <w:r>
        <w:rPr>
          <w:rFonts w:ascii="Public Sans" w:hAnsi="Public Sans"/>
          <w:b w:val="0"/>
          <w:i w:val="0"/>
          <w:color w:val="3D3E3E"/>
          <w:sz w:val="19"/>
        </w:rPr>
        <w:t xml:space="preserve"> near-term issuance pressure and the GPIF rebalancing as a structural bid.</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{"type":"line","title":"JGB — the one DM curve that rallied (TONAR OIS, WoW)","caption":"2y +1bp to 1.44% (pinned), 10y −6bp to 2.57% — reversing part of the prior week's +18bp fiscal-premium spike on the food-tax-cut delay + the GPIF JGB bid. The rest of DM sold off 7–15bp.","unit":"%","series":[{"name":"3 Jul","color":"#a1382f","points":[["2y",1.43],["10y",2.63]]},{"name":"10 Jul","color":"#2b5a86","points":[["2y",1.44],["10y",2.57]]}]}</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DB (fiscal-relief on the delay) and Barclays (a GPIF structural bid) reach the same tape from different angles: both explain why the JGB long end rallied while every other DM curve sold off. The tell is that the move was </w:t>
      </w:r>
      <w:r>
        <w:rPr>
          <w:rFonts w:ascii="Public Sans" w:hAnsi="Public Sans"/>
          <w:b w:val="0"/>
          <w:i/>
          <w:color w:val="3D3E3E"/>
          <w:sz w:val="19"/>
        </w:rPr>
        <w:t>supply/flow</w:t>
      </w:r>
      <w:r>
        <w:rPr>
          <w:rFonts w:ascii="Public Sans" w:hAnsi="Public Sans"/>
          <w:b w:val="0"/>
          <w:i w:val="0"/>
          <w:color w:val="3D3E3E"/>
          <w:sz w:val="19"/>
        </w:rPr>
        <w:t>, not a change in the BoJ hike path — 2y OIS barely moved. Japan is now the DM curve that hedges a global oil/rates back-up.</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JGB rally rests on a </w:t>
      </w:r>
      <w:r>
        <w:rPr>
          <w:rFonts w:ascii="Public Sans" w:hAnsi="Public Sans"/>
          <w:b w:val="0"/>
          <w:i/>
          <w:color w:val="3D3E3E"/>
          <w:sz w:val="19"/>
        </w:rPr>
        <w:t>delay</w:t>
      </w:r>
      <w:r>
        <w:rPr>
          <w:rFonts w:ascii="Public Sans" w:hAnsi="Public Sans"/>
          <w:b w:val="0"/>
          <w:i w:val="0"/>
          <w:color w:val="3D3E3E"/>
          <w:sz w:val="19"/>
        </w:rPr>
        <w:t>, not a cancellation — own it tactically against short-DM-duration, with the mid-July Cabinet wording as the stop.</w:t>
      </w:r>
    </w:p>
    <w:p>
      <w:pPr>
        <w:spacing w:before="200" w:after="60"/>
        <w:keepNext/>
        <w:pBdr>
          <w:bottom w:val="single" w:sz="4" w:space="2" w:color="E0E9E4"/>
        </w:pBdr>
      </w:pPr>
      <w:r>
        <w:rPr>
          <w:rFonts w:ascii="Georgia" w:hAnsi="Georgia"/>
          <w:b/>
          <w:color w:val="4D806A"/>
          <w:sz w:val="23"/>
        </w:rPr>
        <w:t>Driver 2 — The data still says hike</w:t>
      </w:r>
    </w:p>
    <w:p>
      <w:pPr>
        <w:spacing w:before="120" w:after="40"/>
        <w:keepNext/>
      </w:pPr>
      <w:r>
        <w:rPr>
          <w:rFonts w:ascii="Public Sans" w:hAnsi="Public Sans"/>
          <w:b/>
          <w:i w:val="0"/>
          <w:color w:val="001830"/>
          <w:sz w:val="19"/>
        </w:rPr>
        <w:t>Desk-read — lending, wages and spending all firm</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6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5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5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6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DB</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Bank lending +5.7% y/y (June, unchanged from May), strong at major banks on M&amp;A + pre-hike front-loading; real lending rates still </w:t>
            </w:r>
            <w:r>
              <w:rPr>
                <w:rFonts w:ascii="Public Sans" w:hAnsi="Public Sans"/>
                <w:b w:val="0"/>
                <w:i/>
                <w:color w:val="3D3E3E"/>
                <w:sz w:val="16"/>
              </w:rPr>
              <w:t>negative</w:t>
            </w:r>
            <w:r>
              <w:rPr>
                <w:rFonts w:ascii="Public Sans" w:hAnsi="Public Sans"/>
                <w:b w:val="0"/>
                <w:i w:val="0"/>
                <w:color w:val="3D3E3E"/>
                <w:sz w:val="16"/>
              </w:rPr>
              <w:t xml:space="preserve"> deflated by core-core CPI</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degree of BoJ easing is "more accommodative than the 1.0% policy rate implies" — room to hike</w:t>
            </w:r>
          </w:p>
        </w:tc>
      </w:tr>
      <w:tr>
        <w:tc>
          <w:tcPr>
            <w:tcW w:type="dxa" w:w="16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cb_events (official)</w:t>
            </w:r>
          </w:p>
        </w:tc>
        <w:tc>
          <w:tcPr>
            <w:tcW w:type="dxa" w:w="45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Household spending +3.7% m/m (vs +1.4% cons; y/y −0.4% vs −2.5% cons); labour cash earnings +3.2% y/y (a shade under +3.4% cons, prior 3.5%)</w:t>
            </w:r>
          </w:p>
        </w:tc>
        <w:tc>
          <w:tcPr>
            <w:tcW w:type="dxa" w:w="45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Consumption stronger than expected; wage momentum intact but not accelerating</w:t>
            </w:r>
          </w:p>
        </w:tc>
      </w:tr>
      <w:tr>
        <w:tc>
          <w:tcPr>
            <w:tcW w:type="dxa" w:w="16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Nomura</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Machine-tool orders +52.8% y/y; capex leading indicators firm</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AI + labour-saving capex underpins the Tankan upgrade</w:t>
            </w:r>
          </w:p>
        </w:tc>
      </w:tr>
    </w:tbl>
    <w:p>
      <w:pPr>
        <w:spacing w:after="80" w:line="283" w:lineRule="auto"/>
      </w:pPr>
      <w:r>
        <w:rPr>
          <w:rFonts w:ascii="Public Sans" w:hAnsi="Public Sans"/>
          <w:b w:val="0"/>
          <w:i w:val="0"/>
          <w:color w:val="3D3E3E"/>
          <w:sz w:val="19"/>
        </w:rPr>
        <w:t>The policy rate at 1.00% is the highest since 1995, yet real lending rates remain negative — DB's chart-of-the-week point that monetary conditions are looser than the headline rate suggests. The October-hike base case is intact; June PPI (consensus 6.8% y/y from 6.3%) and the 16 July BoJ household-expectations survey are the next tells.</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data underwrites higher front-end yields eventually — but the 2y is pinned (+1bp) by the government-restraint read, so the hike view is best expressed at the belly/5y, not the very front.</w:t>
      </w:r>
    </w:p>
    <w:p>
      <w:pPr>
        <w:spacing w:before="200" w:after="60"/>
        <w:keepNext/>
        <w:pBdr>
          <w:bottom w:val="single" w:sz="4" w:space="2" w:color="E0E9E4"/>
        </w:pBdr>
      </w:pPr>
      <w:r>
        <w:rPr>
          <w:rFonts w:ascii="Georgia" w:hAnsi="Georgia"/>
          <w:b/>
          <w:color w:val="4D806A"/>
          <w:sz w:val="23"/>
        </w:rPr>
        <w:t>Driver 3 — JGBs and the term premium: the curve split persists</w:t>
      </w:r>
    </w:p>
    <w:p>
      <w:pPr>
        <w:spacing w:after="80" w:line="283" w:lineRule="auto"/>
      </w:pPr>
      <w:r>
        <w:rPr>
          <w:rFonts w:ascii="Public Sans" w:hAnsi="Public Sans"/>
          <w:b w:val="0"/>
          <w:i w:val="0"/>
          <w:color w:val="3D3E3E"/>
          <w:sz w:val="19"/>
        </w:rPr>
        <w:t xml:space="preserve">10y TONAR OIS fell 6bp to 2.57% and 30y round-tripped a sharp sell-off. The live desk war remains </w:t>
      </w:r>
      <w:r>
        <w:rPr>
          <w:rFonts w:ascii="Public Sans" w:hAnsi="Public Sans"/>
          <w:b w:val="0"/>
          <w:i/>
          <w:color w:val="3D3E3E"/>
          <w:sz w:val="19"/>
        </w:rPr>
        <w:t>curve shape</w:t>
      </w:r>
      <w:r>
        <w:rPr>
          <w:rFonts w:ascii="Public Sans" w:hAnsi="Public Sans"/>
          <w:b w:val="0"/>
          <w:i w:val="0"/>
          <w:color w:val="3D3E3E"/>
          <w:sz w:val="19"/>
        </w:rPr>
        <w:t>: whether the fiscal premium sits at the super-long (MS: 10s30s steepener, own the belly) or drags the 10y (Citi: 10s30s flattener, "no 10y support"). Barclays keeps a bear-steepening bias on fiscal concern but flags the GPIF long-end bid as the counterweight.</w:t>
      </w:r>
    </w:p>
    <w:p>
      <w:pPr>
        <w:spacing w:before="120" w:after="40"/>
        <w:keepNext/>
      </w:pPr>
      <w:r>
        <w:rPr>
          <w:rFonts w:ascii="Public Sans" w:hAnsi="Public Sans"/>
          <w:b/>
          <w:i w:val="0"/>
          <w:color w:val="001830"/>
          <w:sz w:val="19"/>
        </w:rPr>
        <w:t>Scoreboard — the curve trade (where the desks actively disagree)</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664"/>
        <w:gridCol w:w="2664"/>
        <w:gridCol w:w="2664"/>
        <w:gridCol w:w="2664"/>
      </w:tblGrid>
      <w:tr>
        <w:trPr>
          <w:tblHeader w:val="true"/>
        </w:trPr>
        <w:tc>
          <w:tcPr>
            <w:tcW w:type="dxa" w:w="13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Curve view</w:t>
            </w:r>
          </w:p>
        </w:tc>
        <w:tc>
          <w:tcPr>
            <w:tcW w:type="dxa" w:w="306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Vehicle</w:t>
            </w:r>
          </w:p>
        </w:tc>
        <w:tc>
          <w:tcPr>
            <w:tcW w:type="dxa" w:w="20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13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MS (Sugisaki)</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Fiscal premium at the super-long; inflation premium in the belly too wide</w:t>
            </w:r>
          </w:p>
        </w:tc>
        <w:tc>
          <w:tcPr>
            <w:tcW w:type="dxa" w:w="30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10s30s steepener</w:t>
            </w:r>
            <w:r>
              <w:rPr>
                <w:rFonts w:ascii="Public Sans" w:hAnsi="Public Sans"/>
                <w:b w:val="0"/>
                <w:i w:val="0"/>
                <w:color w:val="3D3E3E"/>
                <w:sz w:val="16"/>
              </w:rPr>
              <w:t xml:space="preserve">; </w:t>
            </w:r>
            <w:r>
              <w:rPr>
                <w:rFonts w:ascii="Public Sans" w:hAnsi="Public Sans"/>
                <w:b/>
                <w:i w:val="0"/>
                <w:color w:val="3D3E3E"/>
                <w:sz w:val="16"/>
              </w:rPr>
              <w:t>long 5y</w:t>
            </w:r>
            <w:r>
              <w:rPr>
                <w:rFonts w:ascii="Public Sans" w:hAnsi="Public Sans"/>
                <w:b w:val="0"/>
                <w:i w:val="0"/>
                <w:color w:val="3D3E3E"/>
                <w:sz w:val="16"/>
              </w:rPr>
              <w:t>; short 30y ASW</w:t>
            </w:r>
          </w:p>
        </w:tc>
        <w:tc>
          <w:tcPr>
            <w:tcW w:type="dxa" w:w="20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Persists (cooled this week)</w:t>
            </w:r>
          </w:p>
        </w:tc>
      </w:tr>
      <w:tr>
        <w:tc>
          <w:tcPr>
            <w:tcW w:type="dxa" w:w="13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 (Fujiki)</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10y underperforms; considers the opposite</w:t>
            </w:r>
          </w:p>
        </w:tc>
        <w:tc>
          <w:tcPr>
            <w:tcW w:type="dxa" w:w="30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10s30s flattener</w:t>
            </w:r>
            <w:r>
              <w:rPr>
                <w:rFonts w:ascii="Public Sans" w:hAnsi="Public Sans"/>
                <w:b w:val="0"/>
                <w:i w:val="0"/>
                <w:color w:val="3D3E3E"/>
                <w:sz w:val="16"/>
              </w:rPr>
              <w:t>; short 5y/futures ASW</w:t>
            </w:r>
          </w:p>
        </w:tc>
        <w:tc>
          <w:tcPr>
            <w:tcW w:type="dxa" w:w="20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Under consideration</w:t>
            </w:r>
          </w:p>
        </w:tc>
      </w:tr>
      <w:tr>
        <w:tc>
          <w:tcPr>
            <w:tcW w:type="dxa" w:w="13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Barclays (Kadota)</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Bear-steepening on fiscal concern, GPIF a long-end bid</w:t>
            </w:r>
          </w:p>
        </w:tc>
        <w:tc>
          <w:tcPr>
            <w:tcW w:type="dxa" w:w="30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Duration-light, watch the super-long</w:t>
            </w:r>
          </w:p>
        </w:tc>
        <w:tc>
          <w:tcPr>
            <w:tcW w:type="dxa" w:w="20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Monitoring</w:t>
            </w:r>
          </w:p>
        </w:tc>
      </w:tr>
    </w:tbl>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Japan is the DM curve that </w:t>
      </w:r>
      <w:r>
        <w:rPr>
          <w:rFonts w:ascii="Public Sans" w:hAnsi="Public Sans"/>
          <w:b w:val="0"/>
          <w:i/>
          <w:color w:val="3D3E3E"/>
          <w:sz w:val="19"/>
        </w:rPr>
        <w:t>hedges</w:t>
      </w:r>
      <w:r>
        <w:rPr>
          <w:rFonts w:ascii="Public Sans" w:hAnsi="Public Sans"/>
          <w:b w:val="0"/>
          <w:i w:val="0"/>
          <w:color w:val="3D3E3E"/>
          <w:sz w:val="19"/>
        </w:rPr>
        <w:t xml:space="preserve"> a global oil/rates back-up: it rallied 6bp while US/UK/CA/NZ sold off 7–15bp. A long-JGB / short-DM-duration relative-value expresses that divergence directly; its main stop is the mid-July Cabinet approval of the Basic Policy, where a lax-discipline wording re-ignites the super-long premium. Own the 5y as the cleaner inflation-fade, respect the 30y as the fiscal risk.</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term-premium view is consensus; the </w:t>
      </w:r>
      <w:r>
        <w:rPr>
          <w:rFonts w:ascii="Public Sans" w:hAnsi="Public Sans"/>
          <w:b w:val="0"/>
          <w:i/>
          <w:color w:val="3D3E3E"/>
          <w:sz w:val="19"/>
        </w:rPr>
        <w:t>curve shape</w:t>
      </w:r>
      <w:r>
        <w:rPr>
          <w:rFonts w:ascii="Public Sans" w:hAnsi="Public Sans"/>
          <w:b w:val="0"/>
          <w:i w:val="0"/>
          <w:color w:val="3D3E3E"/>
          <w:sz w:val="19"/>
        </w:rPr>
        <w:t xml:space="preserve"> is the contested edge. Hold "own 5y / respect the super-long" and stay flat 10s30s until the Cabinet wording resolves the MS-vs-Citi split.</w:t>
      </w:r>
    </w:p>
    <w:p>
      <w:pPr>
        <w:spacing w:before="200" w:after="60"/>
        <w:keepNext/>
        <w:pBdr>
          <w:bottom w:val="single" w:sz="4" w:space="2" w:color="E0E9E4"/>
        </w:pBdr>
      </w:pPr>
      <w:r>
        <w:rPr>
          <w:rFonts w:ascii="Georgia" w:hAnsi="Georgia"/>
          <w:b/>
          <w:color w:val="4D806A"/>
          <w:sz w:val="23"/>
        </w:rPr>
        <w:t>Driver 4 — Equities: correcting the AI/semis skew</w:t>
      </w:r>
    </w:p>
    <w:p>
      <w:pPr>
        <w:spacing w:after="80" w:line="283" w:lineRule="auto"/>
      </w:pPr>
      <w:r>
        <w:rPr>
          <w:rFonts w:ascii="Public Sans" w:hAnsi="Public Sans"/>
          <w:b w:val="0"/>
          <w:i w:val="0"/>
          <w:color w:val="3D3E3E"/>
          <w:sz w:val="19"/>
        </w:rPr>
        <w:t>Nomura's Japan equity desk: the 8 July ceasefire break knocked Nikkei futures below 66,000 then they recovered above 67,000; every $10/bbl oil rise crimps TOPIX EPS ~1.0–1.25% and tends to knock the Nikkei ~3,000 (4–5%) momentarily. AI/semi leaders have "treaded water" since late June as active Japanese funds cut beta (median TOPIX beta ~1.10) ahead of Apr–Jun earnings — a rotation, not a top; Nomura frames the theme as "correcting the AI/semiconductor skew." TOPIX +0.5%, N225 −0.3% on the week.</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{"type":"bar","title":"Oil sensitivity of Japan equities (Nomura estimates)","caption":"Every $10/bbl oil rise crimps TOPIX EPS ~1.0–1.25% and knocks the Nikkei ~3,000 pts (4–5%) momentarily. The 8 Jul ceasefire break sent Nikkei futures &lt;66,000, then they recovered &gt;67,000 as the oil spike ran its course.","unit":"impact","series":[{"name":"Per +$10/bbl WTI","color":"#b5761f","points":[["TOPIX EPS drag (%)",-1.13],["Nikkei drop (000 pts)",-3.0],["Nikkei drop (%)",-4.5]]}]}</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MS ("broadening as semis lose momentum") and Nomura (active funds de-beta-ing) independently flag the same wobble in the AI/semis leadership — but read it as a </w:t>
      </w:r>
      <w:r>
        <w:rPr>
          <w:rFonts w:ascii="Public Sans" w:hAnsi="Public Sans"/>
          <w:b w:val="0"/>
          <w:i/>
          <w:color w:val="3D3E3E"/>
          <w:sz w:val="19"/>
        </w:rPr>
        <w:t>rotation into breadth</w:t>
      </w:r>
      <w:r>
        <w:rPr>
          <w:rFonts w:ascii="Public Sans" w:hAnsi="Public Sans"/>
          <w:b w:val="0"/>
          <w:i w:val="0"/>
          <w:color w:val="3D3E3E"/>
          <w:sz w:val="19"/>
        </w:rPr>
        <w:t>, not a top. For a Japan book, that argues owning the broadening (value/domestic) over the crowded semis beta into the Apr–Jun earnings season.</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favour the broadening (domestic/value) over the crowded AI/semis names into earnings; oil is the near-term swing on the index EPS.</w:t>
      </w:r>
    </w:p>
    <w:p>
      <w:pPr>
        <w:spacing w:before="200" w:after="60"/>
        <w:keepNext/>
        <w:pBdr>
          <w:bottom w:val="single" w:sz="4" w:space="2" w:color="E0E9E4"/>
        </w:pBdr>
      </w:pPr>
      <w:r>
        <w:rPr>
          <w:rFonts w:ascii="Georgia" w:hAnsi="Georgia"/>
          <w:b/>
          <w:color w:val="4D806A"/>
          <w:sz w:val="23"/>
        </w:rPr>
        <w:t>Driver 5 — The yen: soft despite the JGB rally</w:t>
      </w:r>
    </w:p>
    <w:p>
      <w:pPr>
        <w:spacing w:after="80" w:line="283" w:lineRule="auto"/>
      </w:pPr>
      <w:r>
        <w:rPr>
          <w:rFonts w:ascii="Public Sans" w:hAnsi="Public Sans"/>
          <w:b w:val="0"/>
          <w:i w:val="0"/>
          <w:color w:val="3D3E3E"/>
          <w:sz w:val="19"/>
        </w:rPr>
        <w:t xml:space="preserve">USD/JPY drifted to ¥161.7 (JPY −0.2%) even as JGBs rallied — the yen is trading the </w:t>
      </w:r>
      <w:r>
        <w:rPr>
          <w:rFonts w:ascii="Public Sans" w:hAnsi="Public Sans"/>
          <w:b w:val="0"/>
          <w:i/>
          <w:color w:val="3D3E3E"/>
          <w:sz w:val="19"/>
        </w:rPr>
        <w:t>rate differential and oil</w:t>
      </w:r>
      <w:r>
        <w:rPr>
          <w:rFonts w:ascii="Public Sans" w:hAnsi="Public Sans"/>
          <w:b w:val="0"/>
          <w:i w:val="0"/>
          <w:color w:val="3D3E3E"/>
          <w:sz w:val="19"/>
        </w:rPr>
        <w:t>, not the fiscal-premium relief. Nomura's JPY Weekly flagged "out-of-the-blue remarks on the GPIF" as a JPY factor (any signal that GPIF shifts allocation moves the currency). The oil re-spike is yen-negative (terms-of-trade); the MOF intervention reaction function remains silent-then-sudden, with the intervention zone still mooted ~¥163–165.</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STOP-DISCIPLINE FLAG</w:t>
      </w:r>
      <w:r>
        <w:rPr>
          <w:rFonts w:ascii="Public Sans" w:hAnsi="Public Sans"/>
          <w:b w:val="0"/>
          <w:i w:val="0"/>
          <w:color w:val="3D3E3E"/>
          <w:sz w:val="19"/>
        </w:rPr>
        <w:t xml:space="preserve"> — Short-JPY carry works with the rate differential but trades into a silent, hair-trigger MOF above ¥163 and a re-spiking oil price that could cut both ways (yen-negative on terms-of-trade, but intervention-triggering). Assume a gap move on any MOF action; do not run naked short-JPY through ¥163 expecting a verbal warning.</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structural yen-weakness thesis holds (fiscal expansion + capped hikes), but fresh shorts above ¥162 carry poor risk-reward against a silent MOF — watch the level, don't chase.</w:t>
      </w:r>
    </w:p>
    <w:p>
      <w:pPr>
        <w:spacing w:before="200" w:after="60"/>
        <w:keepNext/>
        <w:pBdr>
          <w:bottom w:val="single" w:sz="4" w:space="2" w:color="E0E9E4"/>
        </w:pBdr>
      </w:pPr>
      <w:r>
        <w:rPr>
          <w:rFonts w:ascii="Georgia" w:hAnsi="Georgia"/>
          <w:b/>
          <w:color w:val="4D806A"/>
          <w:sz w:val="23"/>
        </w:rPr>
        <w:t>Country trade board — Japan</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4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5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36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20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26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21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4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J1</w:t>
            </w:r>
          </w:p>
        </w:tc>
        <w:tc>
          <w:tcPr>
            <w:tcW w:type="dxa" w:w="5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MS</w:t>
            </w:r>
          </w:p>
        </w:tc>
        <w:tc>
          <w:tcPr>
            <w:tcW w:type="dxa" w:w="36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 10s30s steepener</w:t>
            </w:r>
          </w:p>
        </w:tc>
        <w:tc>
          <w:tcPr>
            <w:tcW w:type="dxa" w:w="12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persists</w:t>
            </w:r>
          </w:p>
        </w:tc>
        <w:tc>
          <w:tcPr>
            <w:tcW w:type="dxa" w:w="26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fiscal premium widening at 30y</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Persists (cooled this week)</w:t>
            </w:r>
          </w:p>
        </w:tc>
      </w:tr>
      <w:tr>
        <w:tc>
          <w:tcPr>
            <w:tcW w:type="dxa" w:w="4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J2</w:t>
            </w:r>
          </w:p>
        </w:tc>
        <w:tc>
          <w:tcPr>
            <w:tcW w:type="dxa" w:w="5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MS</w:t>
            </w:r>
          </w:p>
        </w:tc>
        <w:tc>
          <w:tcPr>
            <w:tcW w:type="dxa" w:w="36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5y JGB (fade belly inflation premium)</w:t>
            </w:r>
          </w:p>
        </w:tc>
        <w:tc>
          <w:tcPr>
            <w:tcW w:type="dxa" w:w="12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maintained</w:t>
            </w:r>
          </w:p>
        </w:tc>
        <w:tc>
          <w:tcPr>
            <w:tcW w:type="dxa" w:w="26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oil rebound / food reacceleration</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Persists</w:t>
            </w:r>
          </w:p>
        </w:tc>
      </w:tr>
      <w:tr>
        <w:tc>
          <w:tcPr>
            <w:tcW w:type="dxa" w:w="4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J3</w:t>
            </w:r>
          </w:p>
        </w:tc>
        <w:tc>
          <w:tcPr>
            <w:tcW w:type="dxa" w:w="5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MS</w:t>
            </w:r>
          </w:p>
        </w:tc>
        <w:tc>
          <w:tcPr>
            <w:tcW w:type="dxa" w:w="36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Short 30y JGB ASW</w:t>
            </w:r>
          </w:p>
        </w:tc>
        <w:tc>
          <w:tcPr>
            <w:tcW w:type="dxa" w:w="12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maintained</w:t>
            </w:r>
          </w:p>
        </w:tc>
        <w:tc>
          <w:tcPr>
            <w:tcW w:type="dxa" w:w="26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super-long demand returns</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Persists</w:t>
            </w:r>
          </w:p>
        </w:tc>
      </w:tr>
      <w:tr>
        <w:tc>
          <w:tcPr>
            <w:tcW w:type="dxa" w:w="4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J4</w:t>
            </w:r>
          </w:p>
        </w:tc>
        <w:tc>
          <w:tcPr>
            <w:tcW w:type="dxa" w:w="5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RV read</w:t>
            </w:r>
          </w:p>
        </w:tc>
        <w:tc>
          <w:tcPr>
            <w:tcW w:type="dxa" w:w="36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JGB / short DM duration (relative value)</w:t>
            </w:r>
          </w:p>
        </w:tc>
        <w:tc>
          <w:tcPr>
            <w:tcW w:type="dxa" w:w="12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new this week</w:t>
            </w:r>
          </w:p>
        </w:tc>
        <w:tc>
          <w:tcPr>
            <w:tcW w:type="dxa" w:w="26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Cabinet lax-discipline wording</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Evolved</w:t>
            </w:r>
          </w:p>
        </w:tc>
      </w:tr>
      <w:tr>
        <w:tc>
          <w:tcPr>
            <w:tcW w:type="dxa" w:w="4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J5</w:t>
            </w:r>
          </w:p>
        </w:tc>
        <w:tc>
          <w:tcPr>
            <w:tcW w:type="dxa" w:w="5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w:t>
            </w:r>
          </w:p>
        </w:tc>
        <w:tc>
          <w:tcPr>
            <w:tcW w:type="dxa" w:w="36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Watch USD/JPY into ~¥163 intervention zone</w:t>
            </w:r>
          </w:p>
        </w:tc>
        <w:tc>
          <w:tcPr>
            <w:tcW w:type="dxa" w:w="12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¥161.7</w:t>
            </w:r>
          </w:p>
        </w:tc>
        <w:tc>
          <w:tcPr>
            <w:tcW w:type="dxa" w:w="26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~¥163 / ¥165 next</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Monitor</w:t>
            </w:r>
          </w:p>
        </w:tc>
      </w:tr>
    </w:tbl>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INTERNAL COHERENCE CHECK</w:t>
      </w:r>
      <w:r>
        <w:rPr>
          <w:rFonts w:ascii="Public Sans" w:hAnsi="Public Sans"/>
          <w:b w:val="0"/>
          <w:i w:val="0"/>
          <w:color w:val="3D3E3E"/>
          <w:sz w:val="19"/>
        </w:rPr>
        <w:t xml:space="preserve"> — J1 (10s30s steepener) and J2 (own 5y) are consistent: fiscal premium at the long end, inflation premium fat in the belly — the "belly-rich, wings-cheap" package. J4 (long-JGB vs DM) and J1 both lose if the Cabinet signals lax discipline (super-long re-sells) — that is one shared fiscal-wording risk, not two; do not double it. J5 (short-JPY) is a separate FX-differential + oil bet, uncorrelated to the curve trades.</w:t>
      </w:r>
    </w:p>
    <w:p>
      <w:pPr>
        <w:spacing w:before="200" w:after="60"/>
        <w:keepNext/>
        <w:pBdr>
          <w:bottom w:val="single" w:sz="4" w:space="2" w:color="E0E9E4"/>
        </w:pBdr>
      </w:pPr>
      <w:r>
        <w:rPr>
          <w:rFonts w:ascii="Georgia" w:hAnsi="Georgia"/>
          <w:b/>
          <w:color w:val="4D806A"/>
          <w:sz w:val="23"/>
        </w:rPr>
        <w:t>Mini Argument Audit — Japan</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73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39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39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27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Hike-story vs the fiscal-premium fade</w:t>
            </w:r>
          </w:p>
        </w:tc>
        <w:tc>
          <w:tcPr>
            <w:tcW w:type="dxa" w:w="39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Data (lending +5.7%, spending +3.7%, wages, capex → Oct hike) vs the curve (10y −6bp on the tax-cut delay)</w:t>
            </w:r>
          </w:p>
        </w:tc>
        <w:tc>
          <w:tcPr>
            <w:tcW w:type="dxa" w:w="39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Data-hike Solid, the fiscal-fade the actionable read.</w:t>
            </w:r>
            <w:r>
              <w:rPr>
                <w:rFonts w:ascii="Public Sans" w:hAnsi="Public Sans"/>
                <w:b w:val="0"/>
                <w:i w:val="0"/>
                <w:color w:val="3D3E3E"/>
                <w:sz w:val="16"/>
              </w:rPr>
              <w:t xml:space="preserve"> Both are true; this week the supply-relief story dominated the tape. Own the 5y as the inflation-fade; the October-hike base case is intact but 2y-pinned.</w:t>
            </w:r>
          </w:p>
        </w:tc>
      </w:tr>
      <w:tr>
        <w:tc>
          <w:tcPr>
            <w:tcW w:type="dxa" w:w="273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Is the JGB rally durable?</w:t>
            </w:r>
          </w:p>
        </w:tc>
        <w:tc>
          <w:tcPr>
            <w:tcW w:type="dxa" w:w="39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Tax-cut delay + GPIF bid vs the mid-July "lax discipline" risk</w:t>
            </w:r>
          </w:p>
        </w:tc>
        <w:tc>
          <w:tcPr>
            <w:tcW w:type="dxa" w:w="39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Weak/Live.</w:t>
            </w:r>
            <w:r>
              <w:rPr>
                <w:rFonts w:ascii="Public Sans" w:hAnsi="Public Sans"/>
                <w:b w:val="0"/>
                <w:i w:val="0"/>
                <w:color w:val="3D3E3E"/>
                <w:sz w:val="16"/>
              </w:rPr>
              <w:t xml:space="preserve"> The rally rests on a </w:t>
            </w:r>
            <w:r>
              <w:rPr>
                <w:rFonts w:ascii="Public Sans" w:hAnsi="Public Sans"/>
                <w:b w:val="0"/>
                <w:i/>
                <w:color w:val="3D3E3E"/>
                <w:sz w:val="16"/>
              </w:rPr>
              <w:t>delay</w:t>
            </w:r>
            <w:r>
              <w:rPr>
                <w:rFonts w:ascii="Public Sans" w:hAnsi="Public Sans"/>
                <w:b w:val="0"/>
                <w:i w:val="0"/>
                <w:color w:val="3D3E3E"/>
                <w:sz w:val="16"/>
              </w:rPr>
              <w:t>, not a cancellation; the Cabinet's final wording can reverse it. A credible funded plan → yields lower; a no-discipline signal → super-long re-sells.</w:t>
            </w:r>
          </w:p>
        </w:tc>
      </w:tr>
      <w:tr>
        <w:tc>
          <w:tcPr>
            <w:tcW w:type="dxa" w:w="27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Is short-JPY still a trade above ¥162?</w:t>
            </w:r>
          </w:p>
        </w:tc>
        <w:tc>
          <w:tcPr>
            <w:tcW w:type="dxa" w:w="39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Structural bears (fiscal + capped hikes) vs a silent, hair-trigger MOF</w:t>
            </w:r>
          </w:p>
        </w:tc>
        <w:tc>
          <w:tcPr>
            <w:tcW w:type="dxa" w:w="39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Weak as a fresh entry.</w:t>
            </w:r>
            <w:r>
              <w:rPr>
                <w:rFonts w:ascii="Public Sans" w:hAnsi="Public Sans"/>
                <w:b w:val="0"/>
                <w:i w:val="0"/>
                <w:color w:val="3D3E3E"/>
                <w:sz w:val="16"/>
              </w:rPr>
              <w:t xml:space="preserve"> The directional thesis is Solid; the level/timing (¥161.7, near the intervention zone, oil-driven) is poor risk-reward for adding.</w:t>
            </w:r>
          </w:p>
        </w:tc>
      </w:tr>
    </w:tbl>
    <w:p>
      <w:pPr>
        <w:spacing w:before="200" w:after="60"/>
        <w:keepNext/>
        <w:pBdr>
          <w:bottom w:val="single" w:sz="4" w:space="2" w:color="E0E9E4"/>
        </w:pBdr>
      </w:pPr>
      <w:r>
        <w:rPr>
          <w:rFonts w:ascii="Georgia" w:hAnsi="Georgia"/>
          <w:b/>
          <w:color w:val="4D806A"/>
          <w:sz w:val="23"/>
        </w:rPr>
        <w:t>This week &amp; next week — Japan</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06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24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19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21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 it rests on</w:t>
            </w:r>
          </w:p>
        </w:tc>
        <w:tc>
          <w:tcPr>
            <w:tcW w:type="dxa" w:w="302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10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10 Jul</w:t>
            </w:r>
          </w:p>
        </w:tc>
        <w:tc>
          <w:tcPr>
            <w:tcW w:type="dxa" w:w="24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PPI / CGPI</w:t>
            </w:r>
          </w:p>
        </w:tc>
        <w:tc>
          <w:tcPr>
            <w:tcW w:type="dxa" w:w="19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6.8% y/y (from 6.3%), +0.4% m/m</w:t>
            </w:r>
          </w:p>
        </w:tc>
        <w:tc>
          <w:tcPr>
            <w:tcW w:type="dxa" w:w="2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energy/chemical pass-through spreading</w:t>
            </w:r>
          </w:p>
        </w:tc>
        <w:tc>
          <w:tcPr>
            <w:tcW w:type="dxa" w:w="30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7-handle = the behind-the-curve overshoot tell</w:t>
            </w:r>
          </w:p>
        </w:tc>
      </w:tr>
      <w:tr>
        <w:tc>
          <w:tcPr>
            <w:tcW w:type="dxa" w:w="10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This wk — 14–15 Jul</w:t>
            </w:r>
          </w:p>
        </w:tc>
        <w:tc>
          <w:tcPr>
            <w:tcW w:type="dxa" w:w="24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machine orders (May)</w:t>
            </w:r>
          </w:p>
        </w:tc>
        <w:tc>
          <w:tcPr>
            <w:tcW w:type="dxa" w:w="19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 −2.7% m/m; prior +8.7%</w:t>
            </w:r>
          </w:p>
        </w:tc>
        <w:tc>
          <w:tcPr>
            <w:tcW w:type="dxa" w:w="2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reaction after a strong prior; trend up</w:t>
            </w:r>
          </w:p>
        </w:tc>
        <w:tc>
          <w:tcPr>
            <w:tcW w:type="dxa" w:w="30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AI + labour-saving capex underpins the Tankan upgrade</w:t>
            </w:r>
          </w:p>
        </w:tc>
      </w:tr>
      <w:tr>
        <w:tc>
          <w:tcPr>
            <w:tcW w:type="dxa" w:w="10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15 Jul</w:t>
            </w:r>
          </w:p>
        </w:tc>
        <w:tc>
          <w:tcPr>
            <w:tcW w:type="dxa" w:w="24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BoJ 2016 MPM transcripts</w:t>
            </w:r>
          </w:p>
        </w:tc>
        <w:tc>
          <w:tcPr>
            <w:tcW w:type="dxa" w:w="19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2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little direct read</w:t>
            </w:r>
          </w:p>
        </w:tc>
        <w:tc>
          <w:tcPr>
            <w:tcW w:type="dxa" w:w="30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NIRP-era process, not policy-relevant</w:t>
            </w:r>
          </w:p>
        </w:tc>
      </w:tr>
      <w:tr>
        <w:tc>
          <w:tcPr>
            <w:tcW w:type="dxa" w:w="10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This wk — 16 Jul</w:t>
            </w:r>
          </w:p>
        </w:tc>
        <w:tc>
          <w:tcPr>
            <w:tcW w:type="dxa" w:w="24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BoJ opinion survey (household expectations)</w:t>
            </w:r>
          </w:p>
        </w:tc>
        <w:tc>
          <w:tcPr>
            <w:tcW w:type="dxa" w:w="19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household inflation expectations rising</w:t>
            </w:r>
          </w:p>
        </w:tc>
        <w:tc>
          <w:tcPr>
            <w:tcW w:type="dxa" w:w="30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further rise feeds the BoJ underlying-inflation case</w:t>
            </w:r>
          </w:p>
        </w:tc>
      </w:tr>
      <w:tr>
        <w:tc>
          <w:tcPr>
            <w:tcW w:type="dxa" w:w="10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Next wk — 24 Jul</w:t>
            </w:r>
          </w:p>
        </w:tc>
        <w:tc>
          <w:tcPr>
            <w:tcW w:type="dxa" w:w="24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CPI (national)</w:t>
            </w:r>
          </w:p>
        </w:tc>
        <w:tc>
          <w:tcPr>
            <w:tcW w:type="dxa" w:w="19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1.5% y/y (ex-fresh-food 1.4%)</w:t>
            </w:r>
          </w:p>
        </w:tc>
        <w:tc>
          <w:tcPr>
            <w:tcW w:type="dxa" w:w="2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firm</w:t>
            </w:r>
          </w:p>
        </w:tc>
        <w:tc>
          <w:tcPr>
            <w:tcW w:type="dxa" w:w="30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keeps the October-hike base case</w:t>
            </w:r>
          </w:p>
        </w:tc>
      </w:tr>
      <w:tr>
        <w:tc>
          <w:tcPr>
            <w:tcW w:type="dxa" w:w="10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Next wk — 31 Jul</w:t>
            </w:r>
          </w:p>
        </w:tc>
        <w:tc>
          <w:tcPr>
            <w:tcW w:type="dxa" w:w="24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BoJ MPM + Outlook Report</w:t>
            </w:r>
          </w:p>
        </w:tc>
        <w:tc>
          <w:tcPr>
            <w:tcW w:type="dxa" w:w="19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1.00%</w:t>
            </w:r>
          </w:p>
        </w:tc>
        <w:tc>
          <w:tcPr>
            <w:tcW w:type="dxa" w:w="2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 move</w:t>
            </w:r>
          </w:p>
        </w:tc>
        <w:tc>
          <w:tcPr>
            <w:tcW w:type="dxa" w:w="30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any October-hike signpost is the event</w:t>
            </w:r>
          </w:p>
        </w:tc>
      </w:tr>
    </w:tbl>
    <w:p>
      <w:pPr>
        <w:spacing w:after="80" w:line="283" w:lineRule="auto"/>
      </w:pPr>
      <w:r>
        <w:rPr>
          <w:rFonts w:ascii="Public Sans" w:hAnsi="Public Sans"/>
          <w:b w:val="0"/>
          <w:i w:val="0"/>
          <w:color w:val="3D3E3E"/>
          <w:sz w:val="19"/>
        </w:rPr>
        <w:t>Positioning read: the week is a supply/PPI test wrapped around the fiscal-premium question. The clean expression is long-JGB vs short-DM-duration + own-5y into the auctions, with the mid-July Cabinet wording and June PPI as the two triggers. The FY27 issuance plan remains the real resolving event and is not yet dated.</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HONG KONG — the semis/China beta rides again</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HSI </w:t>
      </w:r>
      <w:r>
        <w:rPr>
          <w:rFonts w:ascii="Public Sans" w:hAnsi="Public Sans"/>
          <w:b/>
          <w:i w:val="0"/>
          <w:color w:val="3D3E3E"/>
          <w:sz w:val="19"/>
        </w:rPr>
        <w:t>+4.9%</w:t>
      </w:r>
      <w:r>
        <w:rPr>
          <w:rFonts w:ascii="Public Sans" w:hAnsi="Public Sans"/>
          <w:b w:val="0"/>
          <w:i w:val="0"/>
          <w:color w:val="3D3E3E"/>
          <w:sz w:val="19"/>
        </w:rPr>
        <w:t xml:space="preserve"> WoW, HSTECH </w:t>
      </w:r>
      <w:r>
        <w:rPr>
          <w:rFonts w:ascii="Public Sans" w:hAnsi="Public Sans"/>
          <w:b/>
          <w:i w:val="0"/>
          <w:color w:val="3D3E3E"/>
          <w:sz w:val="19"/>
        </w:rPr>
        <w:t>+6.0%</w:t>
      </w:r>
      <w:r>
        <w:rPr>
          <w:rFonts w:ascii="Public Sans" w:hAnsi="Public Sans"/>
          <w:b w:val="0"/>
          <w:i w:val="0"/>
          <w:color w:val="3D3E3E"/>
          <w:sz w:val="19"/>
        </w:rPr>
        <w:t xml:space="preserve">, HSCE </w:t>
      </w:r>
      <w:r>
        <w:rPr>
          <w:rFonts w:ascii="Public Sans" w:hAnsi="Public Sans"/>
          <w:b/>
          <w:i w:val="0"/>
          <w:color w:val="3D3E3E"/>
          <w:sz w:val="19"/>
        </w:rPr>
        <w:t>+5.6%</w:t>
      </w:r>
      <w:r>
        <w:rPr>
          <w:rFonts w:ascii="Public Sans" w:hAnsi="Public Sans"/>
          <w:b w:val="0"/>
          <w:i w:val="0"/>
          <w:color w:val="3D3E3E"/>
          <w:sz w:val="19"/>
        </w:rPr>
        <w:t xml:space="preserve"> — best equity tape in the universe · HKD ~flat (7.841, peg intact) · 10y HIBOR </w:t>
      </w:r>
      <w:r>
        <w:rPr>
          <w:rFonts w:ascii="Public Sans" w:hAnsi="Public Sans"/>
          <w:b/>
          <w:i w:val="0"/>
          <w:color w:val="3D3E3E"/>
          <w:sz w:val="19"/>
        </w:rPr>
        <w:t>3.61%</w:t>
      </w:r>
      <w:r>
        <w:rPr>
          <w:rFonts w:ascii="Public Sans" w:hAnsi="Public Sans"/>
          <w:b w:val="0"/>
          <w:i w:val="0"/>
          <w:color w:val="3D3E3E"/>
          <w:sz w:val="19"/>
        </w:rPr>
        <w:t xml:space="preserve"> (+5bp WoW), 2y 3.48% (−0.7bp) · China Q2 GDP ~4.5% (Citi), exports +18% y/y June (prints).</w:t>
      </w:r>
    </w:p>
    <w:p>
      <w:pPr>
        <w:spacing w:after="80" w:line="283" w:lineRule="auto"/>
      </w:pPr>
      <w:r>
        <w:rPr>
          <w:rFonts w:ascii="Public Sans" w:hAnsi="Public Sans"/>
          <w:b w:val="0"/>
          <w:i w:val="0"/>
          <w:color w:val="3D3E3E"/>
          <w:sz w:val="19"/>
        </w:rPr>
        <w:t>Hong Kong is the region's cleanest expression of the North-Asia AI/semiconductor + China beta, and it ran hard this week even as the underlying cycle wobbled elsewhere.</w:t>
      </w:r>
    </w:p>
    <w:p>
      <w:pPr>
        <w:spacing w:before="200" w:after="60"/>
        <w:keepNext/>
        <w:pBdr>
          <w:bottom w:val="single" w:sz="4" w:space="2" w:color="E0E9E4"/>
        </w:pBdr>
      </w:pPr>
      <w:r>
        <w:rPr>
          <w:rFonts w:ascii="Georgia" w:hAnsi="Georgia"/>
          <w:b/>
          <w:color w:val="4D806A"/>
          <w:sz w:val="23"/>
        </w:rPr>
        <w:t>Driver 1 — Equity leadership on the China/semis cycle</w:t>
      </w:r>
    </w:p>
    <w:p>
      <w:pPr>
        <w:spacing w:before="120" w:after="40"/>
        <w:keepNext/>
      </w:pPr>
      <w:r>
        <w:rPr>
          <w:rFonts w:ascii="Public Sans" w:hAnsi="Public Sans"/>
          <w:b/>
          <w:i w:val="0"/>
          <w:color w:val="001830"/>
          <w:sz w:val="19"/>
        </w:rPr>
        <w:t>Desk-read — a +4.9% HSI led by HSTECH +6.0%</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5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54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54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5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MS (Weekly Monitor)</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"China's central bank buys the dip"; PBoC extending support; the tape rode the semis/AI beta</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Momentum intact, but the semis leg is "losing momentum" elsewhere</w:t>
            </w:r>
          </w:p>
        </w:tc>
      </w:tr>
      <w:tr>
        <w:tc>
          <w:tcPr>
            <w:tcW w:type="dxa" w:w="15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Nomura</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Active Japanese funds de-beta-ing the AI/semis overweight; a </w:t>
            </w:r>
            <w:r>
              <w:rPr>
                <w:rFonts w:ascii="Public Sans" w:hAnsi="Public Sans"/>
                <w:b w:val="0"/>
                <w:i/>
                <w:color w:val="3D3E3E"/>
                <w:sz w:val="16"/>
              </w:rPr>
              <w:t>rotation</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HK is running a cycle its North-Asia peers are rotating out of</w:t>
            </w:r>
          </w:p>
        </w:tc>
      </w:tr>
    </w:tbl>
    <w:p>
      <w:pPr>
        <w:spacing w:after="80" w:line="283" w:lineRule="auto"/>
      </w:pPr>
      <w:r>
        <w:rPr>
          <w:rFonts w:ascii="Public Sans" w:hAnsi="Public Sans"/>
          <w:b w:val="0"/>
          <w:i w:val="0"/>
          <w:color w:val="3D3E3E"/>
          <w:sz w:val="19"/>
        </w:rPr>
        <w:t>HSTECH +6.0% led a +4.9% HSI — the standout in the universe. The peg is intact (HKD ~7.841); HIBOR 10y +5bp tracked the global back-up while the 2y was flat.</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{"type":"bar","title":"HK led the universe's equity tape this week (WoW %)","caption":"Hong Kong ran the North-Asia semis/China beta hardest: HSTECH +6.0%, HSI +4.9%, HSCE +5.6% — well ahead of MSCI Singapore (+5.6%) and the US (S&amp;P +1.2%). The cycle MS/Nomura flag as wobbling elsewhere.","unit":"% WoW","series":[{"name":"Equity WoW","color":"#1f6b4f","points":[["HSTECH",6.0],["HSCE",5.6],["MSCI SG",5.6],["HSI",4.9],["Nasdaq",1.7],["S&amp;P",1.2],["TOPIX",0.5]]}]}</w:t>
      </w:r>
    </w:p>
    <w:p>
      <w:pPr>
        <w:spacing w:after="80" w:line="283" w:lineRule="auto"/>
      </w:pP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HK is the highest-beta expression of the AI/semis theme; treat the +4.9% week as a beta position riding a late-cycle leadership, not a fresh entry.</w:t>
      </w:r>
    </w:p>
    <w:p>
      <w:pPr>
        <w:spacing w:before="200" w:after="60"/>
        <w:keepNext/>
        <w:pBdr>
          <w:bottom w:val="single" w:sz="4" w:space="2" w:color="E0E9E4"/>
        </w:pBdr>
      </w:pPr>
      <w:r>
        <w:rPr>
          <w:rFonts w:ascii="Georgia" w:hAnsi="Georgia"/>
          <w:b/>
          <w:color w:val="4D806A"/>
          <w:sz w:val="23"/>
        </w:rPr>
        <w:t>Driver 2 — China macro: austerity now, acceleration later</w:t>
      </w:r>
    </w:p>
    <w:p>
      <w:pPr>
        <w:spacing w:before="120" w:after="40"/>
        <w:keepNext/>
      </w:pPr>
      <w:r>
        <w:rPr>
          <w:rFonts w:ascii="Public Sans" w:hAnsi="Public Sans"/>
          <w:b/>
          <w:i w:val="0"/>
          <w:color w:val="001830"/>
          <w:sz w:val="19"/>
        </w:rPr>
        <w:t>Desk-read — Citi's China read behind the HK beta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1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1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De facto fiscal austerity drove the sharp Q2 slowdown (central govt over-collecting, local govts constrained by land sales/debt); base case: austerity reverses in H2 as fiscal deployment accelerates → a mild rebound; no mid-year budget revision; PBoC patient, broad easing unlikely, long-CGB supply rising</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K-shaped, weak domestic demand; the Politburo meeting is the next signal</w:t>
            </w:r>
          </w:p>
        </w:tc>
      </w:tr>
      <w:tr>
        <w:tc>
          <w:tcPr>
            <w:tcW w:type="dxa" w:w="11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DB (Asia LMW)</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RMB "has more to run" (long 6M USD/CNH put); hedge funds flipped short CNH but real-money flows supportive; long-end CGBs to sell off on supply</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Constructive RMB, cautious long-end CGB</w:t>
            </w:r>
          </w:p>
        </w:tc>
      </w:tr>
      <w:tr>
        <w:tc>
          <w:tcPr>
            <w:tcW w:type="dxa" w:w="11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MS</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PBoC "buys the dip"</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Policy support underpins the tape</w:t>
            </w:r>
          </w:p>
        </w:tc>
      </w:tr>
    </w:tbl>
    <w:p>
      <w:pPr>
        <w:spacing w:after="80" w:line="283" w:lineRule="auto"/>
      </w:pPr>
      <w:r>
        <w:rPr>
          <w:rFonts w:ascii="Public Sans" w:hAnsi="Public Sans"/>
          <w:b w:val="0"/>
          <w:i w:val="0"/>
          <w:color w:val="3D3E3E"/>
          <w:sz w:val="19"/>
        </w:rPr>
        <w:t>Citi forecasts China Q2 GDP 4.5%, June exports +18% y/y, imports +25%, retail +0.6%, IP +4.6% — "signs of stabilization ahead of the Politburo." CPI/PPI missed slightly on external (oil/gold) factors; the plateauing-inflation, K-shaped-demand picture persists.</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Citi (fiscal austerity → H2 rebound), MS (PBoC buys the dip) and DB (constructive RMB) agree on direction — China stabilises into H2 with policy support — and disagree only on the vehicle (equities vs RMB vs staying cautious on CGBs). For HK, the shared conclusion is a supportive-but-not-explosive China backdrop; the HSTECH run is running ahead of a </w:t>
      </w:r>
      <w:r>
        <w:rPr>
          <w:rFonts w:ascii="Public Sans" w:hAnsi="Public Sans"/>
          <w:b w:val="0"/>
          <w:i/>
          <w:color w:val="3D3E3E"/>
          <w:sz w:val="19"/>
        </w:rPr>
        <w:t>mild</w:t>
      </w:r>
      <w:r>
        <w:rPr>
          <w:rFonts w:ascii="Public Sans" w:hAnsi="Public Sans"/>
          <w:b w:val="0"/>
          <w:i w:val="0"/>
          <w:color w:val="3D3E3E"/>
          <w:sz w:val="19"/>
        </w:rPr>
        <w:t xml:space="preserve"> macro rebound.</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China macro backdrop supports the HK beta but argues it is </w:t>
      </w:r>
      <w:r>
        <w:rPr>
          <w:rFonts w:ascii="Public Sans" w:hAnsi="Public Sans"/>
          <w:b w:val="0"/>
          <w:i/>
          <w:color w:val="3D3E3E"/>
          <w:sz w:val="19"/>
        </w:rPr>
        <w:t>ahead</w:t>
      </w:r>
      <w:r>
        <w:rPr>
          <w:rFonts w:ascii="Public Sans" w:hAnsi="Public Sans"/>
          <w:b w:val="0"/>
          <w:i w:val="0"/>
          <w:color w:val="3D3E3E"/>
          <w:sz w:val="19"/>
        </w:rPr>
        <w:t xml:space="preserve"> of a mild rebound — favour RMB-appreciation expression (DB's USD/CNH put) over chasing HSTECH.</w:t>
      </w:r>
    </w:p>
    <w:p>
      <w:pPr>
        <w:spacing w:before="200" w:after="60"/>
        <w:keepNext/>
        <w:pBdr>
          <w:bottom w:val="single" w:sz="4" w:space="2" w:color="E0E9E4"/>
        </w:pBdr>
      </w:pPr>
      <w:r>
        <w:rPr>
          <w:rFonts w:ascii="Georgia" w:hAnsi="Georgia"/>
          <w:b/>
          <w:color w:val="4D806A"/>
          <w:sz w:val="23"/>
        </w:rPr>
        <w:t>Driver 3 — The peg and HIBOR</w:t>
      </w:r>
    </w:p>
    <w:p>
      <w:pPr>
        <w:spacing w:after="80" w:line="283" w:lineRule="auto"/>
      </w:pPr>
      <w:r>
        <w:rPr>
          <w:rFonts w:ascii="Public Sans" w:hAnsi="Public Sans"/>
          <w:b w:val="0"/>
          <w:i w:val="0"/>
          <w:color w:val="3D3E3E"/>
          <w:sz w:val="19"/>
        </w:rPr>
        <w:t>The HKD peg is untested (7.841, mid-band); HIBOR 10y +5bp tracked the global rate back-up while the 2y was flat (−0.7bp) — the front end stayed soft, consistent with ample HKD liquidity. No peg stress; HK rates are a US-rate taker plus local liquidity.</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HK is where the AI/semis unwind would concentrate if US Q2 earnings (now starting) disappoint on the semis complex — HSTECH is the highest-beta liquid expression of the theme MS/Nomura flag as wobbling. Treat the +6% week as a beta position with US semis earnings as the falsifier, not a standalone HK conviction trade.</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peg is a non-event; HK is a China/semis beta play whose falsifier is a US-semis-earnings disappointment.</w:t>
      </w:r>
    </w:p>
    <w:p>
      <w:pPr>
        <w:spacing w:before="200" w:after="60"/>
        <w:keepNext/>
        <w:pBdr>
          <w:bottom w:val="single" w:sz="4" w:space="2" w:color="E0E9E4"/>
        </w:pBdr>
      </w:pPr>
      <w:r>
        <w:rPr>
          <w:rFonts w:ascii="Georgia" w:hAnsi="Georgia"/>
          <w:b/>
          <w:color w:val="4D806A"/>
          <w:sz w:val="23"/>
        </w:rPr>
        <w:t>Country trade board — Hong Kong</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45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9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28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1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37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144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4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H1</w:t>
            </w:r>
          </w:p>
        </w:tc>
        <w:tc>
          <w:tcPr>
            <w:tcW w:type="dxa" w:w="9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MS / momentum</w:t>
            </w:r>
          </w:p>
        </w:tc>
        <w:tc>
          <w:tcPr>
            <w:tcW w:type="dxa" w:w="28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 HK tech / China beta</w:t>
            </w:r>
          </w:p>
        </w:tc>
        <w:tc>
          <w:tcPr>
            <w:tcW w:type="dxa" w:w="11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+4.9% WoW</w:t>
            </w:r>
          </w:p>
        </w:tc>
        <w:tc>
          <w:tcPr>
            <w:tcW w:type="dxa" w:w="37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semis-cycle continuation / US semis earnings miss</w:t>
            </w:r>
          </w:p>
        </w:tc>
        <w:tc>
          <w:tcPr>
            <w:tcW w:type="dxa" w:w="14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Persists (momentum)</w:t>
            </w:r>
          </w:p>
        </w:tc>
      </w:tr>
      <w:tr>
        <w:tc>
          <w:tcPr>
            <w:tcW w:type="dxa" w:w="4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H2</w:t>
            </w:r>
          </w:p>
        </w:tc>
        <w:tc>
          <w:tcPr>
            <w:tcW w:type="dxa" w:w="9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w:t>
            </w:r>
          </w:p>
        </w:tc>
        <w:tc>
          <w:tcPr>
            <w:tcW w:type="dxa" w:w="28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6M USD/CNH put (RMB appreciation)</w:t>
            </w:r>
          </w:p>
        </w:tc>
        <w:tc>
          <w:tcPr>
            <w:tcW w:type="dxa" w:w="11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this week</w:t>
            </w:r>
          </w:p>
        </w:tc>
        <w:tc>
          <w:tcPr>
            <w:tcW w:type="dxa" w:w="37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RMB internationalisation + flows</w:t>
            </w:r>
          </w:p>
        </w:tc>
        <w:tc>
          <w:tcPr>
            <w:tcW w:type="dxa" w:w="14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Persists</w:t>
            </w:r>
          </w:p>
        </w:tc>
      </w:tr>
    </w:tbl>
    <w:p>
      <w:pPr>
        <w:spacing w:before="200" w:after="60"/>
        <w:keepNext/>
        <w:pBdr>
          <w:bottom w:val="single" w:sz="4" w:space="2" w:color="E0E9E4"/>
        </w:pBdr>
      </w:pPr>
      <w:r>
        <w:rPr>
          <w:rFonts w:ascii="Georgia" w:hAnsi="Georgia"/>
          <w:b/>
          <w:color w:val="4D806A"/>
          <w:sz w:val="23"/>
        </w:rPr>
        <w:t>Mini Argument Audit — Hong Kong</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2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22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Is the HK equity run durable?</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HSTECH +6% momentum vs MS/Nomura "semis lose momentum"</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Weak/Live.</w:t>
            </w:r>
            <w:r>
              <w:rPr>
                <w:rFonts w:ascii="Public Sans" w:hAnsi="Public Sans"/>
                <w:b w:val="0"/>
                <w:i w:val="0"/>
                <w:color w:val="3D3E3E"/>
                <w:sz w:val="16"/>
              </w:rPr>
              <w:t xml:space="preserve"> HK is running a cycle its North-Asia peers are rotating out of; US Q2 earnings are the arbiter. The rally is real but late-cycle for the semis theme.</w:t>
            </w:r>
          </w:p>
        </w:tc>
      </w:tr>
      <w:tr>
        <w:tc>
          <w:tcPr>
            <w:tcW w:type="dxa" w:w="222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RMB direction</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 constructive (long-end more to run) vs hedge-fund CNH shorts</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DB's constructive read Solid on flows.</w:t>
            </w:r>
            <w:r>
              <w:rPr>
                <w:rFonts w:ascii="Public Sans" w:hAnsi="Public Sans"/>
                <w:b w:val="0"/>
                <w:i w:val="0"/>
                <w:color w:val="3D3E3E"/>
                <w:sz w:val="16"/>
              </w:rPr>
              <w:t xml:space="preserve"> Real-money + corporate flows supportive; speculative shorts "may struggle to sustain a depreciation trend."</w:t>
            </w:r>
          </w:p>
        </w:tc>
      </w:tr>
    </w:tbl>
    <w:p>
      <w:pPr>
        <w:spacing w:before="200" w:after="60"/>
        <w:keepNext/>
        <w:pBdr>
          <w:bottom w:val="single" w:sz="4" w:space="2" w:color="E0E9E4"/>
        </w:pBdr>
      </w:pPr>
      <w:r>
        <w:rPr>
          <w:rFonts w:ascii="Georgia" w:hAnsi="Georgia"/>
          <w:b/>
          <w:color w:val="4D806A"/>
          <w:sz w:val="23"/>
        </w:rPr>
        <w:t>This week &amp; next week — Hong Kong</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21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167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27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w:t>
            </w:r>
          </w:p>
        </w:tc>
        <w:tc>
          <w:tcPr>
            <w:tcW w:type="dxa" w:w="357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China Jun/Q2 data (via Citi)</w:t>
            </w:r>
          </w:p>
        </w:tc>
        <w:tc>
          <w:tcPr>
            <w:tcW w:type="dxa" w:w="16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GDP 4.5%; exports +18%</w:t>
            </w:r>
          </w:p>
        </w:tc>
        <w:tc>
          <w:tcPr>
            <w:tcW w:type="dxa" w:w="27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stabilisation ahead of the Politburo</w:t>
            </w:r>
          </w:p>
        </w:tc>
        <w:tc>
          <w:tcPr>
            <w:tcW w:type="dxa" w:w="35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drives the HK beta</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Watch</w:t>
            </w:r>
          </w:p>
        </w:tc>
        <w:tc>
          <w:tcPr>
            <w:tcW w:type="dxa" w:w="21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 Q2 earnings (semis)</w:t>
            </w:r>
          </w:p>
        </w:tc>
        <w:tc>
          <w:tcPr>
            <w:tcW w:type="dxa" w:w="16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7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AI-capex cycle intact</w:t>
            </w:r>
          </w:p>
        </w:tc>
        <w:tc>
          <w:tcPr>
            <w:tcW w:type="dxa" w:w="357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arbiter for HSTECH</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Watch</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China Politburo meeting</w:t>
            </w:r>
          </w:p>
        </w:tc>
        <w:tc>
          <w:tcPr>
            <w:tcW w:type="dxa" w:w="16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27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H2 fiscal acceleration</w:t>
            </w:r>
          </w:p>
        </w:tc>
        <w:tc>
          <w:tcPr>
            <w:tcW w:type="dxa" w:w="35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signal for the austerity-reversal base case</w:t>
            </w:r>
          </w:p>
        </w:tc>
      </w:tr>
    </w:tbl>
    <w:p>
      <w:pPr>
        <w:spacing w:after="80" w:line="283" w:lineRule="auto"/>
      </w:pPr>
      <w:r>
        <w:rPr>
          <w:rFonts w:ascii="Public Sans" w:hAnsi="Public Sans"/>
          <w:b w:val="0"/>
          <w:i w:val="0"/>
          <w:color w:val="3D3E3E"/>
          <w:sz w:val="19"/>
        </w:rPr>
        <w:t>Positioning read: HK is a China/semis beta with the peg a non-event. Express constructive China via DB's RMB-appreciation put rather than chasing HSTECH at +6%; the US Q2 semis earnings and the Politburo are the two catalysts that confirm or break the beta.</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NEW ZEALAND — the coin-flip lands on hike</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RBNZ OCR </w:t>
      </w:r>
      <w:r>
        <w:rPr>
          <w:rFonts w:ascii="Public Sans" w:hAnsi="Public Sans"/>
          <w:b/>
          <w:i w:val="0"/>
          <w:color w:val="3D3E3E"/>
          <w:sz w:val="19"/>
        </w:rPr>
        <w:t>2.50%</w:t>
      </w:r>
      <w:r>
        <w:rPr>
          <w:rFonts w:ascii="Public Sans" w:hAnsi="Public Sans"/>
          <w:b w:val="0"/>
          <w:i w:val="0"/>
          <w:color w:val="3D3E3E"/>
          <w:sz w:val="19"/>
        </w:rPr>
        <w:t xml:space="preserve">, </w:t>
      </w:r>
      <w:r>
        <w:rPr>
          <w:rFonts w:ascii="Public Sans" w:hAnsi="Public Sans"/>
          <w:b/>
          <w:i w:val="0"/>
          <w:color w:val="3D3E3E"/>
          <w:sz w:val="19"/>
        </w:rPr>
        <w:t>+25bp</w:t>
      </w:r>
      <w:r>
        <w:rPr>
          <w:rFonts w:ascii="Public Sans" w:hAnsi="Public Sans"/>
          <w:b w:val="0"/>
          <w:i w:val="0"/>
          <w:color w:val="3D3E3E"/>
          <w:sz w:val="19"/>
        </w:rPr>
        <w:t xml:space="preserve"> (8 Jul), consensus, no vote · 2y NZOCRS </w:t>
      </w:r>
      <w:r>
        <w:rPr>
          <w:rFonts w:ascii="Public Sans" w:hAnsi="Public Sans"/>
          <w:b/>
          <w:i w:val="0"/>
          <w:color w:val="3D3E3E"/>
          <w:sz w:val="19"/>
        </w:rPr>
        <w:t>3.29%</w:t>
      </w:r>
      <w:r>
        <w:rPr>
          <w:rFonts w:ascii="Public Sans" w:hAnsi="Public Sans"/>
          <w:b w:val="0"/>
          <w:i w:val="0"/>
          <w:color w:val="3D3E3E"/>
          <w:sz w:val="19"/>
        </w:rPr>
        <w:t xml:space="preserve"> (+15bp WoW), 10y 4.04% (+12bp) · NZD </w:t>
      </w:r>
      <w:r>
        <w:rPr>
          <w:rFonts w:ascii="Public Sans" w:hAnsi="Public Sans"/>
          <w:b/>
          <w:i w:val="0"/>
          <w:color w:val="3D3E3E"/>
          <w:sz w:val="19"/>
        </w:rPr>
        <w:t>+0.9%</w:t>
      </w:r>
      <w:r>
        <w:rPr>
          <w:rFonts w:ascii="Public Sans" w:hAnsi="Public Sans"/>
          <w:b w:val="0"/>
          <w:i w:val="0"/>
          <w:color w:val="3D3E3E"/>
          <w:sz w:val="19"/>
        </w:rPr>
        <w:t xml:space="preserve"> (0.5764), best-in-G10 with KRW · June manufacturing PMI </w:t>
      </w:r>
      <w:r>
        <w:rPr>
          <w:rFonts w:ascii="Public Sans" w:hAnsi="Public Sans"/>
          <w:b/>
          <w:i w:val="0"/>
          <w:color w:val="3D3E3E"/>
          <w:sz w:val="19"/>
        </w:rPr>
        <w:t>59.7</w:t>
      </w:r>
      <w:r>
        <w:rPr>
          <w:rFonts w:ascii="Public Sans" w:hAnsi="Public Sans"/>
          <w:b w:val="0"/>
          <w:i w:val="0"/>
          <w:color w:val="3D3E3E"/>
          <w:sz w:val="19"/>
        </w:rPr>
        <w:t xml:space="preserve"> (from 51.3, top-5% in 24 years) · RBNZ headline-CPI peak revised to </w:t>
      </w:r>
      <w:r>
        <w:rPr>
          <w:rFonts w:ascii="Public Sans" w:hAnsi="Public Sans"/>
          <w:b/>
          <w:i w:val="0"/>
          <w:color w:val="3D3E3E"/>
          <w:sz w:val="19"/>
        </w:rPr>
        <w:t>3.9%</w:t>
      </w:r>
      <w:r>
        <w:rPr>
          <w:rFonts w:ascii="Public Sans" w:hAnsi="Public Sans"/>
          <w:b w:val="0"/>
          <w:i w:val="0"/>
          <w:color w:val="3D3E3E"/>
          <w:sz w:val="19"/>
        </w:rPr>
        <w:t xml:space="preserve"> Jun-26 (from 4.2%) · ANZ path: OCR to </w:t>
      </w:r>
      <w:r>
        <w:rPr>
          <w:rFonts w:ascii="Public Sans" w:hAnsi="Public Sans"/>
          <w:b/>
          <w:i w:val="0"/>
          <w:color w:val="3D3E3E"/>
          <w:sz w:val="19"/>
        </w:rPr>
        <w:t>3.0%</w:t>
      </w:r>
      <w:r>
        <w:rPr>
          <w:rFonts w:ascii="Public Sans" w:hAnsi="Public Sans"/>
          <w:b w:val="0"/>
          <w:i w:val="0"/>
          <w:color w:val="3D3E3E"/>
          <w:sz w:val="19"/>
        </w:rPr>
        <w:t xml:space="preserve"> by late October; JPM: +75bp more to early-2027.</w:t>
      </w:r>
    </w:p>
    <w:p>
      <w:pPr>
        <w:spacing w:after="80" w:line="283" w:lineRule="auto"/>
      </w:pPr>
      <w:r>
        <w:rPr>
          <w:rFonts w:ascii="Public Sans" w:hAnsi="Public Sans"/>
          <w:b w:val="0"/>
          <w:i w:val="0"/>
          <w:color w:val="3D3E3E"/>
          <w:sz w:val="19"/>
        </w:rPr>
        <w:t xml:space="preserve">The week's one </w:t>
      </w:r>
      <w:r>
        <w:rPr>
          <w:rFonts w:ascii="Public Sans" w:hAnsi="Public Sans"/>
          <w:b w:val="0"/>
          <w:i/>
          <w:color w:val="3D3E3E"/>
          <w:sz w:val="19"/>
        </w:rPr>
        <w:t>delivered</w:t>
      </w:r>
      <w:r>
        <w:rPr>
          <w:rFonts w:ascii="Public Sans" w:hAnsi="Public Sans"/>
          <w:b w:val="0"/>
          <w:i w:val="0"/>
          <w:color w:val="3D3E3E"/>
          <w:sz w:val="19"/>
        </w:rPr>
        <w:t xml:space="preserve"> rate decision, and it went the hawkish way the market had leaned (~70–80% priced) but forecasters had split on. NZ led the universe's rates and FX higher.</w:t>
      </w:r>
    </w:p>
    <w:p>
      <w:pPr>
        <w:spacing w:before="200" w:after="60"/>
        <w:keepNext/>
        <w:pBdr>
          <w:bottom w:val="single" w:sz="4" w:space="2" w:color="E0E9E4"/>
        </w:pBdr>
      </w:pPr>
      <w:r>
        <w:rPr>
          <w:rFonts w:ascii="Georgia" w:hAnsi="Georgia"/>
          <w:b/>
          <w:color w:val="4D806A"/>
          <w:sz w:val="23"/>
        </w:rPr>
        <w:t>Driver 1 — The RBNZ hike and hawkish-but-data-dependent guidance</w:t>
      </w:r>
    </w:p>
    <w:p>
      <w:pPr>
        <w:spacing w:before="120" w:after="40"/>
        <w:keepNext/>
      </w:pPr>
      <w:r>
        <w:rPr>
          <w:rFonts w:ascii="Public Sans" w:hAnsi="Public Sans"/>
          <w:b/>
          <w:i w:val="0"/>
          <w:color w:val="001830"/>
          <w:sz w:val="19"/>
        </w:rPr>
        <w:t>Desk-read — a 25bp hike to 2.50%, reached by consensus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6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6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w:t>
            </w:r>
          </w:p>
        </w:tc>
        <w:tc>
          <w:tcPr>
            <w:tcW w:type="dxa" w:w="46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Hiked as expected; the MPC reached consensus, no vote; "upside inflation risks diminished but not disappeared", the outlook is brighter, some stimulus removal appropriate, more hikes "likely to be required"</w:t>
            </w:r>
          </w:p>
        </w:tc>
        <w:tc>
          <w:tcPr>
            <w:tcW w:type="dxa" w:w="46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Hikes at the next two meetings (early Sep, late Oct) → OCR </w:t>
            </w:r>
            <w:r>
              <w:rPr>
                <w:rFonts w:ascii="Public Sans" w:hAnsi="Public Sans"/>
                <w:b/>
                <w:i w:val="0"/>
                <w:color w:val="3D3E3E"/>
                <w:sz w:val="16"/>
              </w:rPr>
              <w:t>3.0%</w:t>
            </w:r>
            <w:r>
              <w:rPr>
                <w:rFonts w:ascii="Public Sans" w:hAnsi="Public Sans"/>
                <w:b w:val="0"/>
                <w:i w:val="0"/>
                <w:color w:val="3D3E3E"/>
                <w:sz w:val="16"/>
              </w:rPr>
              <w:t>; timing "highly uncertain"</w:t>
            </w:r>
          </w:p>
        </w:tc>
      </w:tr>
      <w:tr>
        <w:tc>
          <w:tcPr>
            <w:tcW w:type="dxa" w:w="1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w:t>
            </w:r>
          </w:p>
        </w:tc>
        <w:tc>
          <w:tcPr>
            <w:tcW w:type="dxa" w:w="46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Hawkish but data-dependent ("some further reduction… to return inflation to the 2% mid-point"); Gov Breman cited inflation-persistence, looser financial conditions (FX/wholesale funding) and a better GDP backdrop</w:t>
            </w:r>
          </w:p>
        </w:tc>
        <w:tc>
          <w:tcPr>
            <w:tcW w:type="dxa" w:w="46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+25 September, then +50 more into early 2027 (Dec, Feb)</w:t>
            </w:r>
          </w:p>
        </w:tc>
      </w:tr>
      <w:tr>
        <w:tc>
          <w:tcPr>
            <w:tcW w:type="dxa" w:w="1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RBNZ (official)</w:t>
            </w:r>
          </w:p>
        </w:tc>
        <w:tc>
          <w:tcPr>
            <w:tcW w:type="dxa" w:w="46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Headline-CPI peak now 3.9% Jun-26 (prior 4.2%), falling to 3.3% Sep-26 (prior 4.3%) — implies just 0.4% q/q; GDP still expected to stall mid-year (+0.0% q/q)</w:t>
            </w:r>
          </w:p>
        </w:tc>
        <w:tc>
          <w:tcPr>
            <w:tcW w:type="dxa" w:w="46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a "low hurdle", upside risk to the RBNZ track (JPM tracks +0.3% q/q GDP)</w:t>
            </w:r>
          </w:p>
        </w:tc>
      </w:tr>
    </w:tbl>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{"type":"line","title":"NZ front end led the universe higher (NZOCRS OIS, WoW)","caption":"RBNZ hiked to 2.50%. 2y +14.6bp to 3.29%, 10y +12bp to 4.04% — the biggest FX+rates move in the universe alongside KRW. The market had ~70–80% priced; forecasters had split 3-hold/2-hike.","unit":"%","series":[{"name":"3 Jul","color":"#2b5a86","points":[["2y",3.14],["10y",3.92]]},{"name":"10 Jul","color":"#a1382f","points":[["2y",3.29],["10y",4.04]]}]}</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ANZ and JPM agree on the </w:t>
      </w:r>
      <w:r>
        <w:rPr>
          <w:rFonts w:ascii="Public Sans" w:hAnsi="Public Sans"/>
          <w:b w:val="0"/>
          <w:i/>
          <w:color w:val="3D3E3E"/>
          <w:sz w:val="19"/>
        </w:rPr>
        <w:t>direction</w:t>
      </w:r>
      <w:r>
        <w:rPr>
          <w:rFonts w:ascii="Public Sans" w:hAnsi="Public Sans"/>
          <w:b w:val="0"/>
          <w:i w:val="0"/>
          <w:color w:val="3D3E3E"/>
          <w:sz w:val="19"/>
        </w:rPr>
        <w:t xml:space="preserve"> (more hikes coming) but split on the </w:t>
      </w:r>
      <w:r>
        <w:rPr>
          <w:rFonts w:ascii="Public Sans" w:hAnsi="Public Sans"/>
          <w:b w:val="0"/>
          <w:i/>
          <w:color w:val="3D3E3E"/>
          <w:sz w:val="19"/>
        </w:rPr>
        <w:t>pace</w:t>
      </w:r>
      <w:r>
        <w:rPr>
          <w:rFonts w:ascii="Public Sans" w:hAnsi="Public Sans"/>
          <w:b w:val="0"/>
          <w:i w:val="0"/>
          <w:color w:val="3D3E3E"/>
          <w:sz w:val="19"/>
        </w:rPr>
        <w:t>: ANZ sees OCR 3.0% by late October (two more), JPM sees the same plus +50bp into early 2027 (a higher terminal). Both rest on the RBNZ's own "further reduction likely required" language — the disagreement is how far, not whether. That makes the terminal, not the next hike, the tradable question.</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hike is in; the trade migrates to the terminal — pay the belly (2y–5y) if you back JPM's higher-terminal read, and lean on the 21 July Q2 CPI as the near-term trigger.</w:t>
      </w:r>
    </w:p>
    <w:p>
      <w:pPr>
        <w:spacing w:before="200" w:after="60"/>
        <w:keepNext/>
        <w:pBdr>
          <w:bottom w:val="single" w:sz="4" w:space="2" w:color="E0E9E4"/>
        </w:pBdr>
      </w:pPr>
      <w:r>
        <w:rPr>
          <w:rFonts w:ascii="Georgia" w:hAnsi="Georgia"/>
          <w:b/>
          <w:color w:val="4D806A"/>
          <w:sz w:val="23"/>
        </w:rPr>
        <w:t>Driver 2 — The activity turn (PMI 59.7)</w:t>
      </w:r>
    </w:p>
    <w:p>
      <w:pPr>
        <w:spacing w:after="80" w:line="283" w:lineRule="auto"/>
      </w:pPr>
      <w:r>
        <w:rPr>
          <w:rFonts w:ascii="Public Sans" w:hAnsi="Public Sans"/>
          <w:b w:val="0"/>
          <w:i w:val="0"/>
          <w:color w:val="3D3E3E"/>
          <w:sz w:val="19"/>
        </w:rPr>
        <w:t xml:space="preserve">The BusinessNZ manufacturing PMI </w:t>
      </w:r>
      <w:r>
        <w:rPr>
          <w:rFonts w:ascii="Public Sans" w:hAnsi="Public Sans"/>
          <w:b w:val="0"/>
          <w:i/>
          <w:color w:val="3D3E3E"/>
          <w:sz w:val="19"/>
        </w:rPr>
        <w:t>leapt</w:t>
      </w:r>
      <w:r>
        <w:rPr>
          <w:rFonts w:ascii="Public Sans" w:hAnsi="Public Sans"/>
          <w:b w:val="0"/>
          <w:i w:val="0"/>
          <w:color w:val="3D3E3E"/>
          <w:sz w:val="19"/>
        </w:rPr>
        <w:t xml:space="preserve"> from 51.3 to </w:t>
      </w:r>
      <w:r>
        <w:rPr>
          <w:rFonts w:ascii="Public Sans" w:hAnsi="Public Sans"/>
          <w:b/>
          <w:i w:val="0"/>
          <w:color w:val="3D3E3E"/>
          <w:sz w:val="19"/>
        </w:rPr>
        <w:t>59.7</w:t>
      </w:r>
      <w:r>
        <w:rPr>
          <w:rFonts w:ascii="Public Sans" w:hAnsi="Public Sans"/>
          <w:b w:val="0"/>
          <w:i w:val="0"/>
          <w:color w:val="3D3E3E"/>
          <w:sz w:val="19"/>
        </w:rPr>
        <w:t xml:space="preserve"> in June — top-5% of a 24-year history, led by new orders (+10.9pts) and production (+8.8pts), broad-based across regions. JPM calls it "hard to explain" given the energy/rates backdrop; ANZ reads it as businesses "getting on with it" as the fuel shock wanes. BusinessNZ noted respondents' Middle-East concerns were outweighed by stronger sales and new orders. Offsets: dairy prices −4.9% on the week, El Niño risk to the season.</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{"type":"bar","title":"NZ manufacturing PMI leapt to a post-Covid high","caption":"BusinessNZ PMI: 49.9 (Apr) → 51.3 (May) → 59.7 (June) — among the strongest 5% of prints in the 24-year series, led by new orders (+10.9) and production (+8.8). Validated the RBNZ's 'brighter outlook'.","unit":"index","series":[{"name":"Manufacturing PMI","color":"#1f6b4f","points":[["Apr",49.9],["May",51.3],["Jun",59.7]]}]}</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The PMI leap turns the RBNZ's 0.4% q/q CPI hurdle into a low bar: a genuinely reaccelerating economy makes the Sep + Oct hikes the path of least resistance and hands JPM's higher-terminal call the momentum. The falsifier is the 21 July Q2 CPI printing soft enough (≤0.4% q/q) to let the RBNZ pause — but the activity data argues against it.</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activity turn corroborates the hiking path — favour paid NZ rates / the terminal repricing over fading the hike, with the Q2 CPI as the confirm/stop.</w:t>
      </w:r>
    </w:p>
    <w:p>
      <w:pPr>
        <w:spacing w:before="200" w:after="60"/>
        <w:keepNext/>
        <w:pBdr>
          <w:bottom w:val="single" w:sz="4" w:space="2" w:color="E0E9E4"/>
        </w:pBdr>
      </w:pPr>
      <w:r>
        <w:rPr>
          <w:rFonts w:ascii="Georgia" w:hAnsi="Georgia"/>
          <w:b/>
          <w:color w:val="4D806A"/>
          <w:sz w:val="23"/>
        </w:rPr>
        <w:t>Mini Argument Audit — New Zealand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34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35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35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34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Is the OCR-to-3% path over-priced?</w:t>
            </w:r>
          </w:p>
        </w:tc>
        <w:tc>
          <w:tcPr>
            <w:tcW w:type="dxa" w:w="35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ANZ/JPM keep hiking vs the RBNZ's soft 0.4% q/q CPI hurdle</w:t>
            </w:r>
          </w:p>
        </w:tc>
        <w:tc>
          <w:tcPr>
            <w:tcW w:type="dxa" w:w="35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Solid to hike, upside-risk to the track.</w:t>
            </w:r>
            <w:r>
              <w:rPr>
                <w:rFonts w:ascii="Public Sans" w:hAnsi="Public Sans"/>
                <w:b w:val="0"/>
                <w:i w:val="0"/>
                <w:color w:val="3D3E3E"/>
                <w:sz w:val="16"/>
              </w:rPr>
              <w:t xml:space="preserve"> With PMI 59.7 and a 0.4% q/q CPI hurdle, the risk is </w:t>
            </w:r>
            <w:r>
              <w:rPr>
                <w:rFonts w:ascii="Public Sans" w:hAnsi="Public Sans"/>
                <w:b w:val="0"/>
                <w:i/>
                <w:color w:val="3D3E3E"/>
                <w:sz w:val="16"/>
              </w:rPr>
              <w:t>more</w:t>
            </w:r>
            <w:r>
              <w:rPr>
                <w:rFonts w:ascii="Public Sans" w:hAnsi="Public Sans"/>
                <w:b w:val="0"/>
                <w:i w:val="0"/>
                <w:color w:val="3D3E3E"/>
                <w:sz w:val="16"/>
              </w:rPr>
              <w:t xml:space="preserve"> tightening, not less. The 21 July Q2 CPI is the test.</w:t>
            </w:r>
          </w:p>
        </w:tc>
      </w:tr>
      <w:tr>
        <w:tc>
          <w:tcPr>
            <w:tcW w:type="dxa" w:w="34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ANZ (OCR 3.0%) vs JPM (higher terminal to early-2027)</w:t>
            </w:r>
          </w:p>
        </w:tc>
        <w:tc>
          <w:tcPr>
            <w:tcW w:type="dxa" w:w="35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Two more hikes vs +75bp more</w:t>
            </w:r>
          </w:p>
        </w:tc>
        <w:tc>
          <w:tcPr>
            <w:tcW w:type="dxa" w:w="35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JPM's higher terminal is the more interesting fade/lean</w:t>
            </w:r>
            <w:r>
              <w:rPr>
                <w:rFonts w:ascii="Public Sans" w:hAnsi="Public Sans"/>
                <w:b w:val="0"/>
                <w:i w:val="0"/>
                <w:color w:val="3D3E3E"/>
                <w:sz w:val="16"/>
              </w:rPr>
              <w:t xml:space="preserve"> — the activity turn and the low CPI hurdle argue the RBNZ under-forecasts, favouring JPM's path.</w:t>
            </w:r>
          </w:p>
        </w:tc>
      </w:tr>
    </w:tbl>
    <w:p>
      <w:pPr>
        <w:spacing w:before="200" w:after="60"/>
        <w:keepNext/>
        <w:pBdr>
          <w:bottom w:val="single" w:sz="4" w:space="2" w:color="E0E9E4"/>
        </w:pBdr>
      </w:pPr>
      <w:r>
        <w:rPr>
          <w:rFonts w:ascii="Georgia" w:hAnsi="Georgia"/>
          <w:b/>
          <w:color w:val="4D806A"/>
          <w:sz w:val="23"/>
        </w:rPr>
        <w:t>Country trade board — New Zealand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1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8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34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23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21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5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N1</w:t>
            </w:r>
          </w:p>
        </w:tc>
        <w:tc>
          <w:tcPr>
            <w:tcW w:type="dxa" w:w="8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ANZ/JPM</w:t>
            </w:r>
          </w:p>
        </w:tc>
        <w:tc>
          <w:tcPr>
            <w:tcW w:type="dxa" w:w="34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Pay NZ front end / short 2y (hiking path)</w:t>
            </w:r>
          </w:p>
        </w:tc>
        <w:tc>
          <w:tcPr>
            <w:tcW w:type="dxa" w:w="1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post-hike</w:t>
            </w:r>
          </w:p>
        </w:tc>
        <w:tc>
          <w:tcPr>
            <w:tcW w:type="dxa" w:w="23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OCR to 3.0%+ / a soft Q2 CPI</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Persists (hike delivered)</w:t>
            </w:r>
          </w:p>
        </w:tc>
      </w:tr>
      <w:tr>
        <w:tc>
          <w:tcPr>
            <w:tcW w:type="dxa" w:w="5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N2</w:t>
            </w:r>
          </w:p>
        </w:tc>
        <w:tc>
          <w:tcPr>
            <w:tcW w:type="dxa" w:w="8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 (lean)</w:t>
            </w:r>
          </w:p>
        </w:tc>
        <w:tc>
          <w:tcPr>
            <w:tcW w:type="dxa" w:w="34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Position for a higher terminal (belly)</w:t>
            </w:r>
          </w:p>
        </w:tc>
        <w:tc>
          <w:tcPr>
            <w:tcW w:type="dxa" w:w="1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post-hike</w:t>
            </w:r>
          </w:p>
        </w:tc>
        <w:tc>
          <w:tcPr>
            <w:tcW w:type="dxa" w:w="23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+75bp more to early-2027</w:t>
            </w:r>
          </w:p>
        </w:tc>
        <w:tc>
          <w:tcPr>
            <w:tcW w:type="dxa" w:w="21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Lean</w:t>
            </w:r>
          </w:p>
        </w:tc>
      </w:tr>
    </w:tbl>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STOP-DISCIPLINE FLAG</w:t>
      </w:r>
      <w:r>
        <w:rPr>
          <w:rFonts w:ascii="Public Sans" w:hAnsi="Public Sans"/>
          <w:b w:val="0"/>
          <w:i w:val="0"/>
          <w:color w:val="3D3E3E"/>
          <w:sz w:val="19"/>
        </w:rPr>
        <w:t xml:space="preserve"> — The hike is in; the pay-front-end trade now rests on the 21 July Q2 CPI clearing the RBNZ's 0.4% q/q hurdle. A soft CPI removes the near-term catalyst even if the terminal is unchanged — respect the print as the stop, don't add before it.</w:t>
      </w:r>
    </w:p>
    <w:p>
      <w:pPr>
        <w:spacing w:before="200" w:after="60"/>
        <w:keepNext/>
        <w:pBdr>
          <w:bottom w:val="single" w:sz="4" w:space="2" w:color="E0E9E4"/>
        </w:pBdr>
      </w:pPr>
      <w:r>
        <w:rPr>
          <w:rFonts w:ascii="Georgia" w:hAnsi="Georgia"/>
          <w:b/>
          <w:color w:val="4D806A"/>
          <w:sz w:val="23"/>
        </w:rPr>
        <w:t>This week &amp; next week — New Zealand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0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26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168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20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w:t>
            </w:r>
          </w:p>
        </w:tc>
        <w:tc>
          <w:tcPr>
            <w:tcW w:type="dxa" w:w="31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10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w:t>
            </w:r>
          </w:p>
        </w:tc>
        <w:tc>
          <w:tcPr>
            <w:tcW w:type="dxa" w:w="26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QSBO survey (firms' pricing intentions)</w:t>
            </w:r>
          </w:p>
        </w:tc>
        <w:tc>
          <w:tcPr>
            <w:tcW w:type="dxa" w:w="16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20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pricing intentions firm</w:t>
            </w:r>
          </w:p>
        </w:tc>
        <w:tc>
          <w:tcPr>
            <w:tcW w:type="dxa" w:w="31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feeds the Sep-hike case</w:t>
            </w:r>
          </w:p>
        </w:tc>
      </w:tr>
      <w:tr>
        <w:tc>
          <w:tcPr>
            <w:tcW w:type="dxa" w:w="10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Next wk — 19 Jul</w:t>
            </w:r>
          </w:p>
        </w:tc>
        <w:tc>
          <w:tcPr>
            <w:tcW w:type="dxa" w:w="26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Trade balance</w:t>
            </w:r>
          </w:p>
        </w:tc>
        <w:tc>
          <w:tcPr>
            <w:tcW w:type="dxa" w:w="168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prior NZ$0.8B</w:t>
            </w:r>
          </w:p>
        </w:tc>
        <w:tc>
          <w:tcPr>
            <w:tcW w:type="dxa" w:w="20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external balance holds</w:t>
            </w:r>
          </w:p>
        </w:tc>
        <w:tc>
          <w:tcPr>
            <w:tcW w:type="dxa" w:w="31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secondary</w:t>
            </w:r>
          </w:p>
        </w:tc>
      </w:tr>
      <w:tr>
        <w:tc>
          <w:tcPr>
            <w:tcW w:type="dxa" w:w="10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Next wk — 21 Jul</w:t>
            </w:r>
          </w:p>
        </w:tc>
        <w:tc>
          <w:tcPr>
            <w:tcW w:type="dxa" w:w="26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CPI</w:t>
            </w:r>
          </w:p>
        </w:tc>
        <w:tc>
          <w:tcPr>
            <w:tcW w:type="dxa" w:w="16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3.1% y/y prior / 0.9% q/q</w:t>
            </w:r>
          </w:p>
        </w:tc>
        <w:tc>
          <w:tcPr>
            <w:tcW w:type="dxa" w:w="20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clears the RBNZ 0.4% q/q hurdle</w:t>
            </w:r>
          </w:p>
        </w:tc>
        <w:tc>
          <w:tcPr>
            <w:tcW w:type="dxa" w:w="31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sees upside risk; validates Sep + Oct hikes</w:t>
            </w:r>
          </w:p>
        </w:tc>
      </w:tr>
    </w:tbl>
    <w:p>
      <w:pPr>
        <w:spacing w:after="80" w:line="283" w:lineRule="auto"/>
      </w:pPr>
      <w:r>
        <w:rPr>
          <w:rFonts w:ascii="Public Sans" w:hAnsi="Public Sans"/>
          <w:b w:val="0"/>
          <w:i w:val="0"/>
          <w:color w:val="3D3E3E"/>
          <w:sz w:val="19"/>
        </w:rPr>
        <w:t>Positioning read: the RBNZ hike delivered; the trade is now the terminal, gated by the 21 July Q2 CPI. Hold paid NZ rates / lean the higher terminal (JPM); the PMI leap argues the RBNZ under-forecasts, but do not add before the CPI clears the hurdle.</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AUSTRALIA — the quietest mover, waiting on the CPI that decides the cycle</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RBA Cash Rate </w:t>
      </w:r>
      <w:r>
        <w:rPr>
          <w:rFonts w:ascii="Public Sans" w:hAnsi="Public Sans"/>
          <w:b/>
          <w:i w:val="0"/>
          <w:color w:val="3D3E3E"/>
          <w:sz w:val="19"/>
        </w:rPr>
        <w:t>4.35%</w:t>
      </w:r>
      <w:r>
        <w:rPr>
          <w:rFonts w:ascii="Public Sans" w:hAnsi="Public Sans"/>
          <w:b w:val="0"/>
          <w:i w:val="0"/>
          <w:color w:val="3D3E3E"/>
          <w:sz w:val="19"/>
        </w:rPr>
        <w:t xml:space="preserve"> (held 16 Jun; hiked from 4.10% on 5 May) · 10y AONIA </w:t>
      </w:r>
      <w:r>
        <w:rPr>
          <w:rFonts w:ascii="Public Sans" w:hAnsi="Public Sans"/>
          <w:b/>
          <w:i w:val="0"/>
          <w:color w:val="3D3E3E"/>
          <w:sz w:val="19"/>
        </w:rPr>
        <w:t>4.69%</w:t>
      </w:r>
      <w:r>
        <w:rPr>
          <w:rFonts w:ascii="Public Sans" w:hAnsi="Public Sans"/>
          <w:b w:val="0"/>
          <w:i w:val="0"/>
          <w:color w:val="3D3E3E"/>
          <w:sz w:val="19"/>
        </w:rPr>
        <w:t xml:space="preserve"> (+4bp WoW), 2y 4.44% (+1bp) — the most muted DM rate move · AUD </w:t>
      </w:r>
      <w:r>
        <w:rPr>
          <w:rFonts w:ascii="Public Sans" w:hAnsi="Public Sans"/>
          <w:b/>
          <w:i w:val="0"/>
          <w:color w:val="3D3E3E"/>
          <w:sz w:val="19"/>
        </w:rPr>
        <w:t>+0.2%</w:t>
      </w:r>
      <w:r>
        <w:rPr>
          <w:rFonts w:ascii="Public Sans" w:hAnsi="Public Sans"/>
          <w:b w:val="0"/>
          <w:i w:val="0"/>
          <w:color w:val="3D3E3E"/>
          <w:sz w:val="19"/>
        </w:rPr>
        <w:t xml:space="preserve"> (0.6952) · ASX200 </w:t>
      </w:r>
      <w:r>
        <w:rPr>
          <w:rFonts w:ascii="Public Sans" w:hAnsi="Public Sans"/>
          <w:b/>
          <w:i w:val="0"/>
          <w:color w:val="3D3E3E"/>
          <w:sz w:val="19"/>
        </w:rPr>
        <w:t>+0.9%</w:t>
      </w:r>
      <w:r>
        <w:rPr>
          <w:rFonts w:ascii="Public Sans" w:hAnsi="Public Sans"/>
          <w:b w:val="0"/>
          <w:i w:val="0"/>
          <w:color w:val="3D3E3E"/>
          <w:sz w:val="19"/>
        </w:rPr>
        <w:t xml:space="preserve"> (8,806) · Melbourne Institute inflation </w:t>
      </w:r>
      <w:r>
        <w:rPr>
          <w:rFonts w:ascii="Public Sans" w:hAnsi="Public Sans"/>
          <w:b/>
          <w:i w:val="0"/>
          <w:color w:val="3D3E3E"/>
          <w:sz w:val="19"/>
        </w:rPr>
        <w:t>3.9% y/y</w:t>
      </w:r>
      <w:r>
        <w:rPr>
          <w:rFonts w:ascii="Public Sans" w:hAnsi="Public Sans"/>
          <w:b w:val="0"/>
          <w:i w:val="0"/>
          <w:color w:val="3D3E3E"/>
          <w:sz w:val="19"/>
        </w:rPr>
        <w:t xml:space="preserve"> (from 4.4%), MoM −0.4% · NAB business confidence prior </w:t>
      </w:r>
      <w:r>
        <w:rPr>
          <w:rFonts w:ascii="Public Sans" w:hAnsi="Public Sans"/>
          <w:b/>
          <w:i w:val="0"/>
          <w:color w:val="3D3E3E"/>
          <w:sz w:val="19"/>
        </w:rPr>
        <w:t>−14</w:t>
      </w:r>
      <w:r>
        <w:rPr>
          <w:rFonts w:ascii="Public Sans" w:hAnsi="Public Sans"/>
          <w:b w:val="0"/>
          <w:i w:val="0"/>
          <w:color w:val="3D3E3E"/>
          <w:sz w:val="19"/>
        </w:rPr>
        <w:t xml:space="preserve">; RBA trimmed mean </w:t>
      </w:r>
      <w:r>
        <w:rPr>
          <w:rFonts w:ascii="Public Sans" w:hAnsi="Public Sans"/>
          <w:b/>
          <w:i w:val="0"/>
          <w:color w:val="3D3E3E"/>
          <w:sz w:val="19"/>
        </w:rPr>
        <w:t>3.6%</w:t>
      </w:r>
      <w:r>
        <w:rPr>
          <w:rFonts w:ascii="Public Sans" w:hAnsi="Public Sans"/>
          <w:b w:val="0"/>
          <w:i w:val="0"/>
          <w:color w:val="3D3E3E"/>
          <w:sz w:val="19"/>
        </w:rPr>
        <w:t xml:space="preserve"> into the 29 Jul Q2 CPI.</w:t>
      </w:r>
    </w:p>
    <w:p>
      <w:pPr>
        <w:spacing w:after="80" w:line="283" w:lineRule="auto"/>
      </w:pPr>
      <w:r>
        <w:rPr>
          <w:rFonts w:ascii="Public Sans" w:hAnsi="Public Sans"/>
          <w:b w:val="0"/>
          <w:i w:val="0"/>
          <w:color w:val="3D3E3E"/>
          <w:sz w:val="19"/>
        </w:rPr>
        <w:t xml:space="preserve">Australia was the universe's quietest rates mover — the front end barely budged (+1bp) — because everything hinges on the </w:t>
      </w:r>
      <w:r>
        <w:rPr>
          <w:rFonts w:ascii="Public Sans" w:hAnsi="Public Sans"/>
          <w:b/>
          <w:i w:val="0"/>
          <w:color w:val="3D3E3E"/>
          <w:sz w:val="19"/>
        </w:rPr>
        <w:t>29 July Q2 CPI</w:t>
      </w:r>
      <w:r>
        <w:rPr>
          <w:rFonts w:ascii="Public Sans" w:hAnsi="Public Sans"/>
          <w:b w:val="0"/>
          <w:i w:val="0"/>
          <w:color w:val="3D3E3E"/>
          <w:sz w:val="19"/>
        </w:rPr>
        <w:t>, the print that decides whether the RBA's cycle is finished.</w:t>
      </w:r>
    </w:p>
    <w:p>
      <w:pPr>
        <w:spacing w:before="200" w:after="60"/>
        <w:keepNext/>
        <w:pBdr>
          <w:bottom w:val="single" w:sz="4" w:space="2" w:color="E0E9E4"/>
        </w:pBdr>
      </w:pPr>
      <w:r>
        <w:rPr>
          <w:rFonts w:ascii="Georgia" w:hAnsi="Georgia"/>
          <w:b/>
          <w:color w:val="4D806A"/>
          <w:sz w:val="23"/>
        </w:rPr>
        <w:t>Driver 1 — A slowdown broadening, into a cycle-deciding CPI</w:t>
      </w:r>
    </w:p>
    <w:p>
      <w:pPr>
        <w:spacing w:before="120" w:after="40"/>
        <w:keepNext/>
      </w:pPr>
      <w:r>
        <w:rPr>
          <w:rFonts w:ascii="Public Sans" w:hAnsi="Public Sans"/>
          <w:b/>
          <w:i w:val="0"/>
          <w:color w:val="001830"/>
          <w:sz w:val="19"/>
        </w:rPr>
        <w:t>Desk-read — the "1–2% GDP economy" vs a still-elevated trimmed mean</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35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6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6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3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w:t>
            </w:r>
          </w:p>
        </w:tc>
        <w:tc>
          <w:tcPr>
            <w:tcW w:type="dxa" w:w="4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Australia a "1–2% GDP growth economy"; the slowdown is "broadening"; the monthly wrap flags a reviving rate-cut debate</w:t>
            </w:r>
          </w:p>
        </w:tc>
        <w:tc>
          <w:tcPr>
            <w:tcW w:type="dxa" w:w="4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cycle is likely done; cuts move onto the horizon if Q2 CPI cooperates</w:t>
            </w:r>
          </w:p>
        </w:tc>
      </w:tr>
      <w:tr>
        <w:tc>
          <w:tcPr>
            <w:tcW w:type="dxa" w:w="13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w:t>
            </w:r>
          </w:p>
        </w:tc>
        <w:tc>
          <w:tcPr>
            <w:tcW w:type="dxa" w:w="46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NAB business confidence improved in May but remains ~2 s.d. below average (deeply pessimistic); conditions easing, profitability + capacity utilisation trending lower; a June lift expected as the survey captures the interim mid-June ceasefire</w:t>
            </w:r>
          </w:p>
        </w:tc>
        <w:tc>
          <w:tcPr>
            <w:tcW w:type="dxa" w:w="46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Improvement from here is "gradual"; not a re-acceleration</w:t>
            </w:r>
          </w:p>
        </w:tc>
      </w:tr>
      <w:tr>
        <w:tc>
          <w:tcPr>
            <w:tcW w:type="dxa" w:w="13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GS (conditional)</w:t>
            </w:r>
          </w:p>
        </w:tc>
        <w:tc>
          <w:tcPr>
            <w:tcW w:type="dxa" w:w="4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If Q2 trimmed-mean CPI prints hot, an August hike to 4.60% is live</w:t>
            </w:r>
          </w:p>
        </w:tc>
        <w:tc>
          <w:tcPr>
            <w:tcW w:type="dxa" w:w="4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cycle is </w:t>
            </w:r>
            <w:r>
              <w:rPr>
                <w:rFonts w:ascii="Public Sans" w:hAnsi="Public Sans"/>
                <w:b w:val="0"/>
                <w:i/>
                <w:color w:val="3D3E3E"/>
                <w:sz w:val="16"/>
              </w:rPr>
              <w:t>not</w:t>
            </w:r>
            <w:r>
              <w:rPr>
                <w:rFonts w:ascii="Public Sans" w:hAnsi="Public Sans"/>
                <w:b w:val="0"/>
                <w:i w:val="0"/>
                <w:color w:val="3D3E3E"/>
                <w:sz w:val="16"/>
              </w:rPr>
              <w:t xml:space="preserve"> necessarily done — the CPI is the binary</w:t>
            </w:r>
          </w:p>
        </w:tc>
      </w:tr>
    </w:tbl>
    <w:p>
      <w:pPr>
        <w:spacing w:after="80" w:line="283" w:lineRule="auto"/>
      </w:pPr>
      <w:r>
        <w:rPr>
          <w:rFonts w:ascii="Public Sans" w:hAnsi="Public Sans"/>
          <w:b w:val="0"/>
          <w:i w:val="0"/>
          <w:color w:val="3D3E3E"/>
          <w:sz w:val="19"/>
        </w:rPr>
        <w:t>The Melbourne Institute monthly gauge eased to 3.9% y/y (from 4.4%), but the RBA trimmed mean was grinding at 3.6% — the Q2 CPI (29 Jul, trimmed mean 3.5% prior) is the arbiter.</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{"type":"line","title":"AU inflation into the cycle-deciding 29 Jul CPI","caption":"The Melbourne Institute monthly gauge eased to 3.9% y/y (from 4.4%), but the RBA trimmed mean is grinding at 3.6% (3.5% prior q/q). A hot 29 Jul Q2 trimmed-mean print keeps GS's Aug-hike-to-4.60 alive; a soft one confirms the cycle is done.","unit":"% y/y","series":[{"name":"Melbourne Inst headline","color":"#b5761f","points":[["Apr",4.4],["May",4.4],["Jun",3.9]]},{"name":"RBA trimmed mean (q/q ann. proxy)","color":"#a1382f","points":[["Q4",3.8],["Q1",3.6],["Q2 e",3.5]]}]}</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ANZ ("slowdown broadening, cuts ahead") and GS ("one more hike if CPI hot") are not contradictory — they are the two sides of a genuine binary that only the 29 July trimmed-mean CPI resolves. The market's refusal to commit (2y +1bp, the quietest DM move) is the </w:t>
      </w:r>
      <w:r>
        <w:rPr>
          <w:rFonts w:ascii="Public Sans" w:hAnsi="Public Sans"/>
          <w:b w:val="0"/>
          <w:i/>
          <w:color w:val="3D3E3E"/>
          <w:sz w:val="19"/>
        </w:rPr>
        <w:t>correct</w:t>
      </w:r>
      <w:r>
        <w:rPr>
          <w:rFonts w:ascii="Public Sans" w:hAnsi="Public Sans"/>
          <w:b w:val="0"/>
          <w:i w:val="0"/>
          <w:color w:val="3D3E3E"/>
          <w:sz w:val="19"/>
        </w:rPr>
        <w:t xml:space="preserve"> read: pricing a coin-flip CPI ahead of the print is the mistake.</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do not pre-position the AU front end into a coin-flip CPI; the 2y's +1bp is the honest read. Wait for 29 July to resolve "done vs one more."</w:t>
      </w:r>
    </w:p>
    <w:p>
      <w:pPr>
        <w:spacing w:before="200" w:after="60"/>
        <w:keepNext/>
        <w:pBdr>
          <w:bottom w:val="single" w:sz="4" w:space="2" w:color="E0E9E4"/>
        </w:pBdr>
      </w:pPr>
      <w:r>
        <w:rPr>
          <w:rFonts w:ascii="Georgia" w:hAnsi="Georgia"/>
          <w:b/>
          <w:color w:val="4D806A"/>
          <w:sz w:val="23"/>
        </w:rPr>
        <w:t>Driver 2 — Rates muted, AUD steady</w:t>
      </w:r>
    </w:p>
    <w:p>
      <w:pPr>
        <w:spacing w:after="80" w:line="283" w:lineRule="auto"/>
      </w:pPr>
      <w:r>
        <w:rPr>
          <w:rFonts w:ascii="Public Sans" w:hAnsi="Public Sans"/>
          <w:b w:val="0"/>
          <w:i w:val="0"/>
          <w:color w:val="3D3E3E"/>
          <w:sz w:val="19"/>
        </w:rPr>
        <w:t>AONIA swaps rose just +1bp (2y) / +4bp (10y) — the most muted DM move, as the market declined to import the global back-up ahead of the CPI. AUD firmed +0.2% to 0.6952 on the softer broad USD; ASX200 +0.9%. Australia sat out the week's rates drama by design.</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AU rates are a wait-and-see; the AUD is a broad-USD + commodity beta, not a rates story this week.</w:t>
      </w:r>
    </w:p>
    <w:p>
      <w:pPr>
        <w:spacing w:before="200" w:after="60"/>
        <w:keepNext/>
        <w:pBdr>
          <w:bottom w:val="single" w:sz="4" w:space="2" w:color="E0E9E4"/>
        </w:pBdr>
      </w:pPr>
      <w:r>
        <w:rPr>
          <w:rFonts w:ascii="Georgia" w:hAnsi="Georgia"/>
          <w:b/>
          <w:color w:val="4D806A"/>
          <w:sz w:val="23"/>
        </w:rPr>
        <w:t>Driver 3 — Confidence and the consumer</w:t>
      </w:r>
    </w:p>
    <w:p>
      <w:pPr>
        <w:spacing w:after="80" w:line="283" w:lineRule="auto"/>
      </w:pPr>
      <w:r>
        <w:rPr>
          <w:rFonts w:ascii="Public Sans" w:hAnsi="Public Sans"/>
          <w:b w:val="0"/>
          <w:i w:val="0"/>
          <w:color w:val="3D3E3E"/>
          <w:sz w:val="19"/>
        </w:rPr>
        <w:t>NAB business confidence (prior −14) and Westpac consumer confidence (prior 80.6, index change −2.9%) are both depressed; JPM expects a June lift as the surveys capture the interim mid-June ceasefire. The consumer/business pulse is weak but stabilising — consistent with ANZ's "1–2% GDP" framing and the cut-debate revival, but not decisive against the sticky trimmed mean.</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Australia is the universe's clearest "priced-for-a-binary" market: the front end is pinned because the 29 July trimmed-mean CPI is a true coin-flip between "cycle done" (ANZ) and "one more hike" (GS 4.60). The asymmetric trade is optionality around the print, not a directional front-end bet.</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express any AU rates view via optionality into the 29 July CPI, not outright direction; the confidence data leans dovish but the trimmed mean keeps the hike alive.</w:t>
      </w:r>
    </w:p>
    <w:p>
      <w:pPr>
        <w:spacing w:before="200" w:after="60"/>
        <w:keepNext/>
        <w:pBdr>
          <w:bottom w:val="single" w:sz="4" w:space="2" w:color="E0E9E4"/>
        </w:pBdr>
      </w:pPr>
      <w:r>
        <w:rPr>
          <w:rFonts w:ascii="Georgia" w:hAnsi="Georgia"/>
          <w:b/>
          <w:color w:val="4D806A"/>
          <w:sz w:val="23"/>
        </w:rPr>
        <w:t>Country trade board — Australia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2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13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340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3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235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16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5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A1</w:t>
            </w:r>
          </w:p>
        </w:tc>
        <w:tc>
          <w:tcPr>
            <w:tcW w:type="dxa" w:w="13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(conditional)</w:t>
            </w:r>
          </w:p>
        </w:tc>
        <w:tc>
          <w:tcPr>
            <w:tcW w:type="dxa" w:w="34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Pay AU front end IF Q2 CPI hot</w:t>
            </w:r>
          </w:p>
        </w:tc>
        <w:tc>
          <w:tcPr>
            <w:tcW w:type="dxa" w:w="13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pre-CPI</w:t>
            </w:r>
          </w:p>
        </w:tc>
        <w:tc>
          <w:tcPr>
            <w:tcW w:type="dxa" w:w="23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 to 4.60 / soft CPI</w:t>
            </w:r>
          </w:p>
        </w:tc>
        <w:tc>
          <w:tcPr>
            <w:tcW w:type="dxa" w:w="1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Conditional / watch</w:t>
            </w:r>
          </w:p>
        </w:tc>
      </w:tr>
      <w:tr>
        <w:tc>
          <w:tcPr>
            <w:tcW w:type="dxa" w:w="52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A2</w:t>
            </w:r>
          </w:p>
        </w:tc>
        <w:tc>
          <w:tcPr>
            <w:tcW w:type="dxa" w:w="13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RV read</w:t>
            </w:r>
          </w:p>
        </w:tc>
        <w:tc>
          <w:tcPr>
            <w:tcW w:type="dxa" w:w="34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Own AU rate optionality into 29 Jul CPI</w:t>
            </w:r>
          </w:p>
        </w:tc>
        <w:tc>
          <w:tcPr>
            <w:tcW w:type="dxa" w:w="13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pre-event</w:t>
            </w:r>
          </w:p>
        </w:tc>
        <w:tc>
          <w:tcPr>
            <w:tcW w:type="dxa" w:w="23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realised move on the binary</w:t>
            </w:r>
          </w:p>
        </w:tc>
        <w:tc>
          <w:tcPr>
            <w:tcW w:type="dxa" w:w="1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Tactical</w:t>
            </w:r>
          </w:p>
        </w:tc>
      </w:tr>
    </w:tbl>
    <w:p>
      <w:pPr>
        <w:spacing w:before="200" w:after="60"/>
        <w:keepNext/>
        <w:pBdr>
          <w:bottom w:val="single" w:sz="4" w:space="2" w:color="E0E9E4"/>
        </w:pBdr>
      </w:pPr>
      <w:r>
        <w:rPr>
          <w:rFonts w:ascii="Georgia" w:hAnsi="Georgia"/>
          <w:b/>
          <w:color w:val="4D806A"/>
          <w:sz w:val="23"/>
        </w:rPr>
        <w:t>Mini Argument Audit — Australia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2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22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Cycle done vs one more hike</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"slowdown broadening, cuts ahead" vs GS "Aug hike to 4.60 if CPI hot"</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Live, and the 29 Jul CPI is a genuine binary.</w:t>
            </w:r>
            <w:r>
              <w:rPr>
                <w:rFonts w:ascii="Public Sans" w:hAnsi="Public Sans"/>
                <w:b w:val="0"/>
                <w:i w:val="0"/>
                <w:color w:val="3D3E3E"/>
                <w:sz w:val="16"/>
              </w:rPr>
              <w:t xml:space="preserve"> The monthly gauge easing to 3.9% tilts toward "done", but trimmed mean at 3.6% keeps the hike alive. Don't pre-position the front end.</w:t>
            </w:r>
          </w:p>
        </w:tc>
      </w:tr>
      <w:tr>
        <w:tc>
          <w:tcPr>
            <w:tcW w:type="dxa" w:w="222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Is the consumer rolling over?</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Depressed confidence (−14 NAB) vs a June ceasefire-driven lift</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Weak signal.</w:t>
            </w:r>
            <w:r>
              <w:rPr>
                <w:rFonts w:ascii="Public Sans" w:hAnsi="Public Sans"/>
                <w:b w:val="0"/>
                <w:i w:val="0"/>
                <w:color w:val="3D3E3E"/>
                <w:sz w:val="16"/>
              </w:rPr>
              <w:t xml:space="preserve"> Confidence is low but stabilising; not decisive against the sticky trimmed mean.</w:t>
            </w:r>
          </w:p>
        </w:tc>
      </w:tr>
    </w:tbl>
    <w:p>
      <w:pPr>
        <w:spacing w:before="200" w:after="60"/>
        <w:keepNext/>
        <w:pBdr>
          <w:bottom w:val="single" w:sz="4" w:space="2" w:color="E0E9E4"/>
        </w:pBdr>
      </w:pPr>
      <w:r>
        <w:rPr>
          <w:rFonts w:ascii="Georgia" w:hAnsi="Georgia"/>
          <w:b/>
          <w:color w:val="4D806A"/>
          <w:sz w:val="23"/>
        </w:rPr>
        <w:t>This week &amp; next week — Australia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98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25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178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2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w:t>
            </w:r>
          </w:p>
        </w:tc>
        <w:tc>
          <w:tcPr>
            <w:tcW w:type="dxa" w:w="30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9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14 Jul</w:t>
            </w:r>
          </w:p>
        </w:tc>
        <w:tc>
          <w:tcPr>
            <w:tcW w:type="dxa" w:w="25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Westpac consumer + NAB business confidence</w:t>
            </w:r>
          </w:p>
        </w:tc>
        <w:tc>
          <w:tcPr>
            <w:tcW w:type="dxa" w:w="17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−2.9% / −14</w:t>
            </w:r>
          </w:p>
        </w:tc>
        <w:tc>
          <w:tcPr>
            <w:tcW w:type="dxa" w:w="2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sentiment lifts on the June ceasefire</w:t>
            </w:r>
          </w:p>
        </w:tc>
        <w:tc>
          <w:tcPr>
            <w:tcW w:type="dxa" w:w="30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lift feeds the "not-yet-cutting" case</w:t>
            </w:r>
          </w:p>
        </w:tc>
      </w:tr>
      <w:tr>
        <w:tc>
          <w:tcPr>
            <w:tcW w:type="dxa" w:w="98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Next wk — 23 Jul</w:t>
            </w:r>
          </w:p>
        </w:tc>
        <w:tc>
          <w:tcPr>
            <w:tcW w:type="dxa" w:w="25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Labour</w:t>
            </w:r>
          </w:p>
        </w:tc>
        <w:tc>
          <w:tcPr>
            <w:tcW w:type="dxa" w:w="178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u-rate 4.4%; emp prior +40.3k</w:t>
            </w:r>
          </w:p>
        </w:tc>
        <w:tc>
          <w:tcPr>
            <w:tcW w:type="dxa" w:w="2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tight labour persists</w:t>
            </w:r>
          </w:p>
        </w:tc>
        <w:tc>
          <w:tcPr>
            <w:tcW w:type="dxa" w:w="30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input to the Q2 CPI</w:t>
            </w:r>
          </w:p>
        </w:tc>
      </w:tr>
      <w:tr>
        <w:tc>
          <w:tcPr>
            <w:tcW w:type="dxa" w:w="9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Watch — 29 Jul</w:t>
            </w:r>
          </w:p>
        </w:tc>
        <w:tc>
          <w:tcPr>
            <w:tcW w:type="dxa" w:w="25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CPI (trimmed mean)</w:t>
            </w:r>
          </w:p>
        </w:tc>
        <w:tc>
          <w:tcPr>
            <w:tcW w:type="dxa" w:w="17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3.5% prior</w:t>
            </w:r>
          </w:p>
        </w:tc>
        <w:tc>
          <w:tcPr>
            <w:tcW w:type="dxa" w:w="2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disinflation resumes</w:t>
            </w:r>
          </w:p>
        </w:tc>
        <w:tc>
          <w:tcPr>
            <w:tcW w:type="dxa" w:w="30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the cycle-decider</w:t>
            </w:r>
            <w:r>
              <w:rPr>
                <w:rFonts w:ascii="Public Sans" w:hAnsi="Public Sans"/>
                <w:b w:val="0"/>
                <w:i w:val="0"/>
                <w:color w:val="3D3E3E"/>
                <w:sz w:val="16"/>
              </w:rPr>
              <w:t xml:space="preserve"> — GS hike-to-4.60 lives or dies</w:t>
            </w:r>
          </w:p>
        </w:tc>
      </w:tr>
      <w:tr>
        <w:tc>
          <w:tcPr>
            <w:tcW w:type="dxa" w:w="98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Watch — 31 Jul</w:t>
            </w:r>
          </w:p>
        </w:tc>
        <w:tc>
          <w:tcPr>
            <w:tcW w:type="dxa" w:w="25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PPI (Q2)</w:t>
            </w:r>
          </w:p>
        </w:tc>
        <w:tc>
          <w:tcPr>
            <w:tcW w:type="dxa" w:w="178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prior 3.0% y/y</w:t>
            </w:r>
          </w:p>
        </w:tc>
        <w:tc>
          <w:tcPr>
            <w:tcW w:type="dxa" w:w="2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cost pressures ease</w:t>
            </w:r>
          </w:p>
        </w:tc>
        <w:tc>
          <w:tcPr>
            <w:tcW w:type="dxa" w:w="30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corroborating</w:t>
            </w:r>
          </w:p>
        </w:tc>
      </w:tr>
    </w:tbl>
    <w:p>
      <w:pPr>
        <w:spacing w:after="80" w:line="283" w:lineRule="auto"/>
      </w:pPr>
      <w:r>
        <w:rPr>
          <w:rFonts w:ascii="Public Sans" w:hAnsi="Public Sans"/>
          <w:b w:val="0"/>
          <w:i w:val="0"/>
          <w:color w:val="3D3E3E"/>
          <w:sz w:val="19"/>
        </w:rPr>
        <w:t>Positioning read: Australia is priced-for-a-binary — the front end is pinned because the 29 July trimmed-mean CPI is a true coin-flip. Own optionality into the print rather than direction; the confidence + monthly-gauge data lean dovish but the 3.6% trimmed mean keeps GS's hike alive.</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SINGAPORE — a close-call MAS into a tech-led GDP</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2Q GDP advance consensus </w:t>
      </w:r>
      <w:r>
        <w:rPr>
          <w:rFonts w:ascii="Public Sans" w:hAnsi="Public Sans"/>
          <w:b/>
          <w:i w:val="0"/>
          <w:color w:val="3D3E3E"/>
          <w:sz w:val="19"/>
        </w:rPr>
        <w:t>~5.6% y/y</w:t>
      </w:r>
      <w:r>
        <w:rPr>
          <w:rFonts w:ascii="Public Sans" w:hAnsi="Public Sans"/>
          <w:b w:val="0"/>
          <w:i w:val="0"/>
          <w:color w:val="3D3E3E"/>
          <w:sz w:val="19"/>
        </w:rPr>
        <w:t xml:space="preserve"> (+1.3% q/q, Citi; prior 6.0%) — prints 14 Jul with the MAS review · 10y SORA </w:t>
      </w:r>
      <w:r>
        <w:rPr>
          <w:rFonts w:ascii="Public Sans" w:hAnsi="Public Sans"/>
          <w:b/>
          <w:i w:val="0"/>
          <w:color w:val="3D3E3E"/>
          <w:sz w:val="19"/>
        </w:rPr>
        <w:t>2.21%</w:t>
      </w:r>
      <w:r>
        <w:rPr>
          <w:rFonts w:ascii="Public Sans" w:hAnsi="Public Sans"/>
          <w:b w:val="0"/>
          <w:i w:val="0"/>
          <w:color w:val="3D3E3E"/>
          <w:sz w:val="19"/>
        </w:rPr>
        <w:t xml:space="preserve"> (+5.3bp WoW), 2y 1.56% (+2.8bp) · SGD ~flat (1.2917) · MSCI Singapore </w:t>
      </w:r>
      <w:r>
        <w:rPr>
          <w:rFonts w:ascii="Public Sans" w:hAnsi="Public Sans"/>
          <w:b/>
          <w:i w:val="0"/>
          <w:color w:val="3D3E3E"/>
          <w:sz w:val="19"/>
        </w:rPr>
        <w:t>+5.6%</w:t>
      </w:r>
      <w:r>
        <w:rPr>
          <w:rFonts w:ascii="Public Sans" w:hAnsi="Public Sans"/>
          <w:b w:val="0"/>
          <w:i w:val="0"/>
          <w:color w:val="3D3E3E"/>
          <w:sz w:val="19"/>
        </w:rPr>
        <w:t xml:space="preserve"> (tech-led) · June CPI prior </w:t>
      </w:r>
      <w:r>
        <w:rPr>
          <w:rFonts w:ascii="Public Sans" w:hAnsi="Public Sans"/>
          <w:b/>
          <w:i w:val="0"/>
          <w:color w:val="3D3E3E"/>
          <w:sz w:val="19"/>
        </w:rPr>
        <w:t>1.8%</w:t>
      </w:r>
      <w:r>
        <w:rPr>
          <w:rFonts w:ascii="Public Sans" w:hAnsi="Public Sans"/>
          <w:b w:val="0"/>
          <w:i w:val="0"/>
          <w:color w:val="3D3E3E"/>
          <w:sz w:val="19"/>
        </w:rPr>
        <w:t xml:space="preserve"> (23 Jul); retail sales </w:t>
      </w:r>
      <w:r>
        <w:rPr>
          <w:rFonts w:ascii="Public Sans" w:hAnsi="Public Sans"/>
          <w:b/>
          <w:i w:val="0"/>
          <w:color w:val="3D3E3E"/>
          <w:sz w:val="19"/>
        </w:rPr>
        <w:t>3.0%</w:t>
      </w:r>
      <w:r>
        <w:rPr>
          <w:rFonts w:ascii="Public Sans" w:hAnsi="Public Sans"/>
          <w:b w:val="0"/>
          <w:i w:val="0"/>
          <w:color w:val="3D3E3E"/>
          <w:sz w:val="19"/>
        </w:rPr>
        <w:t xml:space="preserve"> (miss vs 4.7%).</w:t>
      </w:r>
    </w:p>
    <w:p>
      <w:pPr>
        <w:spacing w:after="80" w:line="283" w:lineRule="auto"/>
      </w:pPr>
      <w:r>
        <w:rPr>
          <w:rFonts w:ascii="Public Sans" w:hAnsi="Public Sans"/>
          <w:b w:val="0"/>
          <w:i w:val="0"/>
          <w:color w:val="3D3E3E"/>
          <w:sz w:val="19"/>
        </w:rPr>
        <w:t>Singapore is the ASEAN surplus/tech winner, and its MAS review on 14 July is one of the week's genuine coin-flips.</w:t>
      </w:r>
    </w:p>
    <w:p>
      <w:pPr>
        <w:spacing w:before="200" w:after="60"/>
        <w:keepNext/>
        <w:pBdr>
          <w:bottom w:val="single" w:sz="4" w:space="2" w:color="E0E9E4"/>
        </w:pBdr>
      </w:pPr>
      <w:r>
        <w:rPr>
          <w:rFonts w:ascii="Georgia" w:hAnsi="Georgia"/>
          <w:b/>
          <w:color w:val="4D806A"/>
          <w:sz w:val="23"/>
        </w:rPr>
        <w:t>Driver 1 — MAS: re-steepen vs pause</w:t>
      </w:r>
    </w:p>
    <w:p>
      <w:pPr>
        <w:spacing w:before="120" w:after="40"/>
        <w:keepNext/>
      </w:pPr>
      <w:r>
        <w:rPr>
          <w:rFonts w:ascii="Public Sans" w:hAnsi="Public Sans"/>
          <w:b/>
          <w:i w:val="0"/>
          <w:color w:val="001830"/>
          <w:sz w:val="19"/>
        </w:rPr>
        <w:t>Desk-read — the 14 July MAS review + same-day 2Q GDP advance</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4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7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4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4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47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Still expect a July steepening (~60% prior); 2Q GDP tracking ~5.6% y/y, +1.3% q/q SA, tech-dominated</w:t>
            </w:r>
          </w:p>
        </w:tc>
        <w:tc>
          <w:tcPr>
            <w:tcW w:type="dxa" w:w="44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Re-steepen the SGD-NEER slope on the output gap</w:t>
            </w:r>
          </w:p>
        </w:tc>
      </w:tr>
      <w:tr>
        <w:tc>
          <w:tcPr>
            <w:tcW w:type="dxa" w:w="14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Nomura / Barclays</w:t>
            </w:r>
          </w:p>
        </w:tc>
        <w:tc>
          <w:tcPr>
            <w:tcW w:type="dxa" w:w="47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Lean pause — inflation contained (CPI ~1.8%), external risk elevated post-ceasefire</w:t>
            </w:r>
          </w:p>
        </w:tc>
        <w:tc>
          <w:tcPr>
            <w:tcW w:type="dxa" w:w="44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the slope; a genuinely close call</w:t>
            </w:r>
          </w:p>
        </w:tc>
      </w:tr>
      <w:tr>
        <w:tc>
          <w:tcPr>
            <w:tcW w:type="dxa" w:w="14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DB (Asia LMW)</w:t>
            </w:r>
          </w:p>
        </w:tc>
        <w:tc>
          <w:tcPr>
            <w:tcW w:type="dxa" w:w="47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SGD among the strongest </w:t>
            </w:r>
            <w:r>
              <w:rPr>
                <w:rFonts w:ascii="Public Sans" w:hAnsi="Public Sans"/>
                <w:b w:val="0"/>
                <w:i/>
                <w:color w:val="3D3E3E"/>
                <w:sz w:val="16"/>
              </w:rPr>
              <w:t>received</w:t>
            </w:r>
            <w:r>
              <w:rPr>
                <w:rFonts w:ascii="Public Sans" w:hAnsi="Public Sans"/>
                <w:b w:val="0"/>
                <w:i w:val="0"/>
                <w:color w:val="3D3E3E"/>
                <w:sz w:val="16"/>
              </w:rPr>
              <w:t xml:space="preserve"> rates markets (confidence in lower rates)</w:t>
            </w:r>
          </w:p>
        </w:tc>
        <w:tc>
          <w:tcPr>
            <w:tcW w:type="dxa" w:w="44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Front-end receiver bias regardless of the slope call</w:t>
            </w:r>
          </w:p>
        </w:tc>
      </w:tr>
    </w:tbl>
    <w:p>
      <w:pPr>
        <w:spacing w:after="80" w:line="283" w:lineRule="auto"/>
      </w:pPr>
      <w:r>
        <w:rPr>
          <w:rFonts w:ascii="Public Sans" w:hAnsi="Public Sans"/>
          <w:b w:val="0"/>
          <w:i w:val="0"/>
          <w:color w:val="3D3E3E"/>
          <w:sz w:val="19"/>
        </w:rPr>
        <w:t>The equity tape (+5.6%) rode the North-Asia semis beta; the MAS decision hinges on whether the same-day GDP confirms enough of an output gap. Retail sales softened (3.0% vs 4.7% cons), a small offset to the tech strength.</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{"type":"line","title":"Singapore 2Q GDP — the tech-led read that decides MAS","caption":"Citi tracks 2Q advance ~5.6% y/y (+1.3% q/q SA), down from 6.0% but tech-dominated. A strong print hands Citi its July NEER re-steepen; a soft one keeps MAS on hold. Prints 14 Jul with the MAS review.","unit":"% y/y","series":[{"name":"SG GDP y/y","color":"#2b5a86","points":[["4Q25",5.8],["1Q26",6.0],["2Q26 e",5.6]]}]}</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Citi (steepen) and Nomura/Barclays (pause) both anchor on the </w:t>
      </w:r>
      <w:r>
        <w:rPr>
          <w:rFonts w:ascii="Public Sans" w:hAnsi="Public Sans"/>
          <w:b w:val="0"/>
          <w:i/>
          <w:color w:val="3D3E3E"/>
          <w:sz w:val="19"/>
        </w:rPr>
        <w:t>same</w:t>
      </w:r>
      <w:r>
        <w:rPr>
          <w:rFonts w:ascii="Public Sans" w:hAnsi="Public Sans"/>
          <w:b w:val="0"/>
          <w:i w:val="0"/>
          <w:color w:val="3D3E3E"/>
          <w:sz w:val="19"/>
        </w:rPr>
        <w:t xml:space="preserve"> 2Q GDP number — they differ only on whether ~5.6% is a big enough output gap to move MAS. That makes the same-day GDP advance the single adjudicator: strong → Citi, soft → pause. The clean expression is the NEER slope, where the payoff sits, not spot SGD.</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trade the SGD-NEER slope, not the binary — a strong GDP is the steepen trigger; DB's front-end receiver works either way.</w:t>
      </w:r>
    </w:p>
    <w:p>
      <w:pPr>
        <w:spacing w:before="200" w:after="60"/>
        <w:keepNext/>
        <w:pBdr>
          <w:bottom w:val="single" w:sz="4" w:space="2" w:color="E0E9E4"/>
        </w:pBdr>
      </w:pPr>
      <w:r>
        <w:rPr>
          <w:rFonts w:ascii="Georgia" w:hAnsi="Georgia"/>
          <w:b/>
          <w:color w:val="4D806A"/>
          <w:sz w:val="23"/>
        </w:rPr>
        <w:t>Driver 2 — Tech-led growth and the AI cycle</w:t>
      </w:r>
    </w:p>
    <w:p>
      <w:pPr>
        <w:spacing w:after="80" w:line="283" w:lineRule="auto"/>
      </w:pPr>
      <w:r>
        <w:rPr>
          <w:rFonts w:ascii="Public Sans" w:hAnsi="Public Sans"/>
          <w:b w:val="0"/>
          <w:i w:val="0"/>
          <w:color w:val="3D3E3E"/>
          <w:sz w:val="19"/>
        </w:rPr>
        <w:t xml:space="preserve">Singapore's 2Q GDP is "dominated by tech production" (Citi) — the city-state is a direct beneficiary of the North-Asia AI/semiconductor cycle that drove HK and MSCI SG (+5.6%) this week. That is also the cycle MS/Nomura flag as </w:t>
      </w:r>
      <w:r>
        <w:rPr>
          <w:rFonts w:ascii="Public Sans" w:hAnsi="Public Sans"/>
          <w:b w:val="0"/>
          <w:i/>
          <w:color w:val="3D3E3E"/>
          <w:sz w:val="19"/>
        </w:rPr>
        <w:t>losing momentum</w:t>
      </w:r>
      <w:r>
        <w:rPr>
          <w:rFonts w:ascii="Public Sans" w:hAnsi="Public Sans"/>
          <w:b w:val="0"/>
          <w:i w:val="0"/>
          <w:color w:val="3D3E3E"/>
          <w:sz w:val="19"/>
        </w:rPr>
        <w:t xml:space="preserve"> elsewhere, so Singapore's growth read carries the same US-Q2-earnings falsifier as the rest of the semis complex.</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growth strength is real but tech-concentrated; a semis rollover (US Q2 earnings) is the shared downside to the GDP and the equity tape.</w:t>
      </w:r>
    </w:p>
    <w:p>
      <w:pPr>
        <w:spacing w:before="200" w:after="60"/>
        <w:keepNext/>
        <w:pBdr>
          <w:bottom w:val="single" w:sz="4" w:space="2" w:color="E0E9E4"/>
        </w:pBdr>
      </w:pPr>
      <w:r>
        <w:rPr>
          <w:rFonts w:ascii="Georgia" w:hAnsi="Georgia"/>
          <w:b/>
          <w:color w:val="4D806A"/>
          <w:sz w:val="23"/>
        </w:rPr>
        <w:t>Driver 3 — Rates and the received bias</w:t>
      </w:r>
    </w:p>
    <w:p>
      <w:pPr>
        <w:spacing w:after="80" w:line="283" w:lineRule="auto"/>
      </w:pPr>
      <w:r>
        <w:rPr>
          <w:rFonts w:ascii="Public Sans" w:hAnsi="Public Sans"/>
          <w:b w:val="0"/>
          <w:i w:val="0"/>
          <w:color w:val="3D3E3E"/>
          <w:sz w:val="19"/>
        </w:rPr>
        <w:t xml:space="preserve">SORA swaps rose +2.8bp (2y) / +5.3bp (10y) with the global back-up, but DB flags SGD as one of the strongest </w:t>
      </w:r>
      <w:r>
        <w:rPr>
          <w:rFonts w:ascii="Public Sans" w:hAnsi="Public Sans"/>
          <w:b w:val="0"/>
          <w:i/>
          <w:color w:val="3D3E3E"/>
          <w:sz w:val="19"/>
        </w:rPr>
        <w:t>received</w:t>
      </w:r>
      <w:r>
        <w:rPr>
          <w:rFonts w:ascii="Public Sans" w:hAnsi="Public Sans"/>
          <w:b w:val="0"/>
          <w:i w:val="0"/>
          <w:color w:val="3D3E3E"/>
          <w:sz w:val="19"/>
        </w:rPr>
        <w:t xml:space="preserve"> markets in Asia — confidence in lower rates and a contained inflation path (~1.8% CPI). The front end is a structural receiver even as the belly tracked the global wave this week.</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The two Singapore expressions are consistent: DB's received-SGD-front-end (lower-rates confidence) and Citi's NEER re-steepener both work in a "contained inflation, strong tech growth" world. The one that hurts both is a hawkish MAS-plus-hot-inflation surprise — low probability given 1.8% CPI, but the shared falsifier.</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hold the DB received-front-end as the structural leg; layer Citi's NEER steepener as the event trade into the 14 July GDP.</w:t>
      </w:r>
    </w:p>
    <w:p>
      <w:pPr>
        <w:spacing w:before="200" w:after="60"/>
        <w:keepNext/>
        <w:pBdr>
          <w:bottom w:val="single" w:sz="4" w:space="2" w:color="E0E9E4"/>
        </w:pBdr>
      </w:pPr>
      <w:r>
        <w:rPr>
          <w:rFonts w:ascii="Georgia" w:hAnsi="Georgia"/>
          <w:b/>
          <w:color w:val="4D806A"/>
          <w:sz w:val="23"/>
        </w:rPr>
        <w:t>Country trade board — Singapore</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64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64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22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6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37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17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6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S1</w:t>
            </w:r>
          </w:p>
        </w:tc>
        <w:tc>
          <w:tcPr>
            <w:tcW w:type="dxa" w:w="6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w:t>
            </w:r>
          </w:p>
        </w:tc>
        <w:tc>
          <w:tcPr>
            <w:tcW w:type="dxa" w:w="22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SGD-NEER re-steepener</w:t>
            </w:r>
          </w:p>
        </w:tc>
        <w:tc>
          <w:tcPr>
            <w:tcW w:type="dxa" w:w="16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into 14 Jul</w:t>
            </w:r>
          </w:p>
        </w:tc>
        <w:tc>
          <w:tcPr>
            <w:tcW w:type="dxa" w:w="37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GDP-confirmed output gap / soft GDP</w:t>
            </w:r>
          </w:p>
        </w:tc>
        <w:tc>
          <w:tcPr>
            <w:tcW w:type="dxa" w:w="17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Live event trade</w:t>
            </w:r>
          </w:p>
        </w:tc>
      </w:tr>
      <w:tr>
        <w:tc>
          <w:tcPr>
            <w:tcW w:type="dxa" w:w="6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S2</w:t>
            </w:r>
          </w:p>
        </w:tc>
        <w:tc>
          <w:tcPr>
            <w:tcW w:type="dxa" w:w="6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w:t>
            </w:r>
          </w:p>
        </w:tc>
        <w:tc>
          <w:tcPr>
            <w:tcW w:type="dxa" w:w="22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Receive SGD front end</w:t>
            </w:r>
          </w:p>
        </w:tc>
        <w:tc>
          <w:tcPr>
            <w:tcW w:type="dxa" w:w="16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persists</w:t>
            </w:r>
          </w:p>
        </w:tc>
        <w:tc>
          <w:tcPr>
            <w:tcW w:type="dxa" w:w="37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confidence in lower rates</w:t>
            </w:r>
          </w:p>
        </w:tc>
        <w:tc>
          <w:tcPr>
            <w:tcW w:type="dxa" w:w="17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Persists</w:t>
            </w:r>
          </w:p>
        </w:tc>
      </w:tr>
    </w:tbl>
    <w:p>
      <w:pPr>
        <w:spacing w:before="200" w:after="60"/>
        <w:keepNext/>
        <w:pBdr>
          <w:bottom w:val="single" w:sz="4" w:space="2" w:color="E0E9E4"/>
        </w:pBdr>
      </w:pPr>
      <w:r>
        <w:rPr>
          <w:rFonts w:ascii="Georgia" w:hAnsi="Georgia"/>
          <w:b/>
          <w:color w:val="4D806A"/>
          <w:sz w:val="23"/>
        </w:rPr>
        <w:t>Mini Argument Audit — Singapore</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37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40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23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MAS re-steepen vs pause</w:t>
            </w:r>
          </w:p>
        </w:tc>
        <w:tc>
          <w:tcPr>
            <w:tcW w:type="dxa" w:w="40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60% steepen vs Nomura/Barclays pause</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Live.</w:t>
            </w:r>
            <w:r>
              <w:rPr>
                <w:rFonts w:ascii="Public Sans" w:hAnsi="Public Sans"/>
                <w:b w:val="0"/>
                <w:i w:val="0"/>
                <w:color w:val="3D3E3E"/>
                <w:sz w:val="16"/>
              </w:rPr>
              <w:t xml:space="preserve"> A strong tech-led GDP hands Citi the steepen; a softer print keeps MAS on hold. Trade the NEER slope, not the binary.</w:t>
            </w:r>
          </w:p>
        </w:tc>
      </w:tr>
      <w:tr>
        <w:tc>
          <w:tcPr>
            <w:tcW w:type="dxa" w:w="237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Is the tech-led growth durable?</w:t>
            </w:r>
          </w:p>
        </w:tc>
        <w:tc>
          <w:tcPr>
            <w:tcW w:type="dxa" w:w="40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+5.6% GDP, MSCI SG +5.6% vs the semis-momentum wobble</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Weak/Live.</w:t>
            </w:r>
            <w:r>
              <w:rPr>
                <w:rFonts w:ascii="Public Sans" w:hAnsi="Public Sans"/>
                <w:b w:val="0"/>
                <w:i w:val="0"/>
                <w:color w:val="3D3E3E"/>
                <w:sz w:val="16"/>
              </w:rPr>
              <w:t xml:space="preserve"> Growth is real but tech-concentrated; carries the US-Q2-earnings falsifier as the rest of the semis complex.</w:t>
            </w:r>
          </w:p>
        </w:tc>
      </w:tr>
    </w:tbl>
    <w:p>
      <w:pPr>
        <w:spacing w:before="200" w:after="60"/>
        <w:keepNext/>
        <w:pBdr>
          <w:bottom w:val="single" w:sz="4" w:space="2" w:color="E0E9E4"/>
        </w:pBdr>
      </w:pPr>
      <w:r>
        <w:rPr>
          <w:rFonts w:ascii="Georgia" w:hAnsi="Georgia"/>
          <w:b/>
          <w:color w:val="4D806A"/>
          <w:sz w:val="23"/>
        </w:rPr>
        <w:t>This week &amp; next week — Singapore</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3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22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20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15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w:t>
            </w:r>
          </w:p>
        </w:tc>
        <w:tc>
          <w:tcPr>
            <w:tcW w:type="dxa" w:w="34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13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14 Jul</w:t>
            </w:r>
          </w:p>
        </w:tc>
        <w:tc>
          <w:tcPr>
            <w:tcW w:type="dxa" w:w="22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review + 2Q GDP advance</w:t>
            </w:r>
          </w:p>
        </w:tc>
        <w:tc>
          <w:tcPr>
            <w:tcW w:type="dxa" w:w="20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GDP ~5.6% y/y; MAS binary</w:t>
            </w:r>
          </w:p>
        </w:tc>
        <w:tc>
          <w:tcPr>
            <w:tcW w:type="dxa" w:w="15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tech-led output gap</w:t>
            </w:r>
          </w:p>
        </w:tc>
        <w:tc>
          <w:tcPr>
            <w:tcW w:type="dxa" w:w="34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steepen vs pause; the GDP adjudicates</w:t>
            </w:r>
          </w:p>
        </w:tc>
      </w:tr>
      <w:tr>
        <w:tc>
          <w:tcPr>
            <w:tcW w:type="dxa" w:w="13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Next wk — 23 Jul</w:t>
            </w:r>
          </w:p>
        </w:tc>
        <w:tc>
          <w:tcPr>
            <w:tcW w:type="dxa" w:w="22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 CPI</w:t>
            </w:r>
          </w:p>
        </w:tc>
        <w:tc>
          <w:tcPr>
            <w:tcW w:type="dxa" w:w="20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prior 1.8% y/y</w:t>
            </w:r>
          </w:p>
        </w:tc>
        <w:tc>
          <w:tcPr>
            <w:tcW w:type="dxa" w:w="15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inflation contained</w:t>
            </w:r>
          </w:p>
        </w:tc>
        <w:tc>
          <w:tcPr>
            <w:tcW w:type="dxa" w:w="34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confirms the benign backdrop</w:t>
            </w:r>
          </w:p>
        </w:tc>
      </w:tr>
      <w:tr>
        <w:tc>
          <w:tcPr>
            <w:tcW w:type="dxa" w:w="13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Next wk — 30 Jul</w:t>
            </w:r>
          </w:p>
        </w:tc>
        <w:tc>
          <w:tcPr>
            <w:tcW w:type="dxa" w:w="22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Unemployment</w:t>
            </w:r>
          </w:p>
        </w:tc>
        <w:tc>
          <w:tcPr>
            <w:tcW w:type="dxa" w:w="20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2.1%</w:t>
            </w:r>
          </w:p>
        </w:tc>
        <w:tc>
          <w:tcPr>
            <w:tcW w:type="dxa" w:w="15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labour tight</w:t>
            </w:r>
          </w:p>
        </w:tc>
        <w:tc>
          <w:tcPr>
            <w:tcW w:type="dxa" w:w="34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secondary</w:t>
            </w:r>
          </w:p>
        </w:tc>
      </w:tr>
    </w:tbl>
    <w:p>
      <w:pPr>
        <w:spacing w:after="80" w:line="283" w:lineRule="auto"/>
      </w:pPr>
      <w:r>
        <w:rPr>
          <w:rFonts w:ascii="Public Sans" w:hAnsi="Public Sans"/>
          <w:b w:val="0"/>
          <w:i w:val="0"/>
          <w:color w:val="3D3E3E"/>
          <w:sz w:val="19"/>
        </w:rPr>
        <w:t>Positioning read: the MAS/GDP combo on 14 July is the whole trade. Hold DB's received front end; layer Citi's NEER steepener into a strong GDP. The shared risk is a semis rollover hitting both the growth read and the equity tape.</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INDONESIA — the softest FX, a wider deficit, a clean rates split</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BI-Rate </w:t>
      </w:r>
      <w:r>
        <w:rPr>
          <w:rFonts w:ascii="Public Sans" w:hAnsi="Public Sans"/>
          <w:b/>
          <w:i w:val="0"/>
          <w:color w:val="3D3E3E"/>
          <w:sz w:val="19"/>
        </w:rPr>
        <w:t>5.75%</w:t>
      </w:r>
      <w:r>
        <w:rPr>
          <w:rFonts w:ascii="Public Sans" w:hAnsi="Public Sans"/>
          <w:b w:val="0"/>
          <w:i w:val="0"/>
          <w:color w:val="3D3E3E"/>
          <w:sz w:val="19"/>
        </w:rPr>
        <w:t xml:space="preserve"> (22 Jul next; one feed flags a 6.0% hike forecast) · USD/IDR </w:t>
      </w:r>
      <w:r>
        <w:rPr>
          <w:rFonts w:ascii="Public Sans" w:hAnsi="Public Sans"/>
          <w:b/>
          <w:i w:val="0"/>
          <w:color w:val="3D3E3E"/>
          <w:sz w:val="19"/>
        </w:rPr>
        <w:t>~18,068</w:t>
      </w:r>
      <w:r>
        <w:rPr>
          <w:rFonts w:ascii="Public Sans" w:hAnsi="Public Sans"/>
          <w:b w:val="0"/>
          <w:i w:val="0"/>
          <w:color w:val="3D3E3E"/>
          <w:sz w:val="19"/>
        </w:rPr>
        <w:t xml:space="preserve"> (IDR −0.5%, softest ASEAN FX) · 10y JIBOR </w:t>
      </w:r>
      <w:r>
        <w:rPr>
          <w:rFonts w:ascii="Public Sans" w:hAnsi="Public Sans"/>
          <w:b/>
          <w:i w:val="0"/>
          <w:color w:val="3D3E3E"/>
          <w:sz w:val="19"/>
        </w:rPr>
        <w:t>7.20%</w:t>
      </w:r>
      <w:r>
        <w:rPr>
          <w:rFonts w:ascii="Public Sans" w:hAnsi="Public Sans"/>
          <w:b w:val="0"/>
          <w:i w:val="0"/>
          <w:color w:val="3D3E3E"/>
          <w:sz w:val="19"/>
        </w:rPr>
        <w:t xml:space="preserve"> (+6bp WoW), 2y 7.33% (−3bp) · 2026 fiscal deficit target revised to </w:t>
      </w:r>
      <w:r>
        <w:rPr>
          <w:rFonts w:ascii="Public Sans" w:hAnsi="Public Sans"/>
          <w:b/>
          <w:i w:val="0"/>
          <w:color w:val="3D3E3E"/>
          <w:sz w:val="19"/>
        </w:rPr>
        <w:t>2.85% of GDP</w:t>
      </w:r>
      <w:r>
        <w:rPr>
          <w:rFonts w:ascii="Public Sans" w:hAnsi="Public Sans"/>
          <w:b w:val="0"/>
          <w:i w:val="0"/>
          <w:color w:val="3D3E3E"/>
          <w:sz w:val="19"/>
        </w:rPr>
        <w:t xml:space="preserve"> (from 2.68%; 2025 was 2.81%) · 1H26 deficit </w:t>
      </w:r>
      <w:r>
        <w:rPr>
          <w:rFonts w:ascii="Public Sans" w:hAnsi="Public Sans"/>
          <w:b/>
          <w:i w:val="0"/>
          <w:color w:val="3D3E3E"/>
          <w:sz w:val="19"/>
        </w:rPr>
        <w:t>Rp196.5tn</w:t>
      </w:r>
      <w:r>
        <w:rPr>
          <w:rFonts w:ascii="Public Sans" w:hAnsi="Public Sans"/>
          <w:b w:val="0"/>
          <w:i w:val="0"/>
          <w:color w:val="3D3E3E"/>
          <w:sz w:val="19"/>
        </w:rPr>
        <w:t xml:space="preserve"> (0.76% of GDP), better than 1H25's 0.86%.</w:t>
      </w:r>
    </w:p>
    <w:p>
      <w:pPr>
        <w:spacing w:after="80" w:line="283" w:lineRule="auto"/>
      </w:pPr>
      <w:r>
        <w:rPr>
          <w:rFonts w:ascii="Public Sans" w:hAnsi="Public Sans"/>
          <w:b w:val="0"/>
          <w:i w:val="0"/>
          <w:color w:val="3D3E3E"/>
          <w:sz w:val="19"/>
        </w:rPr>
        <w:t>Indonesia carries the universe's cleanest two-desk disagreement on the bonds — and the softest currency in the region into a BI meeting.</w:t>
      </w:r>
    </w:p>
    <w:p>
      <w:pPr>
        <w:spacing w:before="200" w:after="60"/>
        <w:keepNext/>
        <w:pBdr>
          <w:bottom w:val="single" w:sz="4" w:space="2" w:color="E0E9E4"/>
        </w:pBdr>
      </w:pPr>
      <w:r>
        <w:rPr>
          <w:rFonts w:ascii="Georgia" w:hAnsi="Georgia"/>
          <w:b/>
          <w:color w:val="4D806A"/>
          <w:sz w:val="23"/>
        </w:rPr>
        <w:t>Driver 1 — The fiscal widening and BI's pro-stability turn</w:t>
      </w:r>
    </w:p>
    <w:p>
      <w:pPr>
        <w:spacing w:before="120" w:after="40"/>
        <w:keepNext/>
      </w:pPr>
      <w:r>
        <w:rPr>
          <w:rFonts w:ascii="Public Sans" w:hAnsi="Public Sans"/>
          <w:b/>
          <w:i w:val="0"/>
          <w:color w:val="001830"/>
          <w:sz w:val="19"/>
        </w:rPr>
        <w:t>Desk-read — a 2026 deficit revised up to 2.85% of GDP</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1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1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UBS</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Deficit revised to 2.85% on +Rp132tn subsidies; offset by cutting the free-meals (MBG) program (−Rp67tn now, possibly −Rp40tn more; 2027 could fall to Rp174tn); 1H26 revenue +21% y/y, expenditure +18%</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Limited risk of the deficit exceeding 3% of GDP — the MBG cut is a fiscal buffer</w:t>
            </w:r>
          </w:p>
        </w:tc>
      </w:tr>
      <w:tr>
        <w:tc>
          <w:tcPr>
            <w:tcW w:type="dxa" w:w="11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Jakarta trip note "Striving for Stability": leadership focused on fiscal discipline (though the consolidated deficit lacks clarity); BI moved to a pro-stability stance to anchor the rupiah; long-end bonds performing on technicals</w:t>
            </w:r>
          </w:p>
        </w:tc>
        <w:tc>
          <w:tcPr>
            <w:tcW w:type="dxa" w:w="4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Constructive long-end IndoGB</w:t>
            </w:r>
            <w:r>
              <w:rPr>
                <w:rFonts w:ascii="Public Sans" w:hAnsi="Public Sans"/>
                <w:b w:val="0"/>
                <w:i w:val="0"/>
                <w:color w:val="3D3E3E"/>
                <w:sz w:val="16"/>
              </w:rPr>
              <w:t xml:space="preserve"> — can continue for most of the remainder of 2026</w:t>
            </w:r>
          </w:p>
        </w:tc>
      </w:tr>
      <w:tr>
        <w:tc>
          <w:tcPr>
            <w:tcW w:type="dxa" w:w="11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DB (Asia LMW)</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Cut back DV01 supply as issuance shifts front-end; </w:t>
            </w:r>
            <w:r>
              <w:rPr>
                <w:rFonts w:ascii="Public Sans" w:hAnsi="Public Sans"/>
                <w:b/>
                <w:i w:val="0"/>
                <w:color w:val="3D3E3E"/>
                <w:sz w:val="16"/>
              </w:rPr>
              <w:t>sidelined on IndoGB</w:t>
            </w:r>
            <w:r>
              <w:rPr>
                <w:rFonts w:ascii="Public Sans" w:hAnsi="Public Sans"/>
                <w:b w:val="0"/>
                <w:i w:val="0"/>
                <w:color w:val="3D3E3E"/>
                <w:sz w:val="16"/>
              </w:rPr>
              <w:t xml:space="preserve"> pending better dynamics; KTB/ThaiGB preferred, RPGB on the radar</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Prefer KTB/ThaiGB over IndoGB; wait</w:t>
            </w:r>
          </w:p>
        </w:tc>
      </w:tr>
    </w:tbl>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{"type":"bar","title":"Indonesia's fiscal deficit — the revision that split the desks","caption":"Full-year 2026 deficit target revised to 2.85% of GDP (from 2.68%; 2025 was 2.81%) on +Rp132tn subsidies. 1H26 ran 0.76% of GDP, better than 1H25's 0.86%. UBS: the MBG-cut buffer caps it below 3%.","unit":"% of GDP","series":[{"name":"Fiscal deficit","color":"#b5761f","points":[["2025 actual",2.81],["2026 prior target",2.68],["2026 revised",2.85],["3% ceiling",3.0]]}]}</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Citi (constructive long-end IndoGB) and DB (sidelined) are looking at the </w:t>
      </w:r>
      <w:r>
        <w:rPr>
          <w:rFonts w:ascii="Public Sans" w:hAnsi="Public Sans"/>
          <w:b w:val="0"/>
          <w:i/>
          <w:color w:val="3D3E3E"/>
          <w:sz w:val="19"/>
        </w:rPr>
        <w:t>same</w:t>
      </w:r>
      <w:r>
        <w:rPr>
          <w:rFonts w:ascii="Public Sans" w:hAnsi="Public Sans"/>
          <w:b w:val="0"/>
          <w:i w:val="0"/>
          <w:color w:val="3D3E3E"/>
          <w:sz w:val="19"/>
        </w:rPr>
        <w:t xml:space="preserve"> facts — a deficit revision to 2.85%, BI's pro-stability turn, decent long-end technicals — and reaching opposite conclusions. Citi weights the pro-stability anchor + the fiscal buffer; DB weights the supply/oil-sensitivity risk. This is the rare genuinely clean two-desk split, and the softest ASEAN FX (−0.5%) is the tiebreaker toward DB near-term.</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medium-term pro-stability case (Citi) and the near-term FX strain (DB) both hold — express the strain via the FX leg, defer the rates instrument until the split resolves.</w:t>
      </w:r>
    </w:p>
    <w:p>
      <w:pPr>
        <w:spacing w:before="200" w:after="60"/>
        <w:keepNext/>
        <w:pBdr>
          <w:bottom w:val="single" w:sz="4" w:space="2" w:color="E0E9E4"/>
        </w:pBdr>
      </w:pPr>
      <w:r>
        <w:rPr>
          <w:rFonts w:ascii="Georgia" w:hAnsi="Georgia"/>
          <w:b/>
          <w:color w:val="4D806A"/>
          <w:sz w:val="23"/>
        </w:rPr>
        <w:t>Driver 2 — The IndoGB Citi-vs-DB split (and the instrument question)</w:t>
      </w:r>
    </w:p>
    <w:p>
      <w:pPr>
        <w:spacing w:after="80" w:line="283" w:lineRule="auto"/>
      </w:pPr>
      <w:r>
        <w:rPr>
          <w:rFonts w:ascii="Public Sans" w:hAnsi="Public Sans"/>
          <w:b w:val="0"/>
          <w:i w:val="0"/>
          <w:color w:val="3D3E3E"/>
          <w:sz w:val="19"/>
        </w:rPr>
        <w:t>The long-end IndoGB is where the two houses disagree most sharply. Citi's "striving for stability" argues BI's pro-stability stance + fiscal discipline + technicals support the long end for the rest of 2026; DB stays sidelined pending better supply-demand and inflation dynamics, preferring KTB/ThaiGB. IDR 10y JIBOR rose +6bp with the global back-up while the 2y fell −3bp — a bear-steepening consistent with the supply/fiscal concern DB flags.</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INSTRUMENT PENDING (DEEPAK)</w:t>
      </w:r>
      <w:r>
        <w:rPr>
          <w:rFonts w:ascii="Public Sans" w:hAnsi="Public Sans"/>
          <w:b w:val="0"/>
          <w:i w:val="0"/>
          <w:color w:val="3D3E3E"/>
          <w:sz w:val="19"/>
        </w:rPr>
        <w:t xml:space="preserve"> — Whether to express Indonesia via IndoGB / SRBI vs another instrument is pending confirmation with Deepak. The FX leg (short IDR / long USD) is stated as-is; the rates instrument is </w:t>
      </w:r>
      <w:r>
        <w:rPr>
          <w:rFonts w:ascii="Public Sans" w:hAnsi="Public Sans"/>
          <w:b/>
          <w:i w:val="0"/>
          <w:color w:val="3D3E3E"/>
          <w:sz w:val="19"/>
        </w:rPr>
        <w:t>not</w:t>
      </w:r>
      <w:r>
        <w:rPr>
          <w:rFonts w:ascii="Public Sans" w:hAnsi="Public Sans"/>
          <w:b w:val="0"/>
          <w:i w:val="0"/>
          <w:color w:val="3D3E3E"/>
          <w:sz w:val="19"/>
        </w:rPr>
        <w:t xml:space="preserve"> wired. The Citi-vs-DB IndoGB split is exactly the live decision that instrument choice turns on — resolve it before committing the rates leg.</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hold the FX leg; the IndoGB rates expression waits on both the Citi-vs-DB resolution and the Deepak instrument confirmation.</w:t>
      </w:r>
    </w:p>
    <w:p>
      <w:pPr>
        <w:spacing w:before="200" w:after="60"/>
        <w:keepNext/>
        <w:pBdr>
          <w:bottom w:val="single" w:sz="4" w:space="2" w:color="E0E9E4"/>
        </w:pBdr>
      </w:pPr>
      <w:r>
        <w:rPr>
          <w:rFonts w:ascii="Georgia" w:hAnsi="Georgia"/>
          <w:b/>
          <w:color w:val="4D806A"/>
          <w:sz w:val="23"/>
        </w:rPr>
        <w:t>Driver 3 — The rupiah, the softest ASEAN FX</w:t>
      </w:r>
    </w:p>
    <w:p>
      <w:pPr>
        <w:spacing w:after="80" w:line="283" w:lineRule="auto"/>
      </w:pPr>
      <w:r>
        <w:rPr>
          <w:rFonts w:ascii="Public Sans" w:hAnsi="Public Sans"/>
          <w:b w:val="0"/>
          <w:i w:val="0"/>
          <w:color w:val="3D3E3E"/>
          <w:sz w:val="19"/>
        </w:rPr>
        <w:t>IDR was the softest ASEAN currency on the week (−0.5% to ~18,068), pressured by the oil re-spike (Indonesia a net oil importer with a subsidy bill that swells when crude rises — UBS: the +Rp132tn subsidy "may prove insufficient if oil prices tick up again"). BI's pro-stability stance means it defends via FX/operations before rates; the 22 July BI meeting is a hold base case with a hike only a tail if the rupiah breaks.</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The short-IDR / long-USD trade is the cleanest Indonesia expression this week: it captures the oil-importer + twin-deficit + widening-fiscal strain without taking the contested IndoGB view. The falsifier is a decisive US-cut repricing (dollar-negative, EM-Asia-positive) or oil settling back below $70 — neither happened this week.</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short IDR / long USD is the high-conviction leg; the BI hold (22 Jul) supports it (BI defends FX before rates).</w:t>
      </w:r>
    </w:p>
    <w:p>
      <w:pPr>
        <w:spacing w:before="200" w:after="60"/>
        <w:keepNext/>
        <w:pBdr>
          <w:bottom w:val="single" w:sz="4" w:space="2" w:color="E0E9E4"/>
        </w:pBdr>
      </w:pPr>
      <w:r>
        <w:rPr>
          <w:rFonts w:ascii="Georgia" w:hAnsi="Georgia"/>
          <w:b/>
          <w:color w:val="4D806A"/>
          <w:sz w:val="23"/>
        </w:rPr>
        <w:t>Country trade board — Indonesia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4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9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23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0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37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21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I1</w:t>
            </w:r>
          </w:p>
        </w:tc>
        <w:tc>
          <w:tcPr>
            <w:tcW w:type="dxa" w:w="9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HSBC/consensus</w:t>
            </w:r>
          </w:p>
        </w:tc>
        <w:tc>
          <w:tcPr>
            <w:tcW w:type="dxa" w:w="23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Short IDR / long USD</w:t>
            </w:r>
          </w:p>
        </w:tc>
        <w:tc>
          <w:tcPr>
            <w:tcW w:type="dxa" w:w="10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~18,068</w:t>
            </w:r>
          </w:p>
        </w:tc>
        <w:tc>
          <w:tcPr>
            <w:tcW w:type="dxa" w:w="37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oil-importer + twin-deficit strain / US-cut repricing</w:t>
            </w:r>
          </w:p>
        </w:tc>
        <w:tc>
          <w:tcPr>
            <w:tcW w:type="dxa" w:w="21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Persists</w:t>
            </w:r>
          </w:p>
        </w:tc>
      </w:tr>
      <w:tr>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I2</w:t>
            </w:r>
          </w:p>
        </w:tc>
        <w:tc>
          <w:tcPr>
            <w:tcW w:type="dxa" w:w="9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w:t>
            </w:r>
          </w:p>
        </w:tc>
        <w:tc>
          <w:tcPr>
            <w:tcW w:type="dxa" w:w="23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Long-end IndoGB (contested by DB)</w:t>
            </w:r>
          </w:p>
        </w:tc>
        <w:tc>
          <w:tcPr>
            <w:tcW w:type="dxa" w:w="10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this week</w:t>
            </w:r>
          </w:p>
        </w:tc>
        <w:tc>
          <w:tcPr>
            <w:tcW w:type="dxa" w:w="37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pro-stability + technicals</w:t>
            </w:r>
          </w:p>
        </w:tc>
        <w:tc>
          <w:tcPr>
            <w:tcW w:type="dxa" w:w="21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New — </w:t>
            </w:r>
            <w:r>
              <w:rPr>
                <w:rFonts w:ascii="Public Sans" w:hAnsi="Public Sans"/>
                <w:b w:val="0"/>
                <w:i/>
                <w:color w:val="3D3E3E"/>
                <w:sz w:val="16"/>
              </w:rPr>
              <w:t>instrument pending Deepak</w:t>
            </w:r>
          </w:p>
        </w:tc>
      </w:tr>
    </w:tbl>
    <w:p>
      <w:pPr>
        <w:spacing w:before="200" w:after="60"/>
        <w:keepNext/>
        <w:pBdr>
          <w:bottom w:val="single" w:sz="4" w:space="2" w:color="E0E9E4"/>
        </w:pBdr>
      </w:pPr>
      <w:r>
        <w:rPr>
          <w:rFonts w:ascii="Georgia" w:hAnsi="Georgia"/>
          <w:b/>
          <w:color w:val="4D806A"/>
          <w:sz w:val="23"/>
        </w:rPr>
        <w:t>Mini Argument Audit — Indonesia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3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380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454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23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Long-end IndoGB: buy vs wait</w:t>
            </w:r>
          </w:p>
        </w:tc>
        <w:tc>
          <w:tcPr>
            <w:tcW w:type="dxa" w:w="38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constructive vs DB sidelined</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Live and unusually clean.</w:t>
            </w:r>
            <w:r>
              <w:rPr>
                <w:rFonts w:ascii="Public Sans" w:hAnsi="Public Sans"/>
                <w:b w:val="0"/>
                <w:i w:val="0"/>
                <w:color w:val="3D3E3E"/>
                <w:sz w:val="16"/>
              </w:rPr>
              <w:t xml:space="preserve"> Citi's pro-stability + technicals case is coherent; DB's caution rests on the deficit revision + oil sensitivity. The softest ASEAN FX (−0.5%) tilts near-term risk to DB; the pro-stability anchor tilts the medium term to Citi.</w:t>
            </w:r>
          </w:p>
        </w:tc>
      </w:tr>
      <w:tr>
        <w:tc>
          <w:tcPr>
            <w:tcW w:type="dxa" w:w="23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BI 22 July</w:t>
            </w:r>
          </w:p>
        </w:tc>
        <w:tc>
          <w:tcPr>
            <w:tcW w:type="dxa" w:w="380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5.75% (base) vs a hike tail if IDR breaks</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Hold Solid, hike a low-probability tail.</w:t>
            </w:r>
            <w:r>
              <w:rPr>
                <w:rFonts w:ascii="Public Sans" w:hAnsi="Public Sans"/>
                <w:b w:val="0"/>
                <w:i w:val="0"/>
                <w:color w:val="3D3E3E"/>
                <w:sz w:val="16"/>
              </w:rPr>
              <w:t xml:space="preserve"> BI's pro-stability stance argues it defends via FX/operations before rates.</w:t>
            </w:r>
          </w:p>
        </w:tc>
      </w:tr>
    </w:tbl>
    <w:p>
      <w:pPr>
        <w:spacing w:before="200" w:after="60"/>
        <w:keepNext/>
        <w:pBdr>
          <w:bottom w:val="single" w:sz="4" w:space="2" w:color="E0E9E4"/>
        </w:pBdr>
      </w:pPr>
      <w:r>
        <w:rPr>
          <w:rFonts w:ascii="Georgia" w:hAnsi="Georgia"/>
          <w:b/>
          <w:color w:val="4D806A"/>
          <w:sz w:val="23"/>
        </w:rPr>
        <w:t>This week &amp; next week — Indonesia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28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20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17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248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w:t>
            </w:r>
          </w:p>
        </w:tc>
        <w:tc>
          <w:tcPr>
            <w:tcW w:type="dxa" w:w="30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12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w:t>
            </w:r>
          </w:p>
        </w:tc>
        <w:tc>
          <w:tcPr>
            <w:tcW w:type="dxa" w:w="20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Foreign reserves (printed)</w:t>
            </w:r>
          </w:p>
        </w:tc>
        <w:tc>
          <w:tcPr>
            <w:tcW w:type="dxa" w:w="17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$145.6bn (from $144.9)</w:t>
            </w:r>
          </w:p>
        </w:tc>
        <w:tc>
          <w:tcPr>
            <w:tcW w:type="dxa" w:w="24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reserves stable</w:t>
            </w:r>
          </w:p>
        </w:tc>
        <w:tc>
          <w:tcPr>
            <w:tcW w:type="dxa" w:w="30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supports BI's defence capacity</w:t>
            </w:r>
          </w:p>
        </w:tc>
      </w:tr>
      <w:tr>
        <w:tc>
          <w:tcPr>
            <w:tcW w:type="dxa" w:w="12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Next wk — 22 Jul</w:t>
            </w:r>
          </w:p>
        </w:tc>
        <w:tc>
          <w:tcPr>
            <w:tcW w:type="dxa" w:w="20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BI-Rate</w:t>
            </w:r>
          </w:p>
        </w:tc>
        <w:tc>
          <w:tcPr>
            <w:tcW w:type="dxa" w:w="17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5.75%</w:t>
            </w:r>
          </w:p>
        </w:tc>
        <w:tc>
          <w:tcPr>
            <w:tcW w:type="dxa" w:w="24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pro-stability, FX-first defence</w:t>
            </w:r>
          </w:p>
        </w:tc>
        <w:tc>
          <w:tcPr>
            <w:tcW w:type="dxa" w:w="30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hold vs a hike tail if IDR breaks</w:t>
            </w:r>
          </w:p>
        </w:tc>
      </w:tr>
    </w:tbl>
    <w:p>
      <w:pPr>
        <w:spacing w:after="80" w:line="283" w:lineRule="auto"/>
      </w:pPr>
      <w:r>
        <w:rPr>
          <w:rFonts w:ascii="Public Sans" w:hAnsi="Public Sans"/>
          <w:b w:val="0"/>
          <w:i w:val="0"/>
          <w:color w:val="3D3E3E"/>
          <w:sz w:val="19"/>
        </w:rPr>
        <w:t>Positioning read: short IDR / long USD is the high-conviction leg into a BI hold (22 Jul). The IndoGB rates expression waits on the Citi-vs-DB resolution and the Deepak instrument confirmation — do not wire it yet.</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THAILAND — a CPI miss, a longer hold, a turning BoP</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June CPI </w:t>
      </w:r>
      <w:r>
        <w:rPr>
          <w:rFonts w:ascii="Public Sans" w:hAnsi="Public Sans"/>
          <w:b/>
          <w:i w:val="0"/>
          <w:color w:val="3D3E3E"/>
          <w:sz w:val="19"/>
        </w:rPr>
        <w:t>2.42% y/y</w:t>
      </w:r>
      <w:r>
        <w:rPr>
          <w:rFonts w:ascii="Public Sans" w:hAnsi="Public Sans"/>
          <w:b w:val="0"/>
          <w:i w:val="0"/>
          <w:color w:val="3D3E3E"/>
          <w:sz w:val="19"/>
        </w:rPr>
        <w:t xml:space="preserve"> (miss vs 2.8% cons, from 2.79%); core </w:t>
      </w:r>
      <w:r>
        <w:rPr>
          <w:rFonts w:ascii="Public Sans" w:hAnsi="Public Sans"/>
          <w:b/>
          <w:i w:val="0"/>
          <w:color w:val="3D3E3E"/>
          <w:sz w:val="19"/>
        </w:rPr>
        <w:t>1.23%</w:t>
      </w:r>
      <w:r>
        <w:rPr>
          <w:rFonts w:ascii="Public Sans" w:hAnsi="Public Sans"/>
          <w:b w:val="0"/>
          <w:i w:val="0"/>
          <w:color w:val="3D3E3E"/>
          <w:sz w:val="19"/>
        </w:rPr>
        <w:t xml:space="preserve"> (up from 0.92%, above the 1.065 survey) · BoT benchmark </w:t>
      </w:r>
      <w:r>
        <w:rPr>
          <w:rFonts w:ascii="Public Sans" w:hAnsi="Public Sans"/>
          <w:b/>
          <w:i w:val="0"/>
          <w:color w:val="3D3E3E"/>
          <w:sz w:val="19"/>
        </w:rPr>
        <w:t>1.00%</w:t>
      </w:r>
      <w:r>
        <w:rPr>
          <w:rFonts w:ascii="Public Sans" w:hAnsi="Public Sans"/>
          <w:b w:val="0"/>
          <w:i w:val="0"/>
          <w:color w:val="3D3E3E"/>
          <w:sz w:val="19"/>
        </w:rPr>
        <w:t xml:space="preserve"> (held 24 Jun) · 10y THOR </w:t>
      </w:r>
      <w:r>
        <w:rPr>
          <w:rFonts w:ascii="Public Sans" w:hAnsi="Public Sans"/>
          <w:b/>
          <w:i w:val="0"/>
          <w:color w:val="3D3E3E"/>
          <w:sz w:val="19"/>
        </w:rPr>
        <w:t>2.01%</w:t>
      </w:r>
      <w:r>
        <w:rPr>
          <w:rFonts w:ascii="Public Sans" w:hAnsi="Public Sans"/>
          <w:b w:val="0"/>
          <w:i w:val="0"/>
          <w:color w:val="3D3E3E"/>
          <w:sz w:val="19"/>
        </w:rPr>
        <w:t xml:space="preserve"> (+1.6bp WoW), 2y 1.24% (−0.5bp) · THB </w:t>
      </w:r>
      <w:r>
        <w:rPr>
          <w:rFonts w:ascii="Public Sans" w:hAnsi="Public Sans"/>
          <w:b/>
          <w:i w:val="0"/>
          <w:color w:val="3D3E3E"/>
          <w:sz w:val="19"/>
        </w:rPr>
        <w:t>−0.4%</w:t>
      </w:r>
      <w:r>
        <w:rPr>
          <w:rFonts w:ascii="Public Sans" w:hAnsi="Public Sans"/>
          <w:b w:val="0"/>
          <w:i w:val="0"/>
          <w:color w:val="3D3E3E"/>
          <w:sz w:val="19"/>
        </w:rPr>
        <w:t xml:space="preserve"> (33.30) · SET </w:t>
      </w:r>
      <w:r>
        <w:rPr>
          <w:rFonts w:ascii="Public Sans" w:hAnsi="Public Sans"/>
          <w:b/>
          <w:i w:val="0"/>
          <w:color w:val="3D3E3E"/>
          <w:sz w:val="19"/>
        </w:rPr>
        <w:t>+0.6%</w:t>
      </w:r>
      <w:r>
        <w:rPr>
          <w:rFonts w:ascii="Public Sans" w:hAnsi="Public Sans"/>
          <w:b w:val="0"/>
          <w:i w:val="0"/>
          <w:color w:val="3D3E3E"/>
          <w:sz w:val="19"/>
        </w:rPr>
        <w:t xml:space="preserve">; consumer confidence </w:t>
      </w:r>
      <w:r>
        <w:rPr>
          <w:rFonts w:ascii="Public Sans" w:hAnsi="Public Sans"/>
          <w:b/>
          <w:i w:val="0"/>
          <w:color w:val="3D3E3E"/>
          <w:sz w:val="19"/>
        </w:rPr>
        <w:t>44.1</w:t>
      </w:r>
      <w:r>
        <w:rPr>
          <w:rFonts w:ascii="Public Sans" w:hAnsi="Public Sans"/>
          <w:b w:val="0"/>
          <w:i w:val="0"/>
          <w:color w:val="3D3E3E"/>
          <w:sz w:val="19"/>
        </w:rPr>
        <w:t xml:space="preserve"> (from 43.1).</w:t>
      </w:r>
    </w:p>
    <w:p>
      <w:pPr>
        <w:spacing w:after="80" w:line="283" w:lineRule="auto"/>
      </w:pPr>
      <w:r>
        <w:rPr>
          <w:rFonts w:ascii="Public Sans" w:hAnsi="Public Sans"/>
          <w:b w:val="0"/>
          <w:i w:val="0"/>
          <w:color w:val="3D3E3E"/>
          <w:sz w:val="19"/>
        </w:rPr>
        <w:t xml:space="preserve">Thailand printed a headline CPI </w:t>
      </w:r>
      <w:r>
        <w:rPr>
          <w:rFonts w:ascii="Public Sans" w:hAnsi="Public Sans"/>
          <w:b w:val="0"/>
          <w:i/>
          <w:color w:val="3D3E3E"/>
          <w:sz w:val="19"/>
        </w:rPr>
        <w:t>undershoot</w:t>
      </w:r>
      <w:r>
        <w:rPr>
          <w:rFonts w:ascii="Public Sans" w:hAnsi="Public Sans"/>
          <w:b w:val="0"/>
          <w:i w:val="0"/>
          <w:color w:val="3D3E3E"/>
          <w:sz w:val="19"/>
        </w:rPr>
        <w:t xml:space="preserve"> that cements a longer central-bank hold, even as DB flags the balance of payments turning against the baht — the crack from the prior week now confirmed as a positioning change.</w:t>
      </w:r>
    </w:p>
    <w:p>
      <w:pPr>
        <w:spacing w:before="200" w:after="60"/>
        <w:keepNext/>
        <w:pBdr>
          <w:bottom w:val="single" w:sz="4" w:space="2" w:color="E0E9E4"/>
        </w:pBdr>
      </w:pPr>
      <w:r>
        <w:rPr>
          <w:rFonts w:ascii="Georgia" w:hAnsi="Georgia"/>
          <w:b/>
          <w:color w:val="4D806A"/>
          <w:sz w:val="23"/>
        </w:rPr>
        <w:t>Driver 1 — CPI undershoot → extended BoT hold</w:t>
      </w:r>
    </w:p>
    <w:p>
      <w:pPr>
        <w:spacing w:before="120" w:after="40"/>
        <w:keepNext/>
      </w:pPr>
      <w:r>
        <w:rPr>
          <w:rFonts w:ascii="Public Sans" w:hAnsi="Public Sans"/>
          <w:b/>
          <w:i w:val="0"/>
          <w:color w:val="001830"/>
          <w:sz w:val="19"/>
        </w:rPr>
        <w:t>Desk-read — headline 2.42%, below the 2.8% consensus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6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5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5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6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UBS</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Headline 2.4% (below 2.8% cons) on softer fuel (22.4% y/y from 29.5%) and food-at-home (−0.4%); core edged up to 1.2% (from 0.9%) on transport + personal care</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Reinforces the BoT "tightening not currently necessary"; base case a hike end-2026, plausibly slipping to 2027</w:t>
            </w:r>
          </w:p>
        </w:tc>
      </w:tr>
      <w:tr>
        <w:tc>
          <w:tcPr>
            <w:tcW w:type="dxa" w:w="16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cb_events (official)</w:t>
            </w:r>
          </w:p>
        </w:tc>
        <w:tc>
          <w:tcPr>
            <w:tcW w:type="dxa" w:w="45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CPI 1.23% (above the 1.065 survey), CPI MoM −0.34%</w:t>
            </w:r>
          </w:p>
        </w:tc>
        <w:tc>
          <w:tcPr>
            <w:tcW w:type="dxa" w:w="45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Headline soft, core firming — a mild underlying pickup masked by energy/food</w:t>
            </w:r>
          </w:p>
        </w:tc>
      </w:tr>
    </w:tbl>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{"type":"line","title":"Thailand CPI — headline undershoots, core firms","caption":"Headline eased to 2.42% (below the 2.8% consensus, from 2.79%) on softer fuel + food-at-home, while core edged up to 1.23% (from 0.92%). The miss reinforces the BoT's extended hold; core is the quiet firming.","unit":"% y/y","series":[{"name":"Headline CPI","color":"#2b5a86","points":[["Apr",2.6],["May",2.79],["Jun",2.42]]},{"name":"Core CPI","color":"#b5761f","points":[["Apr",0.9],["May",0.92],["Jun",1.23]]}]}</w:t>
      </w:r>
    </w:p>
    <w:p>
      <w:pPr>
        <w:spacing w:after="80" w:line="283" w:lineRule="auto"/>
      </w:pP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CPI miss anchors the front end (BoT extended hold) — receive-Thai-rates has less to fear from a hike, but DB just closed its long-bond trade (Driver 2), so the cleaner expression is FX, not duration.</w:t>
      </w:r>
    </w:p>
    <w:p>
      <w:pPr>
        <w:spacing w:before="200" w:after="60"/>
        <w:keepNext/>
        <w:pBdr>
          <w:bottom w:val="single" w:sz="4" w:space="2" w:color="E0E9E4"/>
        </w:pBdr>
      </w:pPr>
      <w:r>
        <w:rPr>
          <w:rFonts w:ascii="Georgia" w:hAnsi="Georgia"/>
          <w:b/>
          <w:color w:val="4D806A"/>
          <w:sz w:val="23"/>
        </w:rPr>
        <w:t>Driver 2 — The basic BoP is turning (DB)</w:t>
      </w:r>
    </w:p>
    <w:p>
      <w:pPr>
        <w:spacing w:before="120" w:after="40"/>
        <w:keepNext/>
      </w:pPr>
      <w:r>
        <w:rPr>
          <w:rFonts w:ascii="Public Sans" w:hAnsi="Public Sans"/>
          <w:b/>
          <w:i w:val="0"/>
          <w:color w:val="001830"/>
          <w:sz w:val="19"/>
        </w:rPr>
        <w:t>Desk-read — DB's "the other side of the FDI surge"</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1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1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DB (Asia LMW)</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Investment-related capital-goods imports are more than offsetting rising FDI inflows, keeping Thailand's basic balance under pressure</w:t>
            </w:r>
          </w:p>
        </w:tc>
        <w:tc>
          <w:tcPr>
            <w:tcW w:type="dxa" w:w="4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THB to underperform regional currencies; closes its long ThaiGB bond trade</w:t>
            </w:r>
          </w:p>
        </w:tc>
      </w:tr>
    </w:tbl>
    <w:p>
      <w:pPr>
        <w:spacing w:after="80" w:line="283" w:lineRule="auto"/>
      </w:pPr>
      <w:r>
        <w:rPr>
          <w:rFonts w:ascii="Public Sans" w:hAnsi="Public Sans"/>
          <w:b w:val="0"/>
          <w:i w:val="0"/>
          <w:color w:val="3D3E3E"/>
          <w:sz w:val="19"/>
        </w:rPr>
        <w:t>This is the C/A/BoP crack flagged the prior week (Nomura had cut 2026 C/A to −0.8% of GDP) now confirmed as a positioning change: DB moves from long ThaiGB to short-THB-underperformance.</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The benign CPI (BoT hold, rates anchored) and DB's BoP-turn (short THB) point the </w:t>
      </w:r>
      <w:r>
        <w:rPr>
          <w:rFonts w:ascii="Public Sans" w:hAnsi="Public Sans"/>
          <w:b w:val="0"/>
          <w:i/>
          <w:color w:val="3D3E3E"/>
          <w:sz w:val="19"/>
        </w:rPr>
        <w:t>same</w:t>
      </w:r>
      <w:r>
        <w:rPr>
          <w:rFonts w:ascii="Public Sans" w:hAnsi="Public Sans"/>
          <w:b w:val="0"/>
          <w:i w:val="0"/>
          <w:color w:val="3D3E3E"/>
          <w:sz w:val="19"/>
        </w:rPr>
        <w:t xml:space="preserve"> way for the baht: low inflation keeps rates low while the external balance deteriorates — a textbook FX-underperformance setup. The coherent expression is short THB, not long ThaiGB duration (which DB just exited because the bond's carry no longer compensates for the FX/BoP risk).</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short THB vs regional is the trade; the benign CPI does </w:t>
      </w:r>
      <w:r>
        <w:rPr>
          <w:rFonts w:ascii="Public Sans" w:hAnsi="Public Sans"/>
          <w:b w:val="0"/>
          <w:i/>
          <w:color w:val="3D3E3E"/>
          <w:sz w:val="19"/>
        </w:rPr>
        <w:t>not</w:t>
      </w:r>
      <w:r>
        <w:rPr>
          <w:rFonts w:ascii="Public Sans" w:hAnsi="Public Sans"/>
          <w:b w:val="0"/>
          <w:i w:val="0"/>
          <w:color w:val="3D3E3E"/>
          <w:sz w:val="19"/>
        </w:rPr>
        <w:t xml:space="preserve"> argue for long ThaiGB duration once the BoP is turning — DB's exit confirms it.</w:t>
      </w:r>
    </w:p>
    <w:p>
      <w:pPr>
        <w:spacing w:before="200" w:after="60"/>
        <w:keepNext/>
        <w:pBdr>
          <w:bottom w:val="single" w:sz="4" w:space="2" w:color="E0E9E4"/>
        </w:pBdr>
      </w:pPr>
      <w:r>
        <w:rPr>
          <w:rFonts w:ascii="Georgia" w:hAnsi="Georgia"/>
          <w:b/>
          <w:color w:val="4D806A"/>
          <w:sz w:val="23"/>
        </w:rPr>
        <w:t>Driver 3 — The baht and equity</w:t>
      </w:r>
    </w:p>
    <w:p>
      <w:pPr>
        <w:spacing w:after="80" w:line="283" w:lineRule="auto"/>
      </w:pPr>
      <w:r>
        <w:rPr>
          <w:rFonts w:ascii="Public Sans" w:hAnsi="Public Sans"/>
          <w:b w:val="0"/>
          <w:i w:val="0"/>
          <w:color w:val="3D3E3E"/>
          <w:sz w:val="19"/>
        </w:rPr>
        <w:t>THB weakened −0.4% to 33.30 (a soft ASEAN performer), consistent with the BoP turn + oil re-spike (Thailand a net energy importer). SET equities held +0.6%; consumer confidence ticked up to 44.1 (from 43.1) but remains depressed. The baht is the clean expression of the deteriorating external picture.</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Thailand is the DB "close the bond long, put on the FX short" pivot in real time: the same BoP deterioration that made ThaiGB carry unattractive makes THB the underperformer. The falsifier is oil settling back (imports fall, BoP relief) or an FDI acceleration that outpaces capital-goods imports — neither in evidence this week.</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short THB vs regional peers; do not fade it with long ThaiGB duration — the two are the same BoP risk on opposite sides.</w:t>
      </w:r>
    </w:p>
    <w:p>
      <w:pPr>
        <w:spacing w:before="200" w:after="60"/>
        <w:keepNext/>
        <w:pBdr>
          <w:bottom w:val="single" w:sz="4" w:space="2" w:color="E0E9E4"/>
        </w:pBdr>
      </w:pPr>
      <w:r>
        <w:rPr>
          <w:rFonts w:ascii="Georgia" w:hAnsi="Georgia"/>
          <w:b/>
          <w:color w:val="4D806A"/>
          <w:sz w:val="23"/>
        </w:rPr>
        <w:t>Country trade board — Thailand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5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19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40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46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14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5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T1</w:t>
            </w:r>
          </w:p>
        </w:tc>
        <w:tc>
          <w:tcPr>
            <w:tcW w:type="dxa" w:w="5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DB</w:t>
            </w:r>
          </w:p>
        </w:tc>
        <w:tc>
          <w:tcPr>
            <w:tcW w:type="dxa" w:w="19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Short THB vs regional</w:t>
            </w:r>
          </w:p>
        </w:tc>
        <w:tc>
          <w:tcPr>
            <w:tcW w:type="dxa" w:w="14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this week</w:t>
            </w:r>
          </w:p>
        </w:tc>
        <w:tc>
          <w:tcPr>
            <w:tcW w:type="dxa" w:w="46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basic BoP turning / oil retreat + FDI acceleration</w:t>
            </w:r>
          </w:p>
        </w:tc>
        <w:tc>
          <w:tcPr>
            <w:tcW w:type="dxa" w:w="14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New / evolved</w:t>
            </w:r>
          </w:p>
        </w:tc>
      </w:tr>
      <w:tr>
        <w:tc>
          <w:tcPr>
            <w:tcW w:type="dxa" w:w="5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T2</w:t>
            </w:r>
          </w:p>
        </w:tc>
        <w:tc>
          <w:tcPr>
            <w:tcW w:type="dxa" w:w="5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w:t>
            </w:r>
          </w:p>
        </w:tc>
        <w:tc>
          <w:tcPr>
            <w:tcW w:type="dxa" w:w="19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ThaiGB</w:t>
            </w:r>
          </w:p>
        </w:tc>
        <w:tc>
          <w:tcPr>
            <w:tcW w:type="dxa" w:w="14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46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14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Closed</w:t>
            </w:r>
            <w:r>
              <w:rPr>
                <w:rFonts w:ascii="Public Sans" w:hAnsi="Public Sans"/>
                <w:b w:val="0"/>
                <w:i w:val="0"/>
                <w:color w:val="3D3E3E"/>
                <w:sz w:val="16"/>
              </w:rPr>
              <w:t xml:space="preserve"> this week</w:t>
            </w:r>
          </w:p>
        </w:tc>
      </w:tr>
    </w:tbl>
    <w:p>
      <w:pPr>
        <w:spacing w:before="200" w:after="60"/>
        <w:keepNext/>
        <w:pBdr>
          <w:bottom w:val="single" w:sz="4" w:space="2" w:color="E0E9E4"/>
        </w:pBdr>
      </w:pPr>
      <w:r>
        <w:rPr>
          <w:rFonts w:ascii="Georgia" w:hAnsi="Georgia"/>
          <w:b/>
          <w:color w:val="4D806A"/>
          <w:sz w:val="23"/>
        </w:rPr>
        <w:t>Mini Argument Audit — Thailand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9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38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38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29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Benign CPI vs a weakening external balance</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Soft inflation (hold, receive) vs DB's BoP-turn (short THB, close bonds)</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Both Solid, and they point the same way for the baht.</w:t>
            </w:r>
            <w:r>
              <w:rPr>
                <w:rFonts w:ascii="Public Sans" w:hAnsi="Public Sans"/>
                <w:b w:val="0"/>
                <w:i w:val="0"/>
                <w:color w:val="3D3E3E"/>
                <w:sz w:val="16"/>
              </w:rPr>
              <w:t xml:space="preserve"> Low inflation supports a longer hold (rates anchored) while the BoP turn argues THB underperformance — the coherent expression is short THB, not long ThaiGB.</w:t>
            </w:r>
          </w:p>
        </w:tc>
      </w:tr>
    </w:tbl>
    <w:p>
      <w:pPr>
        <w:spacing w:before="200" w:after="60"/>
        <w:keepNext/>
        <w:pBdr>
          <w:bottom w:val="single" w:sz="4" w:space="2" w:color="E0E9E4"/>
        </w:pBdr>
      </w:pPr>
      <w:r>
        <w:rPr>
          <w:rFonts w:ascii="Georgia" w:hAnsi="Georgia"/>
          <w:b/>
          <w:color w:val="4D806A"/>
          <w:sz w:val="23"/>
        </w:rPr>
        <w:t>This week &amp; next week — Thailand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4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252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180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180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w:t>
            </w:r>
          </w:p>
        </w:tc>
        <w:tc>
          <w:tcPr>
            <w:tcW w:type="dxa" w:w="30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14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10 Jul</w:t>
            </w:r>
          </w:p>
        </w:tc>
        <w:tc>
          <w:tcPr>
            <w:tcW w:type="dxa" w:w="25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Gross international reserves</w:t>
            </w:r>
          </w:p>
        </w:tc>
        <w:tc>
          <w:tcPr>
            <w:tcW w:type="dxa" w:w="1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$279.3bn</w:t>
            </w:r>
          </w:p>
        </w:tc>
        <w:tc>
          <w:tcPr>
            <w:tcW w:type="dxa" w:w="1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reserves ample</w:t>
            </w:r>
          </w:p>
        </w:tc>
        <w:tc>
          <w:tcPr>
            <w:tcW w:type="dxa" w:w="30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supports FX defence capacity</w:t>
            </w:r>
          </w:p>
        </w:tc>
      </w:tr>
      <w:tr>
        <w:tc>
          <w:tcPr>
            <w:tcW w:type="dxa" w:w="14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Watch</w:t>
            </w:r>
          </w:p>
        </w:tc>
        <w:tc>
          <w:tcPr>
            <w:tcW w:type="dxa" w:w="25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BoT (next meeting)</w:t>
            </w:r>
          </w:p>
        </w:tc>
        <w:tc>
          <w:tcPr>
            <w:tcW w:type="dxa" w:w="1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1.00%</w:t>
            </w:r>
          </w:p>
        </w:tc>
        <w:tc>
          <w:tcPr>
            <w:tcW w:type="dxa" w:w="1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inflation undershoot</w:t>
            </w:r>
          </w:p>
        </w:tc>
        <w:tc>
          <w:tcPr>
            <w:tcW w:type="dxa" w:w="30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hike deferred to end-26 / 2027</w:t>
            </w:r>
          </w:p>
        </w:tc>
      </w:tr>
    </w:tbl>
    <w:p>
      <w:pPr>
        <w:spacing w:after="80" w:line="283" w:lineRule="auto"/>
      </w:pPr>
      <w:r>
        <w:rPr>
          <w:rFonts w:ascii="Public Sans" w:hAnsi="Public Sans"/>
          <w:b w:val="0"/>
          <w:i w:val="0"/>
          <w:color w:val="3D3E3E"/>
          <w:sz w:val="19"/>
        </w:rPr>
        <w:t>Positioning read: the CPI miss cements the BoT hold; DB's pivot (close ThaiGB long, short THB) is the actionable change. Express the external deterioration in FX, not duration — the two legs are the same BoP risk.</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MALAYSIA — BNM holds, more confident on growth</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BNM Overnight Policy Rate </w:t>
      </w:r>
      <w:r>
        <w:rPr>
          <w:rFonts w:ascii="Public Sans" w:hAnsi="Public Sans"/>
          <w:b/>
          <w:i w:val="0"/>
          <w:color w:val="3D3E3E"/>
          <w:sz w:val="19"/>
        </w:rPr>
        <w:t>2.75%</w:t>
      </w:r>
      <w:r>
        <w:rPr>
          <w:rFonts w:ascii="Public Sans" w:hAnsi="Public Sans"/>
          <w:b w:val="0"/>
          <w:i w:val="0"/>
          <w:color w:val="3D3E3E"/>
          <w:sz w:val="19"/>
        </w:rPr>
        <w:t xml:space="preserve"> (held 9 Jul, near-unanimous) · 10y KLIBOR </w:t>
      </w:r>
      <w:r>
        <w:rPr>
          <w:rFonts w:ascii="Public Sans" w:hAnsi="Public Sans"/>
          <w:b/>
          <w:i w:val="0"/>
          <w:color w:val="3D3E3E"/>
          <w:sz w:val="19"/>
        </w:rPr>
        <w:t>3.77%</w:t>
      </w:r>
      <w:r>
        <w:rPr>
          <w:rFonts w:ascii="Public Sans" w:hAnsi="Public Sans"/>
          <w:b w:val="0"/>
          <w:i w:val="0"/>
          <w:color w:val="3D3E3E"/>
          <w:sz w:val="19"/>
        </w:rPr>
        <w:t xml:space="preserve"> (+2bp WoW), 2y 3.50% (+2.5bp) · MYR ~flat (4.072) · IP </w:t>
      </w:r>
      <w:r>
        <w:rPr>
          <w:rFonts w:ascii="Public Sans" w:hAnsi="Public Sans"/>
          <w:b/>
          <w:i w:val="0"/>
          <w:color w:val="3D3E3E"/>
          <w:sz w:val="19"/>
        </w:rPr>
        <w:t>+8.4% y/y</w:t>
      </w:r>
      <w:r>
        <w:rPr>
          <w:rFonts w:ascii="Public Sans" w:hAnsi="Public Sans"/>
          <w:b w:val="0"/>
          <w:i w:val="0"/>
          <w:color w:val="3D3E3E"/>
          <w:sz w:val="19"/>
        </w:rPr>
        <w:t xml:space="preserve"> (June); foreign reserves </w:t>
      </w:r>
      <w:r>
        <w:rPr>
          <w:rFonts w:ascii="Public Sans" w:hAnsi="Public Sans"/>
          <w:b/>
          <w:i w:val="0"/>
          <w:color w:val="3D3E3E"/>
          <w:sz w:val="19"/>
        </w:rPr>
        <w:t>$132.6bn</w:t>
      </w:r>
      <w:r>
        <w:rPr>
          <w:rFonts w:ascii="Public Sans" w:hAnsi="Public Sans"/>
          <w:b w:val="0"/>
          <w:i w:val="0"/>
          <w:color w:val="3D3E3E"/>
          <w:sz w:val="19"/>
        </w:rPr>
        <w:t xml:space="preserve"> (from $130.5) · June CPI consensus </w:t>
      </w:r>
      <w:r>
        <w:rPr>
          <w:rFonts w:ascii="Public Sans" w:hAnsi="Public Sans"/>
          <w:b/>
          <w:i w:val="0"/>
          <w:color w:val="3D3E3E"/>
          <w:sz w:val="19"/>
        </w:rPr>
        <w:t>2.1%</w:t>
      </w:r>
      <w:r>
        <w:rPr>
          <w:rFonts w:ascii="Public Sans" w:hAnsi="Public Sans"/>
          <w:b w:val="0"/>
          <w:i w:val="0"/>
          <w:color w:val="3D3E3E"/>
          <w:sz w:val="19"/>
        </w:rPr>
        <w:t xml:space="preserve"> (17 Jul), 2Q GDP ~4.8%.</w:t>
      </w:r>
    </w:p>
    <w:p>
      <w:pPr>
        <w:spacing w:after="80" w:line="283" w:lineRule="auto"/>
      </w:pPr>
      <w:r>
        <w:rPr>
          <w:rFonts w:ascii="Public Sans" w:hAnsi="Public Sans"/>
          <w:b w:val="0"/>
          <w:i w:val="0"/>
          <w:color w:val="3D3E3E"/>
          <w:sz w:val="19"/>
        </w:rPr>
        <w:t xml:space="preserve">Malaysia is the calm ASEAN surplus/tech winner: BNM held as expected and sounded </w:t>
      </w:r>
      <w:r>
        <w:rPr>
          <w:rFonts w:ascii="Public Sans" w:hAnsi="Public Sans"/>
          <w:b w:val="0"/>
          <w:i/>
          <w:color w:val="3D3E3E"/>
          <w:sz w:val="19"/>
        </w:rPr>
        <w:t>more</w:t>
      </w:r>
      <w:r>
        <w:rPr>
          <w:rFonts w:ascii="Public Sans" w:hAnsi="Public Sans"/>
          <w:b w:val="0"/>
          <w:i w:val="0"/>
          <w:color w:val="3D3E3E"/>
          <w:sz w:val="19"/>
        </w:rPr>
        <w:t xml:space="preserve"> confident on growth.</w:t>
      </w:r>
    </w:p>
    <w:p>
      <w:pPr>
        <w:spacing w:before="200" w:after="60"/>
        <w:keepNext/>
        <w:pBdr>
          <w:bottom w:val="single" w:sz="4" w:space="2" w:color="E0E9E4"/>
        </w:pBdr>
      </w:pPr>
      <w:r>
        <w:rPr>
          <w:rFonts w:ascii="Georgia" w:hAnsi="Georgia"/>
          <w:b/>
          <w:color w:val="4D806A"/>
          <w:sz w:val="23"/>
        </w:rPr>
        <w:t>Driver 1 — A confident hold</w:t>
      </w:r>
    </w:p>
    <w:p>
      <w:pPr>
        <w:spacing w:before="120" w:after="40"/>
        <w:keepNext/>
      </w:pPr>
      <w:r>
        <w:rPr>
          <w:rFonts w:ascii="Public Sans" w:hAnsi="Public Sans"/>
          <w:b/>
          <w:i w:val="0"/>
          <w:color w:val="001830"/>
          <w:sz w:val="19"/>
        </w:rPr>
        <w:t>Desk-read — BNM on hold at 2.75%, less cautious on growth</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6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5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5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6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BNM held; statement </w:t>
            </w:r>
            <w:r>
              <w:rPr>
                <w:rFonts w:ascii="Public Sans" w:hAnsi="Public Sans"/>
                <w:b w:val="0"/>
                <w:i/>
                <w:color w:val="3D3E3E"/>
                <w:sz w:val="16"/>
              </w:rPr>
              <w:t>less</w:t>
            </w:r>
            <w:r>
              <w:rPr>
                <w:rFonts w:ascii="Public Sans" w:hAnsi="Public Sans"/>
                <w:b w:val="0"/>
                <w:i w:val="0"/>
                <w:color w:val="3D3E3E"/>
                <w:sz w:val="16"/>
              </w:rPr>
              <w:t xml:space="preserve"> cautious on global growth (tech cycle + ME de-escalation as framed around the meeting); "resilient" 2Q growth on "stronger than expected" exports; 2026 growth "firmly" in the 4–5% range; inflation "contained" on subsidies</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No imminent shift; </w:t>
            </w:r>
            <w:r>
              <w:rPr>
                <w:rFonts w:ascii="Public Sans" w:hAnsi="Public Sans"/>
                <w:b/>
                <w:i w:val="0"/>
                <w:color w:val="3D3E3E"/>
                <w:sz w:val="16"/>
              </w:rPr>
              <w:t>on hold through 2027</w:t>
            </w:r>
            <w:r>
              <w:rPr>
                <w:rFonts w:ascii="Public Sans" w:hAnsi="Public Sans"/>
                <w:b w:val="0"/>
                <w:i w:val="0"/>
                <w:color w:val="3D3E3E"/>
                <w:sz w:val="16"/>
              </w:rPr>
              <w:t xml:space="preserve">; risk tilted to a </w:t>
            </w:r>
            <w:r>
              <w:rPr>
                <w:rFonts w:ascii="Public Sans" w:hAnsi="Public Sans"/>
                <w:b w:val="0"/>
                <w:i/>
                <w:color w:val="3D3E3E"/>
                <w:sz w:val="16"/>
              </w:rPr>
              <w:t>backloaded</w:t>
            </w:r>
            <w:r>
              <w:rPr>
                <w:rFonts w:ascii="Public Sans" w:hAnsi="Public Sans"/>
                <w:b w:val="0"/>
                <w:i w:val="0"/>
                <w:color w:val="3D3E3E"/>
                <w:sz w:val="16"/>
              </w:rPr>
              <w:t xml:space="preserve"> hike only if inflation surprises up; </w:t>
            </w:r>
            <w:r>
              <w:rPr>
                <w:rFonts w:ascii="Public Sans" w:hAnsi="Public Sans"/>
                <w:b/>
                <w:i w:val="0"/>
                <w:color w:val="3D3E3E"/>
                <w:sz w:val="16"/>
              </w:rPr>
              <w:t>biased toward a stronger MYR</w:t>
            </w:r>
          </w:p>
        </w:tc>
      </w:tr>
      <w:tr>
        <w:tc>
          <w:tcPr>
            <w:tcW w:type="dxa" w:w="16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cb_events (official)</w:t>
            </w:r>
          </w:p>
        </w:tc>
        <w:tc>
          <w:tcPr>
            <w:tcW w:type="dxa" w:w="45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OPR 2.75% (unchanged); IP +8.4% y/y (above the 8.2% prior)</w:t>
            </w:r>
          </w:p>
        </w:tc>
        <w:tc>
          <w:tcPr>
            <w:tcW w:type="dxa" w:w="45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Export-led resilience confirmed</w:t>
            </w:r>
          </w:p>
        </w:tc>
      </w:tr>
    </w:tbl>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{"type":"bar","title":"Malaysia — a confident hold on export-led resilience","caption":"BNM held OPR at 2.75% (9 Jul). Growth placed 'firmly' in the 4–5% range on 'stronger than expected' exports; IP +8.4% y/y. Citi: on hold through 2027, stronger-MYR bias. CPI ~2.0–2.1%, contained by subsidies.","unit":"%","series":[{"name":"Malaysia","color":"#1f6b4f","points":[["OPR",2.75],["IP y/y",8.4],["CPI y/y",2.0],["2Q GDP e",4.8]]}]}</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Citi's "on hold through 2027 + stronger MYR" and the +8.4% IP print agree: an export/AI-widened surplus with contained inflation gives BNM no reason to move and gives the ringgit a fundamental bid. The only thing that reopens the debate is the 17 July CPI surprising up — low probability given the subsidy cushion.</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stronger-MYR bias is the cleaner expression than a rates trade; BNM is parked, so the ringgit carries the surplus story.</w:t>
      </w:r>
    </w:p>
    <w:p>
      <w:pPr>
        <w:spacing w:before="200" w:after="60"/>
        <w:keepNext/>
        <w:pBdr>
          <w:bottom w:val="single" w:sz="4" w:space="2" w:color="E0E9E4"/>
        </w:pBdr>
      </w:pPr>
      <w:r>
        <w:rPr>
          <w:rFonts w:ascii="Georgia" w:hAnsi="Georgia"/>
          <w:b/>
          <w:color w:val="4D806A"/>
          <w:sz w:val="23"/>
        </w:rPr>
        <w:t>Driver 2 — Exports and the AI-widened surplus</w:t>
      </w:r>
    </w:p>
    <w:p>
      <w:pPr>
        <w:spacing w:after="80" w:line="283" w:lineRule="auto"/>
      </w:pPr>
      <w:r>
        <w:rPr>
          <w:rFonts w:ascii="Public Sans" w:hAnsi="Public Sans"/>
          <w:b w:val="0"/>
          <w:i w:val="0"/>
          <w:color w:val="3D3E3E"/>
          <w:sz w:val="19"/>
        </w:rPr>
        <w:t xml:space="preserve">IP +8.4% y/y (above the 8.2% prior) confirms the export-led resilience; reserves rose to $132.6bn (from $130.5). Malaysia is a net-exporter tech/commodity play whose current-account surplus widens with the AI/semi cycle — the mirror of the twin-deficit importers (PH/ID). Lower Brent relatively </w:t>
      </w:r>
      <w:r>
        <w:rPr>
          <w:rFonts w:ascii="Public Sans" w:hAnsi="Public Sans"/>
          <w:b w:val="0"/>
          <w:i/>
          <w:color w:val="3D3E3E"/>
          <w:sz w:val="19"/>
        </w:rPr>
        <w:t>hurts</w:t>
      </w:r>
      <w:r>
        <w:rPr>
          <w:rFonts w:ascii="Public Sans" w:hAnsi="Public Sans"/>
          <w:b w:val="0"/>
          <w:i w:val="0"/>
          <w:color w:val="3D3E3E"/>
          <w:sz w:val="19"/>
        </w:rPr>
        <w:t xml:space="preserve"> net-exporter Malaysia's terms of trade, but the oil re-spike this week was a marginal terms-of-trade positive.</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Malaysia is the ASEAN surplus/carry expression; the ringgit benefits from both the tech surplus and (marginally) the oil re-spike (net exporter).</w:t>
      </w:r>
    </w:p>
    <w:p>
      <w:pPr>
        <w:spacing w:before="200" w:after="60"/>
        <w:keepNext/>
        <w:pBdr>
          <w:bottom w:val="single" w:sz="4" w:space="2" w:color="E0E9E4"/>
        </w:pBdr>
      </w:pPr>
      <w:r>
        <w:rPr>
          <w:rFonts w:ascii="Georgia" w:hAnsi="Georgia"/>
          <w:b/>
          <w:color w:val="4D806A"/>
          <w:sz w:val="23"/>
        </w:rPr>
        <w:t>Driver 3 — The ringgit and the quiet carry</w:t>
      </w:r>
    </w:p>
    <w:p>
      <w:pPr>
        <w:spacing w:after="80" w:line="283" w:lineRule="auto"/>
      </w:pPr>
      <w:r>
        <w:rPr>
          <w:rFonts w:ascii="Public Sans" w:hAnsi="Public Sans"/>
          <w:b w:val="0"/>
          <w:i w:val="0"/>
          <w:color w:val="3D3E3E"/>
          <w:sz w:val="19"/>
        </w:rPr>
        <w:t>MYR was essentially flat (4.072) on the week — a quiet, stable carry currency backed by the surplus and a parked BNM. Citi's stronger-MYR bias rests on the AI-widened surplus + resilient growth; the ringgit is the low-vol expression of the "North-surplus" side of the oil-shock barbell.</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Malaysia is the low-vol long on the surplus side of the barbell: BNM parked to 2027, contained inflation, an AI-widened C/A surplus, and a net-exporter terms-of-trade that the oil re-spike marginally helps. Long MYR is the carry/quality expression against short IDR/THB (the strained importers). The falsifier is a CPI upside surprise (17 Jul) that reopens a BNM hike — low probability.</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long MYR (vs the twin-deficit importers) is the barbell's surplus-side expression; the 17 July CPI is the only thing that reopens BNM.</w:t>
      </w:r>
    </w:p>
    <w:p>
      <w:pPr>
        <w:spacing w:before="200" w:after="60"/>
        <w:keepNext/>
        <w:pBdr>
          <w:bottom w:val="single" w:sz="4" w:space="2" w:color="E0E9E4"/>
        </w:pBdr>
      </w:pPr>
      <w:r>
        <w:rPr>
          <w:rFonts w:ascii="Georgia" w:hAnsi="Georgia"/>
          <w:b/>
          <w:color w:val="4D806A"/>
          <w:sz w:val="23"/>
        </w:rPr>
        <w:t>Country trade board — Malaysia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5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29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2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46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67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5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M1</w:t>
            </w:r>
          </w:p>
        </w:tc>
        <w:tc>
          <w:tcPr>
            <w:tcW w:type="dxa" w:w="5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w:t>
            </w:r>
          </w:p>
        </w:tc>
        <w:tc>
          <w:tcPr>
            <w:tcW w:type="dxa" w:w="29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 MYR (stronger-MYR bias)</w:t>
            </w:r>
          </w:p>
        </w:tc>
        <w:tc>
          <w:tcPr>
            <w:tcW w:type="dxa" w:w="12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~4.072</w:t>
            </w:r>
          </w:p>
        </w:tc>
        <w:tc>
          <w:tcPr>
            <w:tcW w:type="dxa" w:w="4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AI-widened surplus, resilient growth / CPI upside surprise</w:t>
            </w:r>
          </w:p>
        </w:tc>
        <w:tc>
          <w:tcPr>
            <w:tcW w:type="dxa" w:w="6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Persists</w:t>
            </w:r>
          </w:p>
        </w:tc>
      </w:tr>
      <w:tr>
        <w:tc>
          <w:tcPr>
            <w:tcW w:type="dxa" w:w="5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M2</w:t>
            </w:r>
          </w:p>
        </w:tc>
        <w:tc>
          <w:tcPr>
            <w:tcW w:type="dxa" w:w="5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RV read</w:t>
            </w:r>
          </w:p>
        </w:tc>
        <w:tc>
          <w:tcPr>
            <w:tcW w:type="dxa" w:w="29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MYR vs short IDR/THB (barbell)</w:t>
            </w:r>
          </w:p>
        </w:tc>
        <w:tc>
          <w:tcPr>
            <w:tcW w:type="dxa" w:w="12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this week</w:t>
            </w:r>
          </w:p>
        </w:tc>
        <w:tc>
          <w:tcPr>
            <w:tcW w:type="dxa" w:w="46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surplus vs twin-deficit divergence</w:t>
            </w:r>
          </w:p>
        </w:tc>
        <w:tc>
          <w:tcPr>
            <w:tcW w:type="dxa" w:w="67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Tactical</w:t>
            </w:r>
          </w:p>
        </w:tc>
      </w:tr>
    </w:tbl>
    <w:p>
      <w:pPr>
        <w:spacing w:before="200" w:after="60"/>
        <w:keepNext/>
        <w:pBdr>
          <w:bottom w:val="single" w:sz="4" w:space="2" w:color="E0E9E4"/>
        </w:pBdr>
      </w:pPr>
      <w:r>
        <w:rPr>
          <w:rFonts w:ascii="Georgia" w:hAnsi="Georgia"/>
          <w:b/>
          <w:color w:val="4D806A"/>
          <w:sz w:val="23"/>
        </w:rPr>
        <w:t>Mini Argument Audit — Malaysia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62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401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401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26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On hold to 2027 vs a backloaded hike</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"on hold, stronger MYR" vs the upside-inflation tail</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On-hold Solid.</w:t>
            </w:r>
            <w:r>
              <w:rPr>
                <w:rFonts w:ascii="Public Sans" w:hAnsi="Public Sans"/>
                <w:b w:val="0"/>
                <w:i w:val="0"/>
                <w:color w:val="3D3E3E"/>
                <w:sz w:val="16"/>
              </w:rPr>
              <w:t xml:space="preserve"> Contained inflation (2.0–2.1%), subsidy cushion, an AI-widened surplus support a long hold; only a CPI upside surprise (17 Jul) reopens the debate. The stronger-MYR bias is the cleaner expression than a rates trade.</w:t>
            </w:r>
          </w:p>
        </w:tc>
      </w:tr>
    </w:tbl>
    <w:p>
      <w:pPr>
        <w:spacing w:before="200" w:after="60"/>
        <w:keepNext/>
        <w:pBdr>
          <w:bottom w:val="single" w:sz="4" w:space="2" w:color="E0E9E4"/>
        </w:pBdr>
      </w:pPr>
      <w:r>
        <w:rPr>
          <w:rFonts w:ascii="Georgia" w:hAnsi="Georgia"/>
          <w:b/>
          <w:color w:val="4D806A"/>
          <w:sz w:val="23"/>
        </w:rPr>
        <w:t>This week &amp; next week — Malaysia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4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110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21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24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w:t>
            </w:r>
          </w:p>
        </w:tc>
        <w:tc>
          <w:tcPr>
            <w:tcW w:type="dxa" w:w="34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14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17 Jul</w:t>
            </w:r>
          </w:p>
        </w:tc>
        <w:tc>
          <w:tcPr>
            <w:tcW w:type="dxa" w:w="11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+ 2Q GDP</w:t>
            </w:r>
          </w:p>
        </w:tc>
        <w:tc>
          <w:tcPr>
            <w:tcW w:type="dxa" w:w="21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2.1% y/y; GDP ~4.8%</w:t>
            </w:r>
          </w:p>
        </w:tc>
        <w:tc>
          <w:tcPr>
            <w:tcW w:type="dxa" w:w="2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subsidies contain inflation</w:t>
            </w:r>
          </w:p>
        </w:tc>
        <w:tc>
          <w:tcPr>
            <w:tcW w:type="dxa" w:w="34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only a CPI upside surprise reopens BNM</w:t>
            </w:r>
          </w:p>
        </w:tc>
      </w:tr>
      <w:tr>
        <w:tc>
          <w:tcPr>
            <w:tcW w:type="dxa" w:w="14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Watch</w:t>
            </w:r>
          </w:p>
        </w:tc>
        <w:tc>
          <w:tcPr>
            <w:tcW w:type="dxa" w:w="11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BNM (next)</w:t>
            </w:r>
          </w:p>
        </w:tc>
        <w:tc>
          <w:tcPr>
            <w:tcW w:type="dxa" w:w="21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2.75%</w:t>
            </w:r>
          </w:p>
        </w:tc>
        <w:tc>
          <w:tcPr>
            <w:tcW w:type="dxa" w:w="2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contained inflation</w:t>
            </w:r>
          </w:p>
        </w:tc>
        <w:tc>
          <w:tcPr>
            <w:tcW w:type="dxa" w:w="34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on hold through 2027 (Citi)</w:t>
            </w:r>
          </w:p>
        </w:tc>
      </w:tr>
    </w:tbl>
    <w:p>
      <w:pPr>
        <w:spacing w:after="80" w:line="283" w:lineRule="auto"/>
      </w:pPr>
      <w:r>
        <w:rPr>
          <w:rFonts w:ascii="Public Sans" w:hAnsi="Public Sans"/>
          <w:b w:val="0"/>
          <w:i w:val="0"/>
          <w:color w:val="3D3E3E"/>
          <w:sz w:val="19"/>
        </w:rPr>
        <w:t>Positioning read: BNM is parked and confident; the ringgit carries the surplus story. Long MYR — outright and vs the twin-deficit importers (IDR/THB) — is the barbell's surplus-side expression, with the 17 July CPI the only near-term risk.</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PHILIPPINES — the clearest hiker; headline eases, core does not</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June CPI </w:t>
      </w:r>
      <w:r>
        <w:rPr>
          <w:rFonts w:ascii="Public Sans" w:hAnsi="Public Sans"/>
          <w:b/>
          <w:i w:val="0"/>
          <w:color w:val="3D3E3E"/>
          <w:sz w:val="19"/>
        </w:rPr>
        <w:t>6.4% y/y</w:t>
      </w:r>
      <w:r>
        <w:rPr>
          <w:rFonts w:ascii="Public Sans" w:hAnsi="Public Sans"/>
          <w:b w:val="0"/>
          <w:i w:val="0"/>
          <w:color w:val="3D3E3E"/>
          <w:sz w:val="19"/>
        </w:rPr>
        <w:t xml:space="preserve"> (from 6.8%, 2nd straight moderation); </w:t>
      </w:r>
      <w:r>
        <w:rPr>
          <w:rFonts w:ascii="Public Sans" w:hAnsi="Public Sans"/>
          <w:b/>
          <w:i w:val="0"/>
          <w:color w:val="3D3E3E"/>
          <w:sz w:val="19"/>
        </w:rPr>
        <w:t>core rose to 4.4%</w:t>
      </w:r>
      <w:r>
        <w:rPr>
          <w:rFonts w:ascii="Public Sans" w:hAnsi="Public Sans"/>
          <w:b w:val="0"/>
          <w:i w:val="0"/>
          <w:color w:val="3D3E3E"/>
          <w:sz w:val="19"/>
        </w:rPr>
        <w:t xml:space="preserve"> (from 4.1%) · BSP policy (overnight borrowing/RRP) </w:t>
      </w:r>
      <w:r>
        <w:rPr>
          <w:rFonts w:ascii="Public Sans" w:hAnsi="Public Sans"/>
          <w:b/>
          <w:i w:val="0"/>
          <w:color w:val="3D3E3E"/>
          <w:sz w:val="19"/>
        </w:rPr>
        <w:t>4.75%</w:t>
      </w:r>
      <w:r>
        <w:rPr>
          <w:rFonts w:ascii="Public Sans" w:hAnsi="Public Sans"/>
          <w:b w:val="0"/>
          <w:i w:val="0"/>
          <w:color w:val="3D3E3E"/>
          <w:sz w:val="19"/>
        </w:rPr>
        <w:t xml:space="preserve"> (hiked +25bp 18 Jun) · 10y PHIREF </w:t>
      </w:r>
      <w:r>
        <w:rPr>
          <w:rFonts w:ascii="Public Sans" w:hAnsi="Public Sans"/>
          <w:b/>
          <w:i w:val="0"/>
          <w:color w:val="3D3E3E"/>
          <w:sz w:val="19"/>
        </w:rPr>
        <w:t>6.08%</w:t>
      </w:r>
      <w:r>
        <w:rPr>
          <w:rFonts w:ascii="Public Sans" w:hAnsi="Public Sans"/>
          <w:b w:val="0"/>
          <w:i w:val="0"/>
          <w:color w:val="3D3E3E"/>
          <w:sz w:val="19"/>
        </w:rPr>
        <w:t xml:space="preserve"> (~flat, stale onshore curve), 2y 5.71% · PHP ~flat (61.55); unemployment </w:t>
      </w:r>
      <w:r>
        <w:rPr>
          <w:rFonts w:ascii="Public Sans" w:hAnsi="Public Sans"/>
          <w:b/>
          <w:i w:val="0"/>
          <w:color w:val="3D3E3E"/>
          <w:sz w:val="19"/>
        </w:rPr>
        <w:t>4.8%</w:t>
      </w:r>
      <w:r>
        <w:rPr>
          <w:rFonts w:ascii="Public Sans" w:hAnsi="Public Sans"/>
          <w:b w:val="0"/>
          <w:i w:val="0"/>
          <w:color w:val="3D3E3E"/>
          <w:sz w:val="19"/>
        </w:rPr>
        <w:t xml:space="preserve"> (from 4.7%); reserves </w:t>
      </w:r>
      <w:r>
        <w:rPr>
          <w:rFonts w:ascii="Public Sans" w:hAnsi="Public Sans"/>
          <w:b/>
          <w:i w:val="0"/>
          <w:color w:val="3D3E3E"/>
          <w:sz w:val="19"/>
        </w:rPr>
        <w:t>$104.8bn</w:t>
      </w:r>
      <w:r>
        <w:rPr>
          <w:rFonts w:ascii="Public Sans" w:hAnsi="Public Sans"/>
          <w:b w:val="0"/>
          <w:i w:val="0"/>
          <w:color w:val="3D3E3E"/>
          <w:sz w:val="19"/>
        </w:rPr>
        <w:t>.</w:t>
      </w:r>
    </w:p>
    <w:p>
      <w:pPr>
        <w:spacing w:after="80" w:line="283" w:lineRule="auto"/>
      </w:pPr>
      <w:r>
        <w:rPr>
          <w:rFonts w:ascii="Public Sans" w:hAnsi="Public Sans"/>
          <w:b w:val="0"/>
          <w:i w:val="0"/>
          <w:color w:val="3D3E3E"/>
          <w:sz w:val="19"/>
        </w:rPr>
        <w:t xml:space="preserve">The Philippines remains the universe's clearest hiker, with a deeply negative real policy rate (4.75% against 6.4% inflation) and a core rate still </w:t>
      </w:r>
      <w:r>
        <w:rPr>
          <w:rFonts w:ascii="Public Sans" w:hAnsi="Public Sans"/>
          <w:b w:val="0"/>
          <w:i/>
          <w:color w:val="3D3E3E"/>
          <w:sz w:val="19"/>
        </w:rPr>
        <w:t>rising</w:t>
      </w:r>
      <w:r>
        <w:rPr>
          <w:rFonts w:ascii="Public Sans" w:hAnsi="Public Sans"/>
          <w:b w:val="0"/>
          <w:i w:val="0"/>
          <w:color w:val="3D3E3E"/>
          <w:sz w:val="19"/>
        </w:rPr>
        <w:t xml:space="preserve"> even as headline eases.</w:t>
      </w:r>
    </w:p>
    <w:p>
      <w:pPr>
        <w:spacing w:before="200" w:after="60"/>
        <w:keepNext/>
        <w:pBdr>
          <w:bottom w:val="single" w:sz="4" w:space="2" w:color="E0E9E4"/>
        </w:pBdr>
      </w:pPr>
      <w:r>
        <w:rPr>
          <w:rFonts w:ascii="Georgia" w:hAnsi="Georgia"/>
          <w:b/>
          <w:color w:val="4D806A"/>
          <w:sz w:val="23"/>
        </w:rPr>
        <w:t>Driver 1 — Headline down, core up</w:t>
      </w:r>
    </w:p>
    <w:p>
      <w:pPr>
        <w:spacing w:before="120" w:after="40"/>
        <w:keepNext/>
      </w:pPr>
      <w:r>
        <w:rPr>
          <w:rFonts w:ascii="Public Sans" w:hAnsi="Public Sans"/>
          <w:b/>
          <w:i w:val="0"/>
          <w:color w:val="001830"/>
          <w:sz w:val="19"/>
        </w:rPr>
        <w:t>Desk-read — CPI 6.4%, core 4.4%</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6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5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5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6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UBS</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Headline eased to 6.4% (from 6.8%) on slower fuel (38.8% y/y from 53.0%) and food (5.4% from 5.8%); </w:t>
            </w:r>
            <w:r>
              <w:rPr>
                <w:rFonts w:ascii="Public Sans" w:hAnsi="Public Sans"/>
                <w:b/>
                <w:i w:val="0"/>
                <w:color w:val="3D3E3E"/>
                <w:sz w:val="16"/>
              </w:rPr>
              <w:t>core accelerated to 4.4%</w:t>
            </w:r>
            <w:r>
              <w:rPr>
                <w:rFonts w:ascii="Public Sans" w:hAnsi="Public Sans"/>
                <w:b w:val="0"/>
                <w:i w:val="0"/>
                <w:color w:val="3D3E3E"/>
                <w:sz w:val="16"/>
              </w:rPr>
              <w:t xml:space="preserve"> (from 4.1%) on health, education, travel, restaurants — broadening pressure</w:t>
            </w:r>
          </w:p>
        </w:tc>
        <w:tc>
          <w:tcPr>
            <w:tcW w:type="dxa" w:w="45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BSP Gov Remolona says the economy can absorb another hike → UBS calls </w:t>
            </w:r>
            <w:r>
              <w:rPr>
                <w:rFonts w:ascii="Public Sans" w:hAnsi="Public Sans"/>
                <w:b/>
                <w:i w:val="0"/>
                <w:color w:val="3D3E3E"/>
                <w:sz w:val="16"/>
              </w:rPr>
              <w:t>+25bp in August</w:t>
            </w:r>
          </w:p>
        </w:tc>
      </w:tr>
      <w:tr>
        <w:tc>
          <w:tcPr>
            <w:tcW w:type="dxa" w:w="16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cb_events (official)</w:t>
            </w:r>
          </w:p>
        </w:tc>
        <w:tc>
          <w:tcPr>
            <w:tcW w:type="dxa" w:w="45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CPI 6.4% (vs 6.5 survey), core the tell</w:t>
            </w:r>
          </w:p>
        </w:tc>
        <w:tc>
          <w:tcPr>
            <w:tcW w:type="dxa" w:w="45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Headline moderating, underlying still building</w:t>
            </w:r>
          </w:p>
        </w:tc>
      </w:tr>
    </w:tbl>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{"type":"line","title":"Philippines — headline eases but core is still rising","caption":"Headline CPI fell to 6.4% (from 6.8%) on slower fuel/food, but core accelerated to 4.4% (from 4.1%) on services — broadening pressure. Against a 4.75% policy rate, the real rate is deeply negative. UBS calls +25bp in August.","unit":"% y/y","series":[{"name":"Headline CPI","color":"#a1382f","points":[["Apr",7.0],["May",6.8],["Jun",6.4]]},{"name":"Core CPI","color":"#b5761f","points":[["Apr",4.0],["May",4.1],["Jun",4.4]]}]}</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The headline-down / core-up split is the tell: the moderation is </w:t>
      </w:r>
      <w:r>
        <w:rPr>
          <w:rFonts w:ascii="Public Sans" w:hAnsi="Public Sans"/>
          <w:b w:val="0"/>
          <w:i/>
          <w:color w:val="3D3E3E"/>
          <w:sz w:val="19"/>
        </w:rPr>
        <w:t>entirely</w:t>
      </w:r>
      <w:r>
        <w:rPr>
          <w:rFonts w:ascii="Public Sans" w:hAnsi="Public Sans"/>
          <w:b w:val="0"/>
          <w:i w:val="0"/>
          <w:color w:val="3D3E3E"/>
          <w:sz w:val="19"/>
        </w:rPr>
        <w:t xml:space="preserve"> volatile items (fuel, food), while the underlying (services) is still building. That is exactly why BSP stays hawkish despite two months of easing headline — the core, not the headline, is the reaction function. Remolona's "can absorb another hike" confirms it.</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core dynamic keeps BSP hawkish — position for the August +25 (UBS); the easing headline is a red herring for the policy path.</w:t>
      </w:r>
    </w:p>
    <w:p>
      <w:pPr>
        <w:spacing w:before="200" w:after="60"/>
        <w:keepNext/>
        <w:pBdr>
          <w:bottom w:val="single" w:sz="4" w:space="2" w:color="E0E9E4"/>
        </w:pBdr>
      </w:pPr>
      <w:r>
        <w:rPr>
          <w:rFonts w:ascii="Georgia" w:hAnsi="Georgia"/>
          <w:b/>
          <w:color w:val="4D806A"/>
          <w:sz w:val="23"/>
        </w:rPr>
        <w:t>Driver 2 — BSP's hike bias and the negative real rate</w:t>
      </w:r>
    </w:p>
    <w:p>
      <w:pPr>
        <w:spacing w:after="80" w:line="283" w:lineRule="auto"/>
      </w:pPr>
      <w:r>
        <w:rPr>
          <w:rFonts w:ascii="Public Sans" w:hAnsi="Public Sans"/>
          <w:b w:val="0"/>
          <w:i w:val="0"/>
          <w:color w:val="3D3E3E"/>
          <w:sz w:val="19"/>
        </w:rPr>
        <w:t>The policy rate (RRP 4.75%) sits deeply negative in real terms against 6.4% inflation. Governor Remolona's explicit signal that the economy can absorb another increase, plus a core rate broadening to 4.4%, underpins UBS's August +25 call. DB has RPGB "on the radar" pending better inflation dynamics — not yet a buy, awaiting the inflation turn.</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The Philippines is the universe's clearest hiker: a 4.75% policy rate against 6.4% inflation (deeply negative real) with a </w:t>
      </w:r>
      <w:r>
        <w:rPr>
          <w:rFonts w:ascii="Public Sans" w:hAnsi="Public Sans"/>
          <w:b w:val="0"/>
          <w:i/>
          <w:color w:val="3D3E3E"/>
          <w:sz w:val="19"/>
        </w:rPr>
        <w:t>rising</w:t>
      </w:r>
      <w:r>
        <w:rPr>
          <w:rFonts w:ascii="Public Sans" w:hAnsi="Public Sans"/>
          <w:b w:val="0"/>
          <w:i w:val="0"/>
          <w:color w:val="3D3E3E"/>
          <w:sz w:val="19"/>
        </w:rPr>
        <w:t xml:space="preserve"> core and a governor flagging capacity for another move. Position for the August +25; the RPGB is a "wait for the inflation turn" (DB), not a buy — the falsifier for the hawkish view is a decisive core roll-over, not the headline easing that just printed.</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position for the August BSP +25; stay sidelined on RPGB until the core turns (DB), and treat the peso as broadly stable (peg-like management) rather than a directional bet.</w:t>
      </w:r>
    </w:p>
    <w:p>
      <w:pPr>
        <w:spacing w:before="200" w:after="60"/>
        <w:keepNext/>
        <w:pBdr>
          <w:bottom w:val="single" w:sz="4" w:space="2" w:color="E0E9E4"/>
        </w:pBdr>
      </w:pPr>
      <w:r>
        <w:rPr>
          <w:rFonts w:ascii="Georgia" w:hAnsi="Georgia"/>
          <w:b/>
          <w:color w:val="4D806A"/>
          <w:sz w:val="23"/>
        </w:rPr>
        <w:t>Driver 3 — El Niño as the upside-inflation tail</w:t>
      </w:r>
    </w:p>
    <w:p>
      <w:pPr>
        <w:spacing w:after="80" w:line="283" w:lineRule="auto"/>
      </w:pPr>
      <w:r>
        <w:rPr>
          <w:rFonts w:ascii="Public Sans" w:hAnsi="Public Sans"/>
          <w:b w:val="0"/>
          <w:i w:val="0"/>
          <w:color w:val="3D3E3E"/>
          <w:sz w:val="19"/>
        </w:rPr>
        <w:t>UBS flags El Niño as a bigger upside-inflation risk for the Philippines than for its regional peers (food-import dependence, agricultural exposure). Combined with the oil re-spike (net importer), the risks to the inflation path — and thus the BSP hike path — are skewed up. Reserves rose to $104.8bn, supporting the peso and BSP's flexibility.</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El Niño + oil risks skew the BSP path hawkish — the August +25 is the base case with upside to more if food/energy re-accelerate.</w:t>
      </w:r>
    </w:p>
    <w:p>
      <w:pPr>
        <w:spacing w:before="200" w:after="60"/>
        <w:keepNext/>
        <w:pBdr>
          <w:bottom w:val="single" w:sz="4" w:space="2" w:color="E0E9E4"/>
        </w:pBdr>
      </w:pPr>
      <w:r>
        <w:rPr>
          <w:rFonts w:ascii="Georgia" w:hAnsi="Georgia"/>
          <w:b/>
          <w:color w:val="4D806A"/>
          <w:sz w:val="23"/>
        </w:rPr>
        <w:t>Country trade board — Philippines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5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35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4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384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5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5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P1</w:t>
            </w:r>
          </w:p>
        </w:tc>
        <w:tc>
          <w:tcPr>
            <w:tcW w:type="dxa" w:w="5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w:t>
            </w:r>
          </w:p>
        </w:tc>
        <w:tc>
          <w:tcPr>
            <w:tcW w:type="dxa" w:w="35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Position for +25bp BSP hike (August)</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this week</w:t>
            </w:r>
          </w:p>
        </w:tc>
        <w:tc>
          <w:tcPr>
            <w:tcW w:type="dxa" w:w="38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4.4%, hawkish BSP / core roll-over</w:t>
            </w:r>
          </w:p>
        </w:tc>
        <w:tc>
          <w:tcPr>
            <w:tcW w:type="dxa" w:w="5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New</w:t>
            </w:r>
          </w:p>
        </w:tc>
      </w:tr>
      <w:tr>
        <w:tc>
          <w:tcPr>
            <w:tcW w:type="dxa" w:w="5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P2</w:t>
            </w:r>
          </w:p>
        </w:tc>
        <w:tc>
          <w:tcPr>
            <w:tcW w:type="dxa" w:w="5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w:t>
            </w:r>
          </w:p>
        </w:tc>
        <w:tc>
          <w:tcPr>
            <w:tcW w:type="dxa" w:w="35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RPGB — on radar, not yet a buy</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38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awaiting the inflation turn</w:t>
            </w:r>
          </w:p>
        </w:tc>
        <w:tc>
          <w:tcPr>
            <w:tcW w:type="dxa" w:w="5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Watch</w:t>
            </w:r>
          </w:p>
        </w:tc>
      </w:tr>
    </w:tbl>
    <w:p>
      <w:pPr>
        <w:spacing w:before="200" w:after="60"/>
        <w:keepNext/>
        <w:pBdr>
          <w:bottom w:val="single" w:sz="4" w:space="2" w:color="E0E9E4"/>
        </w:pBdr>
      </w:pPr>
      <w:r>
        <w:rPr>
          <w:rFonts w:ascii="Georgia" w:hAnsi="Georgia"/>
          <w:b/>
          <w:color w:val="4D806A"/>
          <w:sz w:val="23"/>
        </w:rPr>
        <w:t>Mini Argument Audit — Philippines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300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371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39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300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Is the easing headline enough to stop BSP?</w:t>
            </w:r>
          </w:p>
        </w:tc>
        <w:tc>
          <w:tcPr>
            <w:tcW w:type="dxa" w:w="37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Headline down 2 months vs core up + Remolona hawkish</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Hike-bias Solid.</w:t>
            </w:r>
            <w:r>
              <w:rPr>
                <w:rFonts w:ascii="Public Sans" w:hAnsi="Public Sans"/>
                <w:b w:val="0"/>
                <w:i w:val="0"/>
                <w:color w:val="3D3E3E"/>
                <w:sz w:val="16"/>
              </w:rPr>
              <w:t xml:space="preserve"> With core rising to 4.4%, a 4.75% policy rate deeply negative in real terms, and the governor flagging capacity for another move, the August +25 (UBS) is well-grounded. El Niño + oil are the upside tail.</w:t>
            </w:r>
          </w:p>
        </w:tc>
      </w:tr>
    </w:tbl>
    <w:p>
      <w:pPr>
        <w:spacing w:before="200" w:after="60"/>
        <w:keepNext/>
        <w:pBdr>
          <w:bottom w:val="single" w:sz="4" w:space="2" w:color="E0E9E4"/>
        </w:pBdr>
      </w:pPr>
      <w:r>
        <w:rPr>
          <w:rFonts w:ascii="Georgia" w:hAnsi="Georgia"/>
          <w:b/>
          <w:color w:val="4D806A"/>
          <w:sz w:val="23"/>
        </w:rPr>
        <w:t>This week &amp; next week — Philippines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69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25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22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16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w:t>
            </w:r>
          </w:p>
        </w:tc>
        <w:tc>
          <w:tcPr>
            <w:tcW w:type="dxa" w:w="338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6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w:t>
            </w:r>
          </w:p>
        </w:tc>
        <w:tc>
          <w:tcPr>
            <w:tcW w:type="dxa" w:w="25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Foreign reserves (printed)</w:t>
            </w:r>
          </w:p>
        </w:tc>
        <w:tc>
          <w:tcPr>
            <w:tcW w:type="dxa" w:w="22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$104.8bn (from $103.97)</w:t>
            </w:r>
          </w:p>
        </w:tc>
        <w:tc>
          <w:tcPr>
            <w:tcW w:type="dxa" w:w="16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reserves building</w:t>
            </w:r>
          </w:p>
        </w:tc>
        <w:tc>
          <w:tcPr>
            <w:tcW w:type="dxa" w:w="33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supports the peso</w:t>
            </w:r>
          </w:p>
        </w:tc>
      </w:tr>
      <w:tr>
        <w:tc>
          <w:tcPr>
            <w:tcW w:type="dxa" w:w="6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Watch</w:t>
            </w:r>
          </w:p>
        </w:tc>
        <w:tc>
          <w:tcPr>
            <w:tcW w:type="dxa" w:w="25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BSP (August)</w:t>
            </w:r>
          </w:p>
        </w:tc>
        <w:tc>
          <w:tcPr>
            <w:tcW w:type="dxa" w:w="22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+25bp likely (UBS)</w:t>
            </w:r>
          </w:p>
        </w:tc>
        <w:tc>
          <w:tcPr>
            <w:tcW w:type="dxa" w:w="16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stays firm</w:t>
            </w:r>
          </w:p>
        </w:tc>
        <w:tc>
          <w:tcPr>
            <w:tcW w:type="dxa" w:w="338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El Niño + oil the upside risk</w:t>
            </w:r>
          </w:p>
        </w:tc>
      </w:tr>
    </w:tbl>
    <w:p>
      <w:pPr>
        <w:spacing w:after="80" w:line="283" w:lineRule="auto"/>
      </w:pPr>
      <w:r>
        <w:rPr>
          <w:rFonts w:ascii="Public Sans" w:hAnsi="Public Sans"/>
          <w:b w:val="0"/>
          <w:i w:val="0"/>
          <w:color w:val="3D3E3E"/>
          <w:sz w:val="19"/>
        </w:rPr>
        <w:t>Positioning read: the core dynamic (4.4% and rising) keeps BSP the universe's clearest hiker — position for the August +25. RPGB waits on the inflation turn; the peso is broadly stable. The easing headline is not the reaction function; the core is.</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INDIA — a summer of hope meets a re-spiking barrel</w:t>
      </w:r>
    </w:p>
    <w:p>
      <w:pPr>
        <w:spacing w:after="80" w:line="283" w:lineRule="auto"/>
      </w:pPr>
      <w:r>
        <w:rPr>
          <w:rFonts w:ascii="Public Sans" w:hAnsi="Public Sans"/>
          <w:b/>
          <w:i w:val="0"/>
          <w:color w:val="3D3E3E"/>
          <w:sz w:val="19"/>
        </w:rPr>
        <w:t>Hero line:</w:t>
      </w:r>
      <w:r>
        <w:rPr>
          <w:rFonts w:ascii="Public Sans" w:hAnsi="Public Sans"/>
          <w:b w:val="0"/>
          <w:i w:val="0"/>
          <w:color w:val="3D3E3E"/>
          <w:sz w:val="19"/>
        </w:rPr>
        <w:t xml:space="preserve"> June CPI consensus </w:t>
      </w:r>
      <w:r>
        <w:rPr>
          <w:rFonts w:ascii="Public Sans" w:hAnsi="Public Sans"/>
          <w:b/>
          <w:i w:val="0"/>
          <w:color w:val="3D3E3E"/>
          <w:sz w:val="19"/>
        </w:rPr>
        <w:t>4.2%</w:t>
      </w:r>
      <w:r>
        <w:rPr>
          <w:rFonts w:ascii="Public Sans" w:hAnsi="Public Sans"/>
          <w:b w:val="0"/>
          <w:i w:val="0"/>
          <w:color w:val="3D3E3E"/>
          <w:sz w:val="19"/>
        </w:rPr>
        <w:t xml:space="preserve"> (DB 4.16%, Citi 4.2%, mkt 4.3–4.4%; prior 3.93%) — prints today, 13 Jul · repo rate </w:t>
      </w:r>
      <w:r>
        <w:rPr>
          <w:rFonts w:ascii="Public Sans" w:hAnsi="Public Sans"/>
          <w:b/>
          <w:i w:val="0"/>
          <w:color w:val="3D3E3E"/>
          <w:sz w:val="19"/>
        </w:rPr>
        <w:t>5.25%</w:t>
      </w:r>
      <w:r>
        <w:rPr>
          <w:rFonts w:ascii="Public Sans" w:hAnsi="Public Sans"/>
          <w:b w:val="0"/>
          <w:i w:val="0"/>
          <w:color w:val="3D3E3E"/>
          <w:sz w:val="19"/>
        </w:rPr>
        <w:t xml:space="preserve"> (held 5 Jun) · 10y MIBOR OIS </w:t>
      </w:r>
      <w:r>
        <w:rPr>
          <w:rFonts w:ascii="Public Sans" w:hAnsi="Public Sans"/>
          <w:b/>
          <w:i w:val="0"/>
          <w:color w:val="3D3E3E"/>
          <w:sz w:val="19"/>
        </w:rPr>
        <w:t>6.37%</w:t>
      </w:r>
      <w:r>
        <w:rPr>
          <w:rFonts w:ascii="Public Sans" w:hAnsi="Public Sans"/>
          <w:b w:val="0"/>
          <w:i w:val="0"/>
          <w:color w:val="3D3E3E"/>
          <w:sz w:val="19"/>
        </w:rPr>
        <w:t xml:space="preserve"> (−3bp WoW), 2y 5.91% (−0.4bp) · USD/INR </w:t>
      </w:r>
      <w:r>
        <w:rPr>
          <w:rFonts w:ascii="Public Sans" w:hAnsi="Public Sans"/>
          <w:b/>
          <w:i w:val="0"/>
          <w:color w:val="3D3E3E"/>
          <w:sz w:val="19"/>
        </w:rPr>
        <w:t>95.41</w:t>
      </w:r>
      <w:r>
        <w:rPr>
          <w:rFonts w:ascii="Public Sans" w:hAnsi="Public Sans"/>
          <w:b w:val="0"/>
          <w:i w:val="0"/>
          <w:color w:val="3D3E3E"/>
          <w:sz w:val="19"/>
        </w:rPr>
        <w:t xml:space="preserve"> (INR −0.2%) · HSBC FX-package inflow estimate </w:t>
      </w:r>
      <w:r>
        <w:rPr>
          <w:rFonts w:ascii="Public Sans" w:hAnsi="Public Sans"/>
          <w:b/>
          <w:i w:val="0"/>
          <w:color w:val="3D3E3E"/>
          <w:sz w:val="19"/>
        </w:rPr>
        <w:t>~$65bn</w:t>
      </w:r>
      <w:r>
        <w:rPr>
          <w:rFonts w:ascii="Public Sans" w:hAnsi="Public Sans"/>
          <w:b w:val="0"/>
          <w:i w:val="0"/>
          <w:color w:val="3D3E3E"/>
          <w:sz w:val="19"/>
        </w:rPr>
        <w:t xml:space="preserve"> (+INR6tr liquidity) · FY27 GDP: HSBC </w:t>
      </w:r>
      <w:r>
        <w:rPr>
          <w:rFonts w:ascii="Public Sans" w:hAnsi="Public Sans"/>
          <w:b/>
          <w:i w:val="0"/>
          <w:color w:val="3D3E3E"/>
          <w:sz w:val="19"/>
        </w:rPr>
        <w:t>6.3%</w:t>
      </w:r>
      <w:r>
        <w:rPr>
          <w:rFonts w:ascii="Public Sans" w:hAnsi="Public Sans"/>
          <w:b w:val="0"/>
          <w:i w:val="0"/>
          <w:color w:val="3D3E3E"/>
          <w:sz w:val="19"/>
        </w:rPr>
        <w:t xml:space="preserve">, DB </w:t>
      </w:r>
      <w:r>
        <w:rPr>
          <w:rFonts w:ascii="Public Sans" w:hAnsi="Public Sans"/>
          <w:b/>
          <w:i w:val="0"/>
          <w:color w:val="3D3E3E"/>
          <w:sz w:val="19"/>
        </w:rPr>
        <w:t>6.7%</w:t>
      </w:r>
      <w:r>
        <w:rPr>
          <w:rFonts w:ascii="Public Sans" w:hAnsi="Public Sans"/>
          <w:b w:val="0"/>
          <w:i w:val="0"/>
          <w:color w:val="3D3E3E"/>
          <w:sz w:val="19"/>
        </w:rPr>
        <w:t xml:space="preserve">, RBI 6.6%; FY27 CPI: DB </w:t>
      </w:r>
      <w:r>
        <w:rPr>
          <w:rFonts w:ascii="Public Sans" w:hAnsi="Public Sans"/>
          <w:b/>
          <w:i w:val="0"/>
          <w:color w:val="3D3E3E"/>
          <w:sz w:val="19"/>
        </w:rPr>
        <w:t>4.9%</w:t>
      </w:r>
      <w:r>
        <w:rPr>
          <w:rFonts w:ascii="Public Sans" w:hAnsi="Public Sans"/>
          <w:b w:val="0"/>
          <w:i w:val="0"/>
          <w:color w:val="3D3E3E"/>
          <w:sz w:val="19"/>
        </w:rPr>
        <w:t>, RBI 5.1%.</w:t>
      </w:r>
    </w:p>
    <w:p>
      <w:pPr>
        <w:spacing w:after="80" w:line="283" w:lineRule="auto"/>
      </w:pPr>
      <w:r>
        <w:rPr>
          <w:rFonts w:ascii="Public Sans" w:hAnsi="Public Sans"/>
          <w:b w:val="0"/>
          <w:i w:val="0"/>
          <w:color w:val="3D3E3E"/>
          <w:sz w:val="19"/>
        </w:rPr>
        <w:t>India is the cleanest thesis-vs-tape contradiction in the universe: the desks turned constructive on the June FX package just as the 8 July ceasefire break re-spiked the oil that the constructive case depended on. India rates rallied (10y −3bp) against the global DM back-up.</w:t>
      </w:r>
    </w:p>
    <w:p>
      <w:pPr>
        <w:spacing w:before="200" w:after="60"/>
        <w:keepNext/>
        <w:pBdr>
          <w:bottom w:val="single" w:sz="4" w:space="2" w:color="E0E9E4"/>
        </w:pBdr>
      </w:pPr>
      <w:r>
        <w:rPr>
          <w:rFonts w:ascii="Georgia" w:hAnsi="Georgia"/>
          <w:b/>
          <w:color w:val="4D806A"/>
          <w:sz w:val="23"/>
        </w:rPr>
        <w:t>Driver 1 — The FX package and the "summer of hope"</w:t>
      </w:r>
    </w:p>
    <w:p>
      <w:pPr>
        <w:spacing w:after="80" w:line="283" w:lineRule="auto"/>
      </w:pPr>
      <w:r>
        <w:rPr>
          <w:rFonts w:ascii="Public Sans" w:hAnsi="Public Sans"/>
          <w:b/>
          <w:i w:val="0"/>
          <w:color w:val="3D3E3E"/>
          <w:sz w:val="19"/>
        </w:rPr>
        <w:t>Desk-read — the June RBI FX package (NRI deposits, cheaper swaps, FII tax relief, wider FAR bond set)</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1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6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6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1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HSBC (Bhandari)</w:t>
            </w:r>
          </w:p>
        </w:tc>
        <w:tc>
          <w:tcPr>
            <w:tcW w:type="dxa" w:w="46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Two of three concerns eased (oil fell, conditions loosened); package ~$65bn inflows, +INR6tr liquidity; FY27 GDP raised to 6.3%, CY26 to 6.8%; $6.4bn bond inflows since early June, equity inflows flipped positive; India outperformed the EM benchmark over the past month</w:t>
            </w:r>
          </w:p>
        </w:tc>
        <w:tc>
          <w:tcPr>
            <w:tcW w:type="dxa" w:w="46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Cautiously constructive multi-asset: </w:t>
            </w:r>
            <w:r>
              <w:rPr>
                <w:rFonts w:ascii="Public Sans" w:hAnsi="Public Sans"/>
                <w:b/>
                <w:i w:val="0"/>
                <w:color w:val="3D3E3E"/>
                <w:sz w:val="16"/>
              </w:rPr>
              <w:t>Buy IGB 15y, Sell USD-INR</w:t>
            </w:r>
            <w:r>
              <w:rPr>
                <w:rFonts w:ascii="Public Sans" w:hAnsi="Public Sans"/>
                <w:b w:val="0"/>
                <w:i w:val="0"/>
                <w:color w:val="3D3E3E"/>
                <w:sz w:val="16"/>
              </w:rPr>
              <w:t>; FX/equities screen more undervalued than ahead of the 2013 NRI package</w:t>
            </w:r>
          </w:p>
        </w:tc>
      </w:tr>
      <w:tr>
        <w:tc>
          <w:tcPr>
            <w:tcW w:type="dxa" w:w="1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GS (India Wrap)</w:t>
            </w:r>
          </w:p>
        </w:tc>
        <w:tc>
          <w:tcPr>
            <w:tcW w:type="dxa" w:w="46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Constructive on the inflow story; grind-tighter on the package</w:t>
            </w:r>
          </w:p>
        </w:tc>
        <w:tc>
          <w:tcPr>
            <w:tcW w:type="dxa" w:w="46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AI-theme FII preference may cap equity breadth even as sector rotation continues</w:t>
            </w:r>
          </w:p>
        </w:tc>
      </w:tr>
      <w:tr>
        <w:tc>
          <w:tcPr>
            <w:tcW w:type="dxa" w:w="1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DB (Das)</w:t>
            </w:r>
          </w:p>
        </w:tc>
        <w:tc>
          <w:tcPr>
            <w:tcW w:type="dxa" w:w="46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More cautious — see Driver 3</w:t>
            </w:r>
          </w:p>
        </w:tc>
        <w:tc>
          <w:tcPr>
            <w:tcW w:type="dxa" w:w="46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Inflation risks higher than growth</w:t>
            </w:r>
          </w:p>
        </w:tc>
      </w:tr>
    </w:tbl>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{"type":"line","title":"India FX-package flows — the 'summer of hope' inflow case","caption":"HSBC estimates the June RBI FX package could attract ~$65bn of inflows (+INR6tr liquidity); $6.4bn of bond inflows have already arrived since early June and equity inflows flipped positive. India rates rallied (10y MIBOR −3bp) against the global DM back-up.","unit":"$bn","series":[{"name":"Realised bond inflows (since early Jun)","color":"#1f6b4f","points":[["Realised",6.4]]},{"name":"HSBC est. package potential","color":"#2b5a86","points":[["Potential",65]]}]}</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HSBC (constructive) and GS (constructive on flows) agree the package is a structural positive; DB agrees the </w:t>
      </w:r>
      <w:r>
        <w:rPr>
          <w:rFonts w:ascii="Public Sans" w:hAnsi="Public Sans"/>
          <w:b w:val="0"/>
          <w:i/>
          <w:color w:val="3D3E3E"/>
          <w:sz w:val="19"/>
        </w:rPr>
        <w:t>fiscal/inflow</w:t>
      </w:r>
      <w:r>
        <w:rPr>
          <w:rFonts w:ascii="Public Sans" w:hAnsi="Public Sans"/>
          <w:b w:val="0"/>
          <w:i w:val="0"/>
          <w:color w:val="3D3E3E"/>
          <w:sz w:val="19"/>
        </w:rPr>
        <w:t xml:space="preserve"> mechanics are sound but weights the inflation/monsoon risk more heavily. The genuine split is not "is the package good" (all agree) but "is now the entry" — and that turns on oil and the June CPI, both of which moved against the bull case this week.</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structural inflow story is consensus-constructive; the tactical entry is the contested part — see Driver 2.</w:t>
      </w:r>
    </w:p>
    <w:p>
      <w:pPr>
        <w:spacing w:before="200" w:after="60"/>
        <w:keepNext/>
        <w:pBdr>
          <w:bottom w:val="single" w:sz="4" w:space="2" w:color="E0E9E4"/>
        </w:pBdr>
      </w:pPr>
      <w:r>
        <w:rPr>
          <w:rFonts w:ascii="Georgia" w:hAnsi="Georgia"/>
          <w:b/>
          <w:color w:val="4D806A"/>
          <w:sz w:val="23"/>
        </w:rPr>
        <w:t>Driver 2 — The oil re-spike undercuts the premise</w:t>
      </w:r>
    </w:p>
    <w:p>
      <w:pPr>
        <w:spacing w:after="80" w:line="283" w:lineRule="auto"/>
      </w:pPr>
      <w:r>
        <w:rPr>
          <w:rFonts w:ascii="Public Sans" w:hAnsi="Public Sans"/>
          <w:b w:val="0"/>
          <w:i w:val="0"/>
          <w:color w:val="3D3E3E"/>
          <w:sz w:val="19"/>
        </w:rPr>
        <w:t xml:space="preserve">HSBC published on 7 July on an explicit </w:t>
      </w:r>
      <w:r>
        <w:rPr>
          <w:rFonts w:ascii="Public Sans" w:hAnsi="Public Sans"/>
          <w:b w:val="0"/>
          <w:i/>
          <w:color w:val="3D3E3E"/>
          <w:sz w:val="19"/>
        </w:rPr>
        <w:t>lower-oil</w:t>
      </w:r>
      <w:r>
        <w:rPr>
          <w:rFonts w:ascii="Public Sans" w:hAnsi="Public Sans"/>
          <w:b w:val="0"/>
          <w:i w:val="0"/>
          <w:color w:val="3D3E3E"/>
          <w:sz w:val="19"/>
        </w:rPr>
        <w:t xml:space="preserve"> premise ("two of three concerns eased — oil has fallen"); the ceasefire broke on 8 July and oil re-spiked toward $76–80. India is a large net oil importer — higher crude re-tightens both the fiscal-subsidy math and the INR. DB's fiscal note quantifies the channel: the government cut fuel excise by INR10/litre in March (denting tax revenue), and the fertiliser subsidy is up 47% y/y (nearly a quarter of the annual urea allocation used by May) on elevated global fertiliser costs linked to the West Asia conflict. Spot ground to 95.41 (INR one of the softer Asian FX on the week) despite the package.</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The HSBC package trades (buy IGB 15y, sell USD-INR) were built on a lower-oil, easing-conditions premise that the 8 July ceasefire break directly undercut. The structural inflow thesis is Solid; entering long-INR / long-IGB into a re-spiking barrel and a rising June CPI (today) is poorly timed. Let the CPI + the first inflow data print before adding — the falsifier for the </w:t>
      </w:r>
      <w:r>
        <w:rPr>
          <w:rFonts w:ascii="Public Sans" w:hAnsi="Public Sans"/>
          <w:b w:val="0"/>
          <w:i/>
          <w:color w:val="3D3E3E"/>
          <w:sz w:val="19"/>
        </w:rPr>
        <w:t>timing</w:t>
      </w:r>
      <w:r>
        <w:rPr>
          <w:rFonts w:ascii="Public Sans" w:hAnsi="Public Sans"/>
          <w:b w:val="0"/>
          <w:i w:val="0"/>
          <w:color w:val="3D3E3E"/>
          <w:sz w:val="19"/>
        </w:rPr>
        <w:t xml:space="preserve"> is exactly the oil path.</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defer adding the HSBC package trades until the June CPI and inflow pace confirm; the oil re-spike is the near-term headwind to both legs.</w:t>
      </w:r>
    </w:p>
    <w:p>
      <w:pPr>
        <w:spacing w:before="200" w:after="60"/>
        <w:keepNext/>
        <w:pBdr>
          <w:bottom w:val="single" w:sz="4" w:space="2" w:color="E0E9E4"/>
        </w:pBdr>
      </w:pPr>
      <w:r>
        <w:rPr>
          <w:rFonts w:ascii="Georgia" w:hAnsi="Georgia"/>
          <w:b/>
          <w:color w:val="4D806A"/>
          <w:sz w:val="23"/>
        </w:rPr>
        <w:t>Driver 3 — Inflation risk: DB's "uncertainty persists"</w:t>
      </w:r>
    </w:p>
    <w:p>
      <w:pPr>
        <w:spacing w:before="120" w:after="40"/>
        <w:keepNext/>
      </w:pPr>
      <w:r>
        <w:rPr>
          <w:rFonts w:ascii="Public Sans" w:hAnsi="Public Sans"/>
          <w:b/>
          <w:i w:val="0"/>
          <w:color w:val="001830"/>
          <w:sz w:val="19"/>
        </w:rPr>
        <w:t>Desk-read — the June CPI outlook and the monsoon</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7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Desk</w:t>
            </w:r>
          </w:p>
        </w:tc>
        <w:tc>
          <w:tcPr>
            <w:tcW w:type="dxa" w:w="49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Read</w:t>
            </w:r>
          </w:p>
        </w:tc>
        <w:tc>
          <w:tcPr>
            <w:tcW w:type="dxa" w:w="49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Implication drawn</w:t>
            </w:r>
          </w:p>
        </w:tc>
      </w:tr>
      <w:tr>
        <w:tc>
          <w:tcPr>
            <w:tcW w:type="dxa" w:w="7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DB (Das)</w:t>
            </w:r>
          </w:p>
        </w:tc>
        <w:tc>
          <w:tcPr>
            <w:tcW w:type="dxa" w:w="49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June CPI ~4.16% (from 3.93%): food +1.5% m/m (4.9% y/y), core ~3.7% y/y; gold INR −8% m/m + silver −14.6% drag personal-care inflation (core ex-precious-metals 2.5%); FY27 CPI 4.9%, core revised </w:t>
            </w:r>
            <w:r>
              <w:rPr>
                <w:rFonts w:ascii="Public Sans" w:hAnsi="Public Sans"/>
                <w:b w:val="0"/>
                <w:i/>
                <w:color w:val="3D3E3E"/>
                <w:sz w:val="16"/>
              </w:rPr>
              <w:t>down</w:t>
            </w:r>
            <w:r>
              <w:rPr>
                <w:rFonts w:ascii="Public Sans" w:hAnsi="Public Sans"/>
                <w:b w:val="0"/>
                <w:i w:val="0"/>
                <w:color w:val="3D3E3E"/>
                <w:sz w:val="16"/>
              </w:rPr>
              <w:t xml:space="preserve"> to 3.9%</w:t>
            </w:r>
          </w:p>
        </w:tc>
        <w:tc>
          <w:tcPr>
            <w:tcW w:type="dxa" w:w="49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"Uncertainty persists" — </w:t>
            </w:r>
            <w:r>
              <w:rPr>
                <w:rFonts w:ascii="Public Sans" w:hAnsi="Public Sans"/>
                <w:b/>
                <w:i w:val="0"/>
                <w:color w:val="3D3E3E"/>
                <w:sz w:val="16"/>
              </w:rPr>
              <w:t>risks to inflation higher than growth</w:t>
            </w:r>
            <w:r>
              <w:rPr>
                <w:rFonts w:ascii="Public Sans" w:hAnsi="Public Sans"/>
                <w:b w:val="0"/>
                <w:i w:val="0"/>
                <w:color w:val="3D3E3E"/>
                <w:sz w:val="16"/>
              </w:rPr>
              <w:t>; monsoon 15% below normal (improved from 42%), super-El-Niño risk</w:t>
            </w:r>
          </w:p>
        </w:tc>
      </w:tr>
      <w:tr>
        <w:tc>
          <w:tcPr>
            <w:tcW w:type="dxa" w:w="7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w:t>
            </w:r>
          </w:p>
        </w:tc>
        <w:tc>
          <w:tcPr>
            <w:tcW w:type="dxa" w:w="49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 CPI +30bp to 4.2% on higher fuel + food</w:t>
            </w:r>
          </w:p>
        </w:tc>
        <w:tc>
          <w:tcPr>
            <w:tcW w:type="dxa" w:w="49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Headline rising, but the receivers are leaning on it</w:t>
            </w:r>
          </w:p>
        </w:tc>
      </w:tr>
    </w:tbl>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{"type":"line","title":"India CPI — rising into today's print","caption":"June CPI expected ~4.16% (DB) / 4.2% (Citi), up from 3.93% (May), led by fuel + food pass-through; core ~3.7%. DB sees FY27 CPI at 4.9% with sub-normal monsoon (15% below normal) the key upside risk. The 10y rallied 3bp anticipating inflows, not lower inflation.","unit":"% y/y","series":[{"name":"Headline CPI","color":"#a1382f","points":[["Apr",3.8],["May",3.93],["Jun e",4.16]]},{"name":"Core CPI","color":"#b5761f","points":[["Apr",3.8],["May",3.9],["Jun e",3.7]]}]}</w:t>
      </w:r>
    </w:p>
    <w:p>
      <w:pPr>
        <w:spacing w:after="80" w:line="283" w:lineRule="auto"/>
      </w:pP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COHERENCE CHECK</w:t>
      </w:r>
      <w:r>
        <w:rPr>
          <w:rFonts w:ascii="Public Sans" w:hAnsi="Public Sans"/>
          <w:b w:val="0"/>
          <w:i w:val="0"/>
          <w:color w:val="3D3E3E"/>
          <w:sz w:val="19"/>
        </w:rPr>
        <w:t xml:space="preserve"> — DB (inflation risk &gt; growth, monsoon) and HSBC (constructive) are not really contradictory on the facts — DB's June CPI (~4.16%) and HSBC's constructive multi-asset view both hold — they differ on </w:t>
      </w:r>
      <w:r>
        <w:rPr>
          <w:rFonts w:ascii="Public Sans" w:hAnsi="Public Sans"/>
          <w:b w:val="0"/>
          <w:i/>
          <w:color w:val="3D3E3E"/>
          <w:sz w:val="19"/>
        </w:rPr>
        <w:t>what dominates</w:t>
      </w:r>
      <w:r>
        <w:rPr>
          <w:rFonts w:ascii="Public Sans" w:hAnsi="Public Sans"/>
          <w:b w:val="0"/>
          <w:i w:val="0"/>
          <w:color w:val="3D3E3E"/>
          <w:sz w:val="19"/>
        </w:rPr>
        <w:t xml:space="preserve">: the structural inflow tailwind (HSBC) vs the cyclical inflation/monsoon headwind (DB). The 10y rallied 3bp on the </w:t>
      </w:r>
      <w:r>
        <w:rPr>
          <w:rFonts w:ascii="Public Sans" w:hAnsi="Public Sans"/>
          <w:b w:val="0"/>
          <w:i/>
          <w:color w:val="3D3E3E"/>
          <w:sz w:val="19"/>
        </w:rPr>
        <w:t>flow</w:t>
      </w:r>
      <w:r>
        <w:rPr>
          <w:rFonts w:ascii="Public Sans" w:hAnsi="Public Sans"/>
          <w:b w:val="0"/>
          <w:i w:val="0"/>
          <w:color w:val="3D3E3E"/>
          <w:sz w:val="19"/>
        </w:rPr>
        <w:t xml:space="preserve"> story, not on lower inflation — so the front end is leaning on inflows that have only partly arrived.</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front-end rally anticipates inflows not fully arrived against a rising CPI — a firm June CPI (today) is the near-term risk to receivers; DB's caution is the more grounded near-term read.</w:t>
      </w:r>
    </w:p>
    <w:p>
      <w:pPr>
        <w:spacing w:before="200" w:after="60"/>
        <w:keepNext/>
        <w:pBdr>
          <w:bottom w:val="single" w:sz="4" w:space="2" w:color="E0E9E4"/>
        </w:pBdr>
      </w:pPr>
      <w:r>
        <w:rPr>
          <w:rFonts w:ascii="Georgia" w:hAnsi="Georgia"/>
          <w:b/>
          <w:color w:val="4D806A"/>
          <w:sz w:val="23"/>
        </w:rPr>
        <w:t>Driver 4 — Fiscal: growth-supportive, still on track</w:t>
      </w:r>
    </w:p>
    <w:p>
      <w:pPr>
        <w:spacing w:after="80" w:line="283" w:lineRule="auto"/>
      </w:pPr>
      <w:r>
        <w:rPr>
          <w:rFonts w:ascii="Public Sans" w:hAnsi="Public Sans"/>
          <w:b w:val="0"/>
          <w:i w:val="0"/>
          <w:color w:val="3D3E3E"/>
          <w:sz w:val="19"/>
        </w:rPr>
        <w:t>DB's fiscal read: April–May FY27 deficit ran INR1.62tn (9.6% of the full-year Budget Estimate, vs 0.8% same period last year) on front-loaded spending, weaker tax (excise cut) and subsidy pressure — but capex rose +13.4% y/y to INR2.51tn and non-tax revenue was boosted by the RBI's record dividend. DB judges the FY27 deficit target of 4.3% of GDP still achievable (lower oil, the RBI dividend, the INR1tn Economic Stabilization Fund backstop, higher nominal GDP). The subsidy watchpoint (fertiliser +47%) is the swing if oil stays high.</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BOOK-LEVEL NOTE</w:t>
      </w:r>
      <w:r>
        <w:rPr>
          <w:rFonts w:ascii="Public Sans" w:hAnsi="Public Sans"/>
          <w:b w:val="0"/>
          <w:i w:val="0"/>
          <w:color w:val="3D3E3E"/>
          <w:sz w:val="19"/>
        </w:rPr>
        <w:t xml:space="preserve"> — The fiscal picture is the quiet support under the India bull case: growth-supportive capex + a record RBI dividend keep the 4.3% deficit target credible even with front-loaded spending. But it is oil-contingent — the fertiliser/fuel subsidy math (DB) deteriorates if crude holds above $75, the same channel that pressures the INR. Fiscal and FX are one oil-linked risk here.</w:t>
      </w:r>
    </w:p>
    <w:p>
      <w:pPr>
        <w:spacing w:after="80" w:line="283" w:lineRule="auto"/>
      </w:pPr>
      <w:r>
        <w:rPr>
          <w:rFonts w:ascii="Public Sans" w:hAnsi="Public Sans"/>
          <w:b/>
          <w:i w:val="0"/>
          <w:color w:val="3D3E3E"/>
          <w:sz w:val="19"/>
        </w:rPr>
        <w:t>Position implication:</w:t>
      </w:r>
      <w:r>
        <w:rPr>
          <w:rFonts w:ascii="Public Sans" w:hAnsi="Public Sans"/>
          <w:b w:val="0"/>
          <w:i w:val="0"/>
          <w:color w:val="3D3E3E"/>
          <w:sz w:val="19"/>
        </w:rPr>
        <w:t xml:space="preserve"> the fiscal backdrop supports the bonds structurally, but its oil-contingency links it to the same near-term headwind as the FX — reinforcing the "wait for the CPI + oil to settle" stance on the package trades.</w:t>
      </w:r>
    </w:p>
    <w:p>
      <w:pPr>
        <w:spacing w:before="200" w:after="60"/>
        <w:keepNext/>
        <w:pBdr>
          <w:bottom w:val="single" w:sz="4" w:space="2" w:color="E0E9E4"/>
        </w:pBdr>
      </w:pPr>
      <w:r>
        <w:rPr>
          <w:rFonts w:ascii="Georgia" w:hAnsi="Georgia"/>
          <w:b/>
          <w:color w:val="4D806A"/>
          <w:sz w:val="23"/>
        </w:rPr>
        <w:t>Country trade board — India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45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5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House</w:t>
            </w:r>
          </w:p>
        </w:tc>
        <w:tc>
          <w:tcPr>
            <w:tcW w:type="dxa" w:w="319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11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Entry / Current</w:t>
            </w:r>
          </w:p>
        </w:tc>
        <w:tc>
          <w:tcPr>
            <w:tcW w:type="dxa" w:w="334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Target / Stop</w:t>
            </w:r>
          </w:p>
        </w:tc>
        <w:tc>
          <w:tcPr>
            <w:tcW w:type="dxa" w:w="19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Status</w:t>
            </w:r>
          </w:p>
        </w:tc>
      </w:tr>
      <w:tr>
        <w:tc>
          <w:tcPr>
            <w:tcW w:type="dxa" w:w="4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IN1</w:t>
            </w:r>
          </w:p>
        </w:tc>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w:t>
            </w:r>
          </w:p>
        </w:tc>
        <w:tc>
          <w:tcPr>
            <w:tcW w:type="dxa" w:w="31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Buy IGB 15y</w:t>
            </w:r>
          </w:p>
        </w:tc>
        <w:tc>
          <w:tcPr>
            <w:tcW w:type="dxa" w:w="11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this week</w:t>
            </w:r>
          </w:p>
        </w:tc>
        <w:tc>
          <w:tcPr>
            <w:tcW w:type="dxa" w:w="33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inflow-driven rally / oil re-spike + hot CPI</w:t>
            </w:r>
          </w:p>
        </w:tc>
        <w:tc>
          <w:tcPr>
            <w:tcW w:type="dxa" w:w="19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New</w:t>
            </w:r>
          </w:p>
        </w:tc>
      </w:tr>
      <w:tr>
        <w:tc>
          <w:tcPr>
            <w:tcW w:type="dxa" w:w="4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IN2</w:t>
            </w:r>
          </w:p>
        </w:tc>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w:t>
            </w:r>
          </w:p>
        </w:tc>
        <w:tc>
          <w:tcPr>
            <w:tcW w:type="dxa" w:w="31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Sell USD-INR</w:t>
            </w:r>
          </w:p>
        </w:tc>
        <w:tc>
          <w:tcPr>
            <w:tcW w:type="dxa" w:w="11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~95.4</w:t>
            </w:r>
          </w:p>
        </w:tc>
        <w:tc>
          <w:tcPr>
            <w:tcW w:type="dxa" w:w="33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BoP surplus + inflows / oil re-spike</w:t>
            </w:r>
          </w:p>
        </w:tc>
        <w:tc>
          <w:tcPr>
            <w:tcW w:type="dxa" w:w="19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New (fighting a soft tape)</w:t>
            </w:r>
          </w:p>
        </w:tc>
      </w:tr>
      <w:tr>
        <w:tc>
          <w:tcPr>
            <w:tcW w:type="dxa" w:w="4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IN3</w:t>
            </w:r>
          </w:p>
        </w:tc>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(watch)</w:t>
            </w:r>
          </w:p>
        </w:tc>
        <w:tc>
          <w:tcPr>
            <w:tcW w:type="dxa" w:w="31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Bloomberg Global Agg inclusion positioning</w:t>
            </w:r>
          </w:p>
        </w:tc>
        <w:tc>
          <w:tcPr>
            <w:tcW w:type="dxa" w:w="11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3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~0.7–0.8% wt, passive $15–25bn</w:t>
            </w:r>
          </w:p>
        </w:tc>
        <w:tc>
          <w:tcPr>
            <w:tcW w:type="dxa" w:w="19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Watch (2027-phased)</w:t>
            </w:r>
          </w:p>
        </w:tc>
      </w:tr>
    </w:tbl>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INTERNAL COHERENCE CHECK</w:t>
      </w:r>
      <w:r>
        <w:rPr>
          <w:rFonts w:ascii="Public Sans" w:hAnsi="Public Sans"/>
          <w:b w:val="0"/>
          <w:i w:val="0"/>
          <w:color w:val="3D3E3E"/>
          <w:sz w:val="19"/>
        </w:rPr>
        <w:t xml:space="preserve"> — IN1 (buy IGB 15y) and IN2 (sell USD-INR) rest on the </w:t>
      </w:r>
      <w:r>
        <w:rPr>
          <w:rFonts w:ascii="Public Sans" w:hAnsi="Public Sans"/>
          <w:b w:val="0"/>
          <w:i/>
          <w:color w:val="3D3E3E"/>
          <w:sz w:val="19"/>
        </w:rPr>
        <w:t>same</w:t>
      </w:r>
      <w:r>
        <w:rPr>
          <w:rFonts w:ascii="Public Sans" w:hAnsi="Public Sans"/>
          <w:b w:val="0"/>
          <w:i w:val="0"/>
          <w:color w:val="3D3E3E"/>
          <w:sz w:val="19"/>
        </w:rPr>
        <w:t xml:space="preserve"> driver (package inflows arriving) and the </w:t>
      </w:r>
      <w:r>
        <w:rPr>
          <w:rFonts w:ascii="Public Sans" w:hAnsi="Public Sans"/>
          <w:b w:val="0"/>
          <w:i/>
          <w:color w:val="3D3E3E"/>
          <w:sz w:val="19"/>
        </w:rPr>
        <w:t>same</w:t>
      </w:r>
      <w:r>
        <w:rPr>
          <w:rFonts w:ascii="Public Sans" w:hAnsi="Public Sans"/>
          <w:b w:val="0"/>
          <w:i w:val="0"/>
          <w:color w:val="3D3E3E"/>
          <w:sz w:val="19"/>
        </w:rPr>
        <w:t xml:space="preserve"> risk (oil re-spike + a hot June CPI). They are not independent positions — treat them as one package trade and size to the June CPI + the first inflow data, not to the thesis. IN3 (index inclusion) is a convex 2027-phased optionality that reinforces IN1 but on a different horizon.</w:t>
      </w:r>
    </w:p>
    <w:p>
      <w:pPr>
        <w:spacing w:before="200" w:after="60"/>
        <w:keepNext/>
        <w:pBdr>
          <w:bottom w:val="single" w:sz="4" w:space="2" w:color="E0E9E4"/>
        </w:pBdr>
      </w:pPr>
      <w:r>
        <w:rPr>
          <w:rFonts w:ascii="Georgia" w:hAnsi="Georgia"/>
          <w:b/>
          <w:color w:val="4D806A"/>
          <w:sz w:val="23"/>
        </w:rPr>
        <w:t>Mini Argument Audit — India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9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Tension</w:t>
            </w:r>
          </w:p>
        </w:tc>
        <w:tc>
          <w:tcPr>
            <w:tcW w:type="dxa" w:w="38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two sides</w:t>
            </w:r>
          </w:p>
        </w:tc>
        <w:tc>
          <w:tcPr>
            <w:tcW w:type="dxa" w:w="38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Assessment</w:t>
            </w:r>
          </w:p>
        </w:tc>
      </w:tr>
      <w:tr>
        <w:tc>
          <w:tcPr>
            <w:tcW w:type="dxa" w:w="29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Constructive package vs a rising CPI + oil</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 "summer of hope" vs DB "uncertainty persists"</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HSBC's structural inflow call Solid; the tactical timing Weak.</w:t>
            </w:r>
            <w:r>
              <w:rPr>
                <w:rFonts w:ascii="Public Sans" w:hAnsi="Public Sans"/>
                <w:b w:val="0"/>
                <w:i w:val="0"/>
                <w:color w:val="3D3E3E"/>
                <w:sz w:val="16"/>
              </w:rPr>
              <w:t xml:space="preserve"> The package + index-inclusion story is real, but entering long-INR / long-IGB into a re-spiking barrel and a rising June CPI (today ~4.2%) is poorly timed. Let the CPI + inflow pace print first.</w:t>
            </w:r>
          </w:p>
        </w:tc>
      </w:tr>
      <w:tr>
        <w:tc>
          <w:tcPr>
            <w:tcW w:type="dxa" w:w="29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Has the front end over-rallied?</w:t>
            </w:r>
          </w:p>
        </w:tc>
        <w:tc>
          <w:tcPr>
            <w:tcW w:type="dxa" w:w="38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Receivers (10y −3bp) vs DB's inflation-risk caution</w:t>
            </w:r>
          </w:p>
        </w:tc>
        <w:tc>
          <w:tcPr>
            <w:tcW w:type="dxa" w:w="38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Live.</w:t>
            </w:r>
            <w:r>
              <w:rPr>
                <w:rFonts w:ascii="Public Sans" w:hAnsi="Public Sans"/>
                <w:b w:val="0"/>
                <w:i w:val="0"/>
                <w:color w:val="3D3E3E"/>
                <w:sz w:val="16"/>
              </w:rPr>
              <w:t xml:space="preserve"> The rally anticipates inflows not yet fully arrived; a firm CPI is the near-term risk to receivers.</w:t>
            </w:r>
          </w:p>
        </w:tc>
      </w:tr>
      <w:tr>
        <w:tc>
          <w:tcPr>
            <w:tcW w:type="dxa" w:w="29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Is the fiscal path a risk?</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DB: 4.3% target achievable vs the oil-contingent subsidy swing</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Solid, oil-contingent.</w:t>
            </w:r>
            <w:r>
              <w:rPr>
                <w:rFonts w:ascii="Public Sans" w:hAnsi="Public Sans"/>
                <w:b w:val="0"/>
                <w:i w:val="0"/>
                <w:color w:val="3D3E3E"/>
                <w:sz w:val="16"/>
              </w:rPr>
              <w:t xml:space="preserve"> The RBI dividend + capex + stabilization fund keep the target credible; the fertiliser/fuel subsidy is the swing if crude holds high.</w:t>
            </w:r>
          </w:p>
        </w:tc>
      </w:tr>
    </w:tbl>
    <w:p>
      <w:pPr>
        <w:spacing w:before="200" w:after="60"/>
        <w:keepNext/>
        <w:pBdr>
          <w:bottom w:val="single" w:sz="4" w:space="2" w:color="E0E9E4"/>
        </w:pBdr>
      </w:pPr>
      <w:r>
        <w:rPr>
          <w:rFonts w:ascii="Georgia" w:hAnsi="Georgia"/>
          <w:b/>
          <w:color w:val="4D806A"/>
          <w:sz w:val="23"/>
        </w:rPr>
        <w:t>This week &amp; next week — India</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0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w:t>
            </w:r>
          </w:p>
        </w:tc>
        <w:tc>
          <w:tcPr>
            <w:tcW w:type="dxa" w:w="18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23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 / estimate</w:t>
            </w:r>
          </w:p>
        </w:tc>
        <w:tc>
          <w:tcPr>
            <w:tcW w:type="dxa" w:w="21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assumption</w:t>
            </w:r>
          </w:p>
        </w:tc>
        <w:tc>
          <w:tcPr>
            <w:tcW w:type="dxa" w:w="3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Where desks differ / what's priced</w:t>
            </w:r>
          </w:p>
        </w:tc>
      </w:tr>
      <w:tr>
        <w:tc>
          <w:tcPr>
            <w:tcW w:type="dxa" w:w="10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This wk — 13 Jul</w:t>
            </w:r>
          </w:p>
        </w:tc>
        <w:tc>
          <w:tcPr>
            <w:tcW w:type="dxa" w:w="18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CPI (today)</w:t>
            </w:r>
          </w:p>
        </w:tc>
        <w:tc>
          <w:tcPr>
            <w:tcW w:type="dxa" w:w="23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4.2% (Citi) / 4.16% (DB); prior 3.93%</w:t>
            </w:r>
          </w:p>
        </w:tc>
        <w:tc>
          <w:tcPr>
            <w:tcW w:type="dxa" w:w="21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fuel+food pass-through, core ~3.7%</w:t>
            </w:r>
          </w:p>
        </w:tc>
        <w:tc>
          <w:tcPr>
            <w:tcW w:type="dxa" w:w="3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soft feeds receivers; firm validates DB caution</w:t>
            </w:r>
          </w:p>
        </w:tc>
      </w:tr>
      <w:tr>
        <w:tc>
          <w:tcPr>
            <w:tcW w:type="dxa" w:w="10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This wk — 13 Jul</w:t>
            </w:r>
          </w:p>
        </w:tc>
        <w:tc>
          <w:tcPr>
            <w:tcW w:type="dxa" w:w="18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Trade balance</w:t>
            </w:r>
          </w:p>
        </w:tc>
        <w:tc>
          <w:tcPr>
            <w:tcW w:type="dxa" w:w="23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exports prior +18%</w:t>
            </w:r>
          </w:p>
        </w:tc>
        <w:tc>
          <w:tcPr>
            <w:tcW w:type="dxa" w:w="21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external gap holds</w:t>
            </w:r>
          </w:p>
        </w:tc>
        <w:tc>
          <w:tcPr>
            <w:tcW w:type="dxa" w:w="3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secondary to CPI</w:t>
            </w:r>
          </w:p>
        </w:tc>
      </w:tr>
      <w:tr>
        <w:tc>
          <w:tcPr>
            <w:tcW w:type="dxa" w:w="10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Next wk — 24 Jul</w:t>
            </w:r>
          </w:p>
        </w:tc>
        <w:tc>
          <w:tcPr>
            <w:tcW w:type="dxa" w:w="18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Flash PMIs</w:t>
            </w:r>
          </w:p>
        </w:tc>
        <w:tc>
          <w:tcPr>
            <w:tcW w:type="dxa" w:w="23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mfg prior 54.2; services 57.4</w:t>
            </w:r>
          </w:p>
        </w:tc>
        <w:tc>
          <w:tcPr>
            <w:tcW w:type="dxa" w:w="21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activity holds</w:t>
            </w:r>
          </w:p>
        </w:tc>
        <w:tc>
          <w:tcPr>
            <w:tcW w:type="dxa" w:w="3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confirms the growth base</w:t>
            </w:r>
          </w:p>
        </w:tc>
      </w:tr>
      <w:tr>
        <w:tc>
          <w:tcPr>
            <w:tcW w:type="dxa" w:w="10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Next wk — 28 Jul</w:t>
            </w:r>
          </w:p>
        </w:tc>
        <w:tc>
          <w:tcPr>
            <w:tcW w:type="dxa" w:w="18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IP (May)</w:t>
            </w:r>
          </w:p>
        </w:tc>
        <w:tc>
          <w:tcPr>
            <w:tcW w:type="dxa" w:w="23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prior +5.1% y/y</w:t>
            </w:r>
          </w:p>
        </w:tc>
        <w:tc>
          <w:tcPr>
            <w:tcW w:type="dxa" w:w="21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activity holds</w:t>
            </w:r>
          </w:p>
        </w:tc>
        <w:tc>
          <w:tcPr>
            <w:tcW w:type="dxa" w:w="3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corroborating</w:t>
            </w:r>
          </w:p>
        </w:tc>
      </w:tr>
      <w:tr>
        <w:tc>
          <w:tcPr>
            <w:tcW w:type="dxa" w:w="10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Watch</w:t>
            </w:r>
          </w:p>
        </w:tc>
        <w:tc>
          <w:tcPr>
            <w:tcW w:type="dxa" w:w="18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Bloomberg Global Agg inclusion</w:t>
            </w:r>
          </w:p>
        </w:tc>
        <w:tc>
          <w:tcPr>
            <w:tcW w:type="dxa" w:w="23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~0.7–0.8% wt; passive $15–25bn</w:t>
            </w:r>
          </w:p>
        </w:tc>
        <w:tc>
          <w:tcPr>
            <w:tcW w:type="dxa" w:w="21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timing, not direction</w:t>
            </w:r>
          </w:p>
        </w:tc>
        <w:tc>
          <w:tcPr>
            <w:tcW w:type="dxa" w:w="3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convex to the FX-package follow-through, 2027-phased</w:t>
            </w:r>
          </w:p>
        </w:tc>
      </w:tr>
    </w:tbl>
    <w:p>
      <w:pPr>
        <w:spacing w:after="80" w:line="283" w:lineRule="auto"/>
      </w:pPr>
      <w:r>
        <w:rPr>
          <w:rFonts w:ascii="Public Sans" w:hAnsi="Public Sans"/>
          <w:b w:val="0"/>
          <w:i w:val="0"/>
          <w:color w:val="3D3E3E"/>
          <w:sz w:val="19"/>
        </w:rPr>
        <w:t>Positioning read: the June CPI (today) and the pace of promised inflows gate the whole complex. The structural package story is sound, but the 8 July oil re-spike undercut the entry — hold the HSBC package trades as one position sized to the CPI + first inflow data, not the thesis.</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30"/>
        </w:rPr>
        <w:t>TIER 3 — Universe appendices</w:t>
      </w:r>
    </w:p>
    <w:p>
      <w:pPr>
        <w:spacing w:before="240" w:after="100"/>
        <w:keepNext/>
        <w:pBdr>
          <w:bottom w:val="single" w:sz="6" w:space="2" w:color="D9DCD8"/>
        </w:pBdr>
      </w:pPr>
      <w:r>
        <w:rPr>
          <w:rFonts w:ascii="Georgia" w:hAnsi="Georgia"/>
          <w:b/>
          <w:color w:val="004527"/>
          <w:sz w:val="27"/>
        </w:rPr>
        <w:t>Total macro calendar (chronological, whole-universe)</w:t>
      </w:r>
    </w:p>
    <w:p>
      <w:pPr>
        <w:spacing w:after="80" w:line="283" w:lineRule="auto"/>
      </w:pPr>
      <w:r>
        <w:rPr>
          <w:rFonts w:ascii="Public Sans" w:hAnsi="Public Sans"/>
          <w:b w:val="0"/>
          <w:i w:val="0"/>
          <w:color w:val="3D3E3E"/>
          <w:sz w:val="19"/>
        </w:rPr>
        <w:t>Consensus/Prior where they exist; sourced from calendar.cb_events (BQL primary, TE fallback). Each line framed by what it tests.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522"/>
        <w:gridCol w:w="1522"/>
        <w:gridCol w:w="1522"/>
        <w:gridCol w:w="1522"/>
        <w:gridCol w:w="1522"/>
        <w:gridCol w:w="1522"/>
        <w:gridCol w:w="1522"/>
      </w:tblGrid>
      <w:tr>
        <w:trPr>
          <w:tblHeader w:val="true"/>
        </w:trPr>
        <w:tc>
          <w:tcPr>
            <w:tcW w:type="dxa" w:w="66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5"/>
              </w:rPr>
              <w:t>Date</w:t>
            </w:r>
          </w:p>
        </w:tc>
        <w:tc>
          <w:tcPr>
            <w:tcW w:type="dxa" w:w="5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5"/>
              </w:rPr>
              <w:t>Country</w:t>
            </w:r>
          </w:p>
        </w:tc>
        <w:tc>
          <w:tcPr>
            <w:tcW w:type="dxa" w:w="20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5"/>
              </w:rPr>
              <w:t>Event</w:t>
            </w:r>
          </w:p>
        </w:tc>
        <w:tc>
          <w:tcPr>
            <w:tcW w:type="dxa" w:w="170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5"/>
              </w:rPr>
              <w:t>Consensus</w:t>
            </w:r>
          </w:p>
        </w:tc>
        <w:tc>
          <w:tcPr>
            <w:tcW w:type="dxa" w:w="14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5"/>
              </w:rPr>
              <w:t>Prior</w:t>
            </w:r>
          </w:p>
        </w:tc>
        <w:tc>
          <w:tcPr>
            <w:tcW w:type="dxa" w:w="17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5"/>
              </w:rPr>
              <w:t>Actual (① where printed)</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5"/>
              </w:rPr>
              <w:t>Tests</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6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TH</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June CPI y/y</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2.7</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2.79</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2.42</w:t>
            </w:r>
            <w:r>
              <w:rPr>
                <w:rFonts w:ascii="Public Sans" w:hAnsi="Public Sans"/>
                <w:b w:val="0"/>
                <w:i w:val="0"/>
                <w:color w:val="3D3E3E"/>
                <w:sz w:val="15"/>
              </w:rPr>
              <w:t xml:space="preserve"> (core 1.23)</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BoT hold — undershoot cements it</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6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US</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ISM services</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54.0</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54.5</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54.0</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US resilience</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6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AU</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Melbourne Inst inflation y/y</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4.4</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3.9</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AU disinflation into 29 Jul CPI</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7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PH</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June CPI y/y</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6.5</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6.8</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6.4</w:t>
            </w:r>
            <w:r>
              <w:rPr>
                <w:rFonts w:ascii="Public Sans" w:hAnsi="Public Sans"/>
                <w:b w:val="0"/>
                <w:i w:val="0"/>
                <w:color w:val="3D3E3E"/>
                <w:sz w:val="15"/>
              </w:rPr>
              <w:t xml:space="preserve"> (core 4.4)</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BSP hike-bias</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7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CA</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Trade balance</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C$2.9bn</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C$3.41bn ®</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C$4.24bn</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CAD; BoC comfort</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7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JP</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Labor cash earnings y/y</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3.4</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3.5</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3.2</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BoJ wage momentum</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8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NZ</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RBNZ OCR</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2.50</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2.25</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2.50 (+25bp)</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delivered — hawkish, options open</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8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US</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FOMC minutes</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color w:val="3D3E3E"/>
                <w:sz w:val="15"/>
              </w:rPr>
              <w:t>(released)</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Fed cohesion / hike-pivot</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8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JP</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Household spending m/m</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1.4</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1.6</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3.7</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consumption momentum</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9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MY</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BNM OPR</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2.75</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2.75</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2.75 (hold)</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confident hold</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9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MY</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IP y/y</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9.4</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8.2</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8.4</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export-led resilience</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9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NZ</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Mfg PMI</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49.9</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59.7</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NZ activity turn</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9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US</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Initial claims</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217k</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215k</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215k</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labour resilience</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9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US</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Existing home sales</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4.2m</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4.17m</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4.09m</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the lone soft US print</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10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JP</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June PPI y/y</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6.8</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6.3</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color w:val="3D3E3E"/>
                <w:sz w:val="15"/>
              </w:rPr>
              <w:t>(window)</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behind-the-curve overshoot</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10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CA</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June jobs</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+10k / 6.6%</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+88k</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color w:val="3D3E3E"/>
                <w:sz w:val="15"/>
              </w:rPr>
              <w:t>(window)</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BoC hold comfort</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10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SG</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2Q GDP y/y</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5.55</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6.0</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color w:val="3D3E3E"/>
                <w:sz w:val="15"/>
              </w:rPr>
              <w:t>(prints 14)</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MAS output-gap case</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13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IN</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June CPI y/y</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4.2–4.4</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3.93</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color w:val="3D3E3E"/>
                <w:sz w:val="15"/>
              </w:rPr>
              <w:t>(today)</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receivers vs DB inflation-risk</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14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US</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June CPI</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core 2.9% / 0.3% m/m</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4.2%</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the Fed adjudicator</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14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SG</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MAS review + 2Q GDP</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GDP ~5.6%</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6.0</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steepen vs pause</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14–15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US</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Warsh testimony</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framework-review signal</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15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CA</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BoC decision + MPR</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hold 2.25</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2.25</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hold locked; tone</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15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US</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June PPI</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core 0.4% m/m</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1.1%</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core-PCE input</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16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KR</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BoK Base Rate</w:t>
            </w:r>
            <w:r>
              <w:rPr>
                <w:rFonts w:ascii="Public Sans" w:hAnsi="Public Sans"/>
                <w:b w:val="0"/>
                <w:i w:val="0"/>
                <w:color w:val="3D3E3E"/>
                <w:sz w:val="15"/>
              </w:rPr>
              <w:t xml:space="preserve"> (context)</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2.75 (+25)</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2.5</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25-vs-50</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16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UK</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GDP m/m</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+0.1</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−0.1</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services-led softening</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16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US</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Retail sales</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+0.3%</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+0.9%</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consumer resilience</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17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MY</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CPI + 2Q GDP</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2.1% / 4.8%</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2.0% / 5.4%</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BNM debate</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17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US</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Michigan sentiment prel</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51.0</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49.5</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sentiment off lows</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20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CA</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June CPI</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3.2%</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BoC-hold comfort</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21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NZ</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Q2 CPI</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3.1% / 0.9% q/q</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RBNZ 0.4% q/q hurdle</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21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UK</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Jobs</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u-rate 4.9%</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4.9%</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labour loosening</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22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ID</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BI-Rate</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hold 5.75</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5.75</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pro-stability vs hike tail</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22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UK</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June CPI</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2.7% (core 2.7%)</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2.8%</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BoE 30 Jul dilemma</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23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AU</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Labour</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u-rate 4.4%</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4.4%</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input to Q2 CPI</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23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SG</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June CPI</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1.8%</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benign backdrop</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24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JP</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June CPI</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1.5%</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BoJ October-hike</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24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IN</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Flash PMIs</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mfg 54.2 / svcs 57.4</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growth base</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29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AU</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Q2 CPI</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trimmed mean 3.5%</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3.5%</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RBA cycle-decider</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29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US</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FOMC</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hold 3.5–3.75</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3.75</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post-CPI tone</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30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UK</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BoE Bank Rate</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3.75</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cut-vs-hold split</w:t>
            </w:r>
          </w:p>
        </w:tc>
      </w:tr>
      <w:tr>
        <w:tc>
          <w:tcPr>
            <w:tcW w:type="dxa" w:w="6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5"/>
              </w:rPr>
              <w:t>30 Jul</w:t>
            </w:r>
          </w:p>
        </w:tc>
        <w:tc>
          <w:tcPr>
            <w:tcW w:type="dxa" w:w="5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US</w:t>
            </w:r>
          </w:p>
        </w:tc>
        <w:tc>
          <w:tcPr>
            <w:tcW w:type="dxa" w:w="20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Core PCE + Q2 GDP adv</w:t>
            </w:r>
          </w:p>
        </w:tc>
        <w:tc>
          <w:tcPr>
            <w:tcW w:type="dxa" w:w="17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PCE 0.3% m/m; GDP +2.1%</w:t>
            </w:r>
          </w:p>
        </w:tc>
        <w:tc>
          <w:tcPr>
            <w:tcW w:type="dxa" w:w="14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17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5"/>
              </w:rPr>
              <w:t>inflation + growth</w:t>
            </w:r>
          </w:p>
        </w:tc>
      </w:tr>
      <w:tr>
        <w:tc>
          <w:tcPr>
            <w:tcW w:type="dxa" w:w="6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31 Jul</w:t>
            </w:r>
          </w:p>
        </w:tc>
        <w:tc>
          <w:tcPr>
            <w:tcW w:type="dxa" w:w="5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JP</w:t>
            </w:r>
          </w:p>
        </w:tc>
        <w:tc>
          <w:tcPr>
            <w:tcW w:type="dxa" w:w="20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5"/>
              </w:rPr>
              <w:t>BoJ MPM + Outlook</w:t>
            </w:r>
          </w:p>
        </w:tc>
        <w:tc>
          <w:tcPr>
            <w:tcW w:type="dxa" w:w="17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hold 1.00</w:t>
            </w:r>
          </w:p>
        </w:tc>
        <w:tc>
          <w:tcPr>
            <w:tcW w:type="dxa" w:w="14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1.00</w:t>
            </w:r>
          </w:p>
        </w:tc>
        <w:tc>
          <w:tcPr>
            <w:tcW w:type="dxa" w:w="17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5"/>
              </w:rPr>
              <w:t>October-hike signpost</w:t>
            </w:r>
          </w:p>
        </w:tc>
      </w:tr>
    </w:tbl>
    <w:p>
      <w:pPr>
        <w:spacing w:before="240" w:after="100"/>
        <w:keepNext/>
        <w:pBdr>
          <w:bottom w:val="single" w:sz="6" w:space="2" w:color="D9DCD8"/>
        </w:pBdr>
      </w:pPr>
      <w:r>
        <w:rPr>
          <w:rFonts w:ascii="Georgia" w:hAnsi="Georgia"/>
          <w:b/>
          <w:color w:val="004527"/>
          <w:sz w:val="27"/>
        </w:rPr>
        <w:t>Source register</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32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51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Document (in-window flagship)</w:t>
            </w:r>
          </w:p>
        </w:tc>
        <w:tc>
          <w:tcPr>
            <w:tcW w:type="dxa" w:w="75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Date</w:t>
            </w:r>
          </w:p>
        </w:tc>
        <w:tc>
          <w:tcPr>
            <w:tcW w:type="dxa" w:w="17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report_id</w:t>
            </w:r>
          </w:p>
        </w:tc>
        <w:tc>
          <w:tcPr>
            <w:tcW w:type="dxa" w:w="16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IMDR folder</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J.P. Morgan</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Weekly Prospects</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17602</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research/jpm</w:t>
            </w:r>
          </w:p>
        </w:tc>
      </w:tr>
      <w:tr>
        <w:tc>
          <w:tcPr>
            <w:tcW w:type="dxa" w:w="13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 Morgan</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Australia and New Zealand: Weekly Prospects</w:t>
            </w:r>
          </w:p>
        </w:tc>
        <w:tc>
          <w:tcPr>
            <w:tcW w:type="dxa" w:w="7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12 Jul</w:t>
            </w:r>
          </w:p>
        </w:tc>
        <w:tc>
          <w:tcPr>
            <w:tcW w:type="dxa" w:w="1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17681</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research/jpm</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J.P. Morgan</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Global Data Diary / Global FI &amp; FX Markets Weekly</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17601, 17587, 17482</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research/jpm</w:t>
            </w:r>
          </w:p>
        </w:tc>
      </w:tr>
      <w:tr>
        <w:tc>
          <w:tcPr>
            <w:tcW w:type="dxa" w:w="13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Barclays</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Global Rates Weekly "Fingers crossed"</w:t>
            </w:r>
          </w:p>
        </w:tc>
        <w:tc>
          <w:tcPr>
            <w:tcW w:type="dxa" w:w="7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9 Jul</w:t>
            </w:r>
          </w:p>
        </w:tc>
        <w:tc>
          <w:tcPr>
            <w:tcW w:type="dxa" w:w="1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17115</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research/barclays</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Barclays</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Global Economics Weekly "The rest is (geo)politics"</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17562</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research/barclays</w:t>
            </w:r>
          </w:p>
        </w:tc>
      </w:tr>
      <w:tr>
        <w:tc>
          <w:tcPr>
            <w:tcW w:type="dxa" w:w="13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Barclays</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Emerging Markets Weekly "Extra time"</w:t>
            </w:r>
          </w:p>
        </w:tc>
        <w:tc>
          <w:tcPr>
            <w:tcW w:type="dxa" w:w="7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 Jul</w:t>
            </w:r>
          </w:p>
        </w:tc>
        <w:tc>
          <w:tcPr>
            <w:tcW w:type="dxa" w:w="1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17170</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research/barclays</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Deutsche Bank</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Asia Local Markets Weekly "Challenges for H2"</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17174</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research/db</w:t>
            </w:r>
          </w:p>
        </w:tc>
      </w:tr>
      <w:tr>
        <w:tc>
          <w:tcPr>
            <w:tcW w:type="dxa" w:w="13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Deutsche Bank</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India Economics Weekly</w:t>
            </w:r>
          </w:p>
        </w:tc>
        <w:tc>
          <w:tcPr>
            <w:tcW w:type="dxa" w:w="7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9 Jul</w:t>
            </w:r>
          </w:p>
        </w:tc>
        <w:tc>
          <w:tcPr>
            <w:tcW w:type="dxa" w:w="1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16948</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research/db</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Deutsche Bank</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Japan Economic Notes (Weekly)</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17209</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research/db</w:t>
            </w:r>
          </w:p>
        </w:tc>
      </w:tr>
      <w:tr>
        <w:tc>
          <w:tcPr>
            <w:tcW w:type="dxa" w:w="13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EM Strategy Weekly (ID/MY/CN/KR)</w:t>
            </w:r>
          </w:p>
        </w:tc>
        <w:tc>
          <w:tcPr>
            <w:tcW w:type="dxa" w:w="7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 Jul</w:t>
            </w:r>
          </w:p>
        </w:tc>
        <w:tc>
          <w:tcPr>
            <w:tcW w:type="dxa" w:w="1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17203</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research/citi</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Asia Economics Week Ahead</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9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16797</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research/citi</w:t>
            </w:r>
          </w:p>
        </w:tc>
      </w:tr>
      <w:tr>
        <w:tc>
          <w:tcPr>
            <w:tcW w:type="dxa" w:w="13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Point (per region, daily)</w:t>
            </w:r>
          </w:p>
        </w:tc>
        <w:tc>
          <w:tcPr>
            <w:tcW w:type="dxa" w:w="7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6–13 Jul</w:t>
            </w:r>
          </w:p>
        </w:tc>
        <w:tc>
          <w:tcPr>
            <w:tcW w:type="dxa" w:w="1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15749…17667</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research/citi</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Nomura</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Economic Weekly "The force awakens"</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17555</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research/nomura</w:t>
            </w:r>
          </w:p>
        </w:tc>
      </w:tr>
      <w:tr>
        <w:tc>
          <w:tcPr>
            <w:tcW w:type="dxa" w:w="13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Nomura</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Japan equity weekly / JPY Weekly (GPIF)</w:t>
            </w:r>
          </w:p>
        </w:tc>
        <w:tc>
          <w:tcPr>
            <w:tcW w:type="dxa" w:w="7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9–10 Jul</w:t>
            </w:r>
          </w:p>
        </w:tc>
        <w:tc>
          <w:tcPr>
            <w:tcW w:type="dxa" w:w="1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17078, 17502</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research/nomura</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Nomura</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Japan Research Pack (daily)</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6–12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16086…17684</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research/nomura</w:t>
            </w:r>
          </w:p>
        </w:tc>
      </w:tr>
      <w:tr>
        <w:tc>
          <w:tcPr>
            <w:tcW w:type="dxa" w:w="13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HSBC</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India Macro Strategy "A summer of hope"</w:t>
            </w:r>
          </w:p>
        </w:tc>
        <w:tc>
          <w:tcPr>
            <w:tcW w:type="dxa" w:w="7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7 Jul</w:t>
            </w:r>
          </w:p>
        </w:tc>
        <w:tc>
          <w:tcPr>
            <w:tcW w:type="dxa" w:w="1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16316</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research/hsbc</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UBS</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ASEAN Weekly (ID fiscal, PH/TH CPI)</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17291</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research/ubs</w:t>
            </w:r>
          </w:p>
        </w:tc>
      </w:tr>
      <w:tr>
        <w:tc>
          <w:tcPr>
            <w:tcW w:type="dxa" w:w="13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UBS</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Global Rates "Weekly Supply Preview"</w:t>
            </w:r>
          </w:p>
        </w:tc>
        <w:tc>
          <w:tcPr>
            <w:tcW w:type="dxa" w:w="7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 Jul</w:t>
            </w:r>
          </w:p>
        </w:tc>
        <w:tc>
          <w:tcPr>
            <w:tcW w:type="dxa" w:w="1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17425</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research/ubs</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Goldman Sachs</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Canadian Rates Weekly; US Economics Weekly; India Wrap</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6–10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16386, 16129, 17386</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research/goldman</w:t>
            </w:r>
          </w:p>
        </w:tc>
      </w:tr>
      <w:tr>
        <w:tc>
          <w:tcPr>
            <w:tcW w:type="dxa" w:w="13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Morgan Stanley</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Weekly Warm-up; Weekly Monitor (China); Hormuz Tracker</w:t>
            </w:r>
          </w:p>
        </w:tc>
        <w:tc>
          <w:tcPr>
            <w:tcW w:type="dxa" w:w="7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6–10 Jul</w:t>
            </w:r>
          </w:p>
        </w:tc>
        <w:tc>
          <w:tcPr>
            <w:tcW w:type="dxa" w:w="1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15763, 17355, 17103</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research/ms</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 Weekly Data Wrap; Australian Macro Weekly; Asia Macro Weekly</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9–10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16769, 17168, 17169</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research/anz</w:t>
            </w:r>
          </w:p>
        </w:tc>
      </w:tr>
      <w:tr>
        <w:tc>
          <w:tcPr>
            <w:tcW w:type="dxa" w:w="13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Westpac</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Australia and NZ Weekly; What's Priced In</w:t>
            </w:r>
          </w:p>
        </w:tc>
        <w:tc>
          <w:tcPr>
            <w:tcW w:type="dxa" w:w="7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 Jul</w:t>
            </w:r>
          </w:p>
        </w:tc>
        <w:tc>
          <w:tcPr>
            <w:tcW w:type="dxa" w:w="1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17295, 17293</w:t>
            </w:r>
          </w:p>
        </w:tc>
        <w:tc>
          <w:tcPr>
            <w:tcW w:type="dxa" w:w="1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research/westpac</w:t>
            </w:r>
          </w:p>
        </w:tc>
      </w:tr>
      <w:tr>
        <w:tc>
          <w:tcPr>
            <w:tcW w:type="dxa" w:w="13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SocGen</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Global EM Weekly; FI Weekly</w:t>
            </w:r>
          </w:p>
        </w:tc>
        <w:tc>
          <w:tcPr>
            <w:tcW w:type="dxa" w:w="7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9–10 Jul</w:t>
            </w:r>
          </w:p>
        </w:tc>
        <w:tc>
          <w:tcPr>
            <w:tcW w:type="dxa" w:w="1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17229, 17616</w:t>
            </w:r>
          </w:p>
        </w:tc>
        <w:tc>
          <w:tcPr>
            <w:tcW w:type="dxa" w:w="1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research/socgen</w:t>
            </w:r>
          </w:p>
        </w:tc>
      </w:tr>
    </w:tbl>
    <w:p>
      <w:pPr>
        <w:spacing w:after="80" w:line="283" w:lineRule="auto"/>
      </w:pPr>
      <w:r>
        <w:rPr>
          <w:rFonts w:ascii="Public Sans" w:hAnsi="Public Sans"/>
          <w:b/>
          <w:i w:val="0"/>
          <w:color w:val="3D3E3E"/>
          <w:sz w:val="19"/>
        </w:rPr>
        <w:t>Deeper reads not yet performed:</w:t>
      </w:r>
      <w:r>
        <w:rPr>
          <w:rFonts w:ascii="Public Sans" w:hAnsi="Public Sans"/>
          <w:b w:val="0"/>
          <w:i w:val="0"/>
          <w:color w:val="3D3E3E"/>
          <w:sz w:val="19"/>
        </w:rPr>
        <w:t xml:space="preserve"> JPM Global Data Diary (17601) and Global FI/FX Markets Weekly (17587/17482) skimmed via title + cross-references, not full-text; Citi "The Point" daily series (≈40 in-window) sampled by region rather than read in full; GS Canadian Rates Weekly (16386) is a rates-strategy update read at the summary level; Nomura Japan Research Packs read selectively; SocGen/BNP credit weeklies noted not deep-read (credit-macro out of the rates/FX core). No single-name or sector-equity, securitised-product, or CLO/CMBS weeklies were read (out of scope per the relevance filter). Korea drives the North-Asia complex but sits outside the 13-country roster — carried in themes, tensions and the calendar, not given a Tier-2 section.</w:t>
      </w:r>
    </w:p>
    <w:p>
      <w:pPr>
        <w:spacing w:after="80" w:line="283" w:lineRule="auto"/>
      </w:pPr>
      <w:r>
        <w:rPr>
          <w:rFonts w:ascii="Public Sans" w:hAnsi="Public Sans"/>
          <w:b w:val="0"/>
          <w:i/>
          <w:color w:val="3D3E3E"/>
          <w:sz w:val="19"/>
        </w:rPr>
        <w:t>Internal use only — not investment advice. Prepared by RV Capital's macro research desk (Spider) from the IMDR research library and market layers. Views attributed to sell-side houses are those of the respective banks, summarised neutrally where quoted and judged only in the Argument Audits, which rest on cited numbers or stated house logic.</w:t>
      </w:r>
    </w:p>
    <w:p>
      <w:pPr>
        <w:spacing w:before="240" w:after="100"/>
        <w:keepNext/>
        <w:pBdr>
          <w:bottom w:val="single" w:sz="6" w:space="2" w:color="D9DCD8"/>
        </w:pBdr>
      </w:pPr>
      <w:r>
        <w:rPr>
          <w:rFonts w:ascii="Georgia" w:hAnsi="Georgia"/>
          <w:b/>
          <w:color w:val="004527"/>
          <w:sz w:val="27"/>
        </w:rPr>
        <w:t>Coverage line</w:t>
      </w:r>
    </w:p>
    <w:p>
      <w:pPr>
        <w:spacing w:after="80" w:line="283" w:lineRule="auto"/>
      </w:pPr>
      <w:r>
        <w:rPr>
          <w:rFonts w:ascii="Public Sans" w:hAnsi="Public Sans"/>
          <w:b w:val="0"/>
          <w:i w:val="0"/>
          <w:color w:val="3D3E3E"/>
          <w:sz w:val="19"/>
        </w:rPr>
        <w:t xml:space="preserve">In-window reports (6–12 Jul, all vendors): </w:t>
      </w:r>
      <w:r>
        <w:rPr>
          <w:rFonts w:ascii="Public Sans" w:hAnsi="Public Sans"/>
          <w:b/>
          <w:i w:val="0"/>
          <w:color w:val="3D3E3E"/>
          <w:sz w:val="19"/>
        </w:rPr>
        <w:t>~2,159</w:t>
      </w:r>
      <w:r>
        <w:rPr>
          <w:rFonts w:ascii="Public Sans" w:hAnsi="Public Sans"/>
          <w:b w:val="0"/>
          <w:i w:val="0"/>
          <w:color w:val="3D3E3E"/>
          <w:sz w:val="19"/>
        </w:rPr>
        <w:t xml:space="preserve"> · sell-side weekly/flagship series identified: </w:t>
      </w:r>
      <w:r>
        <w:rPr>
          <w:rFonts w:ascii="Public Sans" w:hAnsi="Public Sans"/>
          <w:b/>
          <w:i w:val="0"/>
          <w:color w:val="3D3E3E"/>
          <w:sz w:val="19"/>
        </w:rPr>
        <w:t>204</w:t>
      </w:r>
      <w:r>
        <w:rPr>
          <w:rFonts w:ascii="Public Sans" w:hAnsi="Public Sans"/>
          <w:b w:val="0"/>
          <w:i w:val="0"/>
          <w:color w:val="3D3E3E"/>
          <w:sz w:val="19"/>
        </w:rPr>
        <w:t xml:space="preserve"> · deep-read in full: </w:t>
      </w:r>
      <w:r>
        <w:rPr>
          <w:rFonts w:ascii="Public Sans" w:hAnsi="Public Sans"/>
          <w:b/>
          <w:i w:val="0"/>
          <w:color w:val="3D3E3E"/>
          <w:sz w:val="19"/>
        </w:rPr>
        <w:t>18 flagships</w:t>
      </w:r>
      <w:r>
        <w:rPr>
          <w:rFonts w:ascii="Public Sans" w:hAnsi="Public Sans"/>
          <w:b w:val="0"/>
          <w:i w:val="0"/>
          <w:color w:val="3D3E3E"/>
          <w:sz w:val="19"/>
        </w:rPr>
        <w:t xml:space="preserve"> across 11 houses · distinct reports cited: </w:t>
      </w:r>
      <w:r>
        <w:rPr>
          <w:rFonts w:ascii="Public Sans" w:hAnsi="Public Sans"/>
          <w:b/>
          <w:i w:val="0"/>
          <w:color w:val="3D3E3E"/>
          <w:sz w:val="19"/>
        </w:rPr>
        <w:t>~40</w:t>
      </w:r>
      <w:r>
        <w:rPr>
          <w:rFonts w:ascii="Public Sans" w:hAnsi="Public Sans"/>
          <w:b w:val="0"/>
          <w:i w:val="0"/>
          <w:color w:val="3D3E3E"/>
          <w:sz w:val="19"/>
        </w:rPr>
        <w:t xml:space="preserve"> · countries with a full section: </w:t>
      </w:r>
      <w:r>
        <w:rPr>
          <w:rFonts w:ascii="Public Sans" w:hAnsi="Public Sans"/>
          <w:b/>
          <w:i w:val="0"/>
          <w:color w:val="3D3E3E"/>
          <w:sz w:val="19"/>
        </w:rPr>
        <w:t>13/13</w:t>
      </w:r>
      <w:r>
        <w:rPr>
          <w:rFonts w:ascii="Public Sans" w:hAnsi="Public Sans"/>
          <w:b w:val="0"/>
          <w:i w:val="0"/>
          <w:color w:val="3D3E3E"/>
          <w:sz w:val="19"/>
        </w:rPr>
        <w:t xml:space="preserve"> · CB decisions verified against cb_events: RBNZ (hike 2.50), BNM (hold 2.75), plus the forward wall · driver subsections: 44 · spiderchart embeds: 19 · desk-read tables: 22.</w:t>
      </w:r>
    </w:p>
    <w:p>
      <w:pP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48"/>
        <w:gridCol w:w="8208"/>
      </w:tblGrid>
      <w:tr>
        <w:tc>
          <w:tcPr>
            <w:tcW w:type="dxa" w:w="2448"/>
            <w:shd w:val="clear" w:color="auto" w:fill="001830"/>
            <w:tcMar>
              <w:top w:w="150" w:type="dxa"/>
              <w:bottom w:w="150" w:type="dxa"/>
              <w:start w:w="170" w:type="dxa"/>
              <w:end w:w="170" w:type="dxa"/>
              <w:left w:w="170" w:type="dxa"/>
              <w:right w:w="170" w:type="dxa"/>
            </w:tcMar>
            <w:vAlign w:val="center"/>
          </w:tcPr>
          <w:p>
            <w:r>
              <w:drawing>
                <wp:inline xmlns:a="http://schemas.openxmlformats.org/drawingml/2006/main" xmlns:pic="http://schemas.openxmlformats.org/drawingml/2006/picture">
                  <wp:extent cx="1280160" cy="428712"/>
                  <wp:docPr id="2" name="Picture 2"/>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280160" cy="428712"/>
                          </a:xfrm>
                          <a:prstGeom prst="rect"/>
                        </pic:spPr>
                      </pic:pic>
                    </a:graphicData>
                  </a:graphic>
                </wp:inline>
              </w:drawing>
            </w:r>
          </w:p>
        </w:tc>
        <w:tc>
          <w:tcPr>
            <w:tcW w:type="dxa" w:w="8208"/>
            <w:shd w:val="clear" w:color="auto" w:fill="001830"/>
            <w:tcMar>
              <w:top w:w="150" w:type="dxa"/>
              <w:bottom w:w="150" w:type="dxa"/>
              <w:start w:w="170" w:type="dxa"/>
              <w:end w:w="170" w:type="dxa"/>
              <w:left w:w="170" w:type="dxa"/>
              <w:right w:w="170" w:type="dxa"/>
            </w:tcMar>
            <w:vAlign w:val="center"/>
          </w:tcPr>
          <w:p>
            <w:pPr>
              <w:jc w:val="right"/>
            </w:pPr>
            <w:r>
              <w:rPr>
                <w:rFonts w:ascii="Public Sans" w:hAnsi="Public Sans"/>
                <w:b/>
                <w:color w:val="FFFFFF"/>
                <w:sz w:val="18"/>
              </w:rPr>
              <w:t>RV Capital  ·  Macro Macro Research Digest (Spider · demo)</w:t>
            </w:r>
          </w:p>
          <w:p>
            <w:pPr>
              <w:spacing w:before="40"/>
              <w:jc w:val="right"/>
            </w:pPr>
            <w:r>
              <w:rPr>
                <w:rFonts w:ascii="Public Sans" w:hAnsi="Public Sans"/>
                <w:color w:val="85A2BE"/>
                <w:sz w:val="15"/>
              </w:rPr>
              <w:t>Opinion &amp; trade-extraction tool, not a clipping service. Internal use only — not investment advice.</w:t>
            </w:r>
          </w:p>
        </w:tc>
      </w:tr>
    </w:tbl>
    <w:sectPr w:rsidR="00FC693F" w:rsidRPr="0006063C" w:rsidSect="00034616">
      <w:footerReference w:type="default" r:id="rId10"/>
      <w:pgSz w:w="12240" w:h="15840"/>
      <w:pgMar w:top="792"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color w:val="7A7C7C"/>
        <w:sz w:val="15"/>
      </w:rPr>
      <w:t xml:space="preserve">RV Capital  ·  Macro Macro Research Digest (Spider · demo)  ·  page </w:t>
    </w:r>
    <w:fldSimple w:instr="PAGE">
      <w:r>
        <w:rPr>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Public Sans" w:hAnsi="Public Sans"/>
      <w:color w:val="3D3E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