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73"/>
          <w:sz w:val="40"/>
        </w:rPr>
        <w:t>Analyse experte de l'introduction générale</w:t>
      </w:r>
    </w:p>
    <w:p>
      <w:pPr>
        <w:jc w:val="center"/>
      </w:pPr>
      <w:r>
        <w:rPr>
          <w:i/>
          <w:color w:val="555555"/>
          <w:sz w:val="22"/>
        </w:rPr>
        <w:t>Remarques, critiques et recommandations</w:t>
      </w:r>
    </w:p>
    <w:p/>
    <w:p>
      <w:pPr>
        <w:jc w:val="center"/>
      </w:pPr>
      <w:r>
        <w:rPr>
          <w:i/>
          <w:sz w:val="22"/>
        </w:rPr>
        <w:t>Thèse : « Attractivité et positionnement stratégique des activités portuaires dans une chaîne logistique : cas du Port Autonome de Brazzaville »</w:t>
      </w:r>
    </w:p>
    <w:p>
      <w:pPr>
        <w:jc w:val="center"/>
      </w:pPr>
      <w:r>
        <w:rPr>
          <w:color w:val="555555"/>
          <w:sz w:val="20"/>
        </w:rPr>
        <w:t>Document d'évaluation — 30 juin 2026</w:t>
      </w:r>
    </w:p>
    <w:p>
      <w:pPr>
        <w:pBdr>
          <w:bottom w:val="single" w:sz="6" w:space="1" w:color="1F3B73"/>
        </w:pBdr>
      </w:pPr>
    </w:p>
    <w:p>
      <w:pPr>
        <w:pStyle w:val="Heading1"/>
      </w:pPr>
      <w:r>
        <w:rPr>
          <w:b/>
          <w:color w:val="1F3B73"/>
          <w:sz w:val="30"/>
        </w:rPr>
        <w:t>1. Appréciation globale</w:t>
      </w:r>
    </w:p>
    <w:p>
      <w:pPr>
        <w:spacing w:after="120"/>
        <w:jc w:val="both"/>
      </w:pPr>
      <w:r>
        <w:rPr>
          <w:b w:val="0"/>
          <w:i w:val="0"/>
          <w:sz w:val="22"/>
        </w:rPr>
        <w:t>Le texte est ambitieux, bien documenté et fluide. La revue de littérature est riche (Porter, Notteboom, de Langen, Rodrigue, Brooks, Ballou, Christopher, Chopra…), l'articulation des trois concepts — attractivité / positionnement / chaîne logistique — est pertinente, et l'ancrage sur un cas peu étudié (port fluvial d'Afrique centrale) constitue un véritable apport scientifique.</w:t>
      </w:r>
    </w:p>
    <w:p>
      <w:pPr>
        <w:spacing w:after="120"/>
        <w:jc w:val="both"/>
      </w:pPr>
      <w:r>
        <w:rPr>
          <w:b w:val="0"/>
          <w:i w:val="0"/>
          <w:sz w:val="22"/>
        </w:rPr>
        <w:t>Toutefois, l'ensemble souffre de trois faiblesses majeures de cohérence qui seront immédiatement relevées par un jury : (1) une incohérence entre questions, objectifs et propositions ; (2) une tension épistémologique non résolue (posture qualitative vs. propositions « testables ») ; (3) un appareil de citation par endroits fragile. Elles sont détaillées ci-dessous.</w:t>
      </w:r>
    </w:p>
    <w:p>
      <w:pPr>
        <w:pStyle w:val="Heading1"/>
      </w:pPr>
      <w:r>
        <w:rPr>
          <w:b/>
          <w:color w:val="1F3B73"/>
          <w:sz w:val="30"/>
        </w:rPr>
        <w:t>2. Problèmes de fond (à corriger en priorité)</w:t>
      </w:r>
    </w:p>
    <w:p>
      <w:pPr>
        <w:pStyle w:val="Heading2"/>
      </w:pPr>
      <w:r>
        <w:rPr>
          <w:b/>
          <w:color w:val="B01C1C"/>
          <w:sz w:val="25"/>
        </w:rPr>
        <w:t>2.1 Les deux questions subsidiaires sont quasi identiques (critique)</w:t>
      </w:r>
    </w:p>
    <w:p>
      <w:pPr>
        <w:spacing w:after="120"/>
        <w:jc w:val="both"/>
      </w:pPr>
      <w:r>
        <w:rPr>
          <w:b w:val="0"/>
          <w:i w:val="0"/>
          <w:sz w:val="22"/>
        </w:rPr>
        <w:t>Les deux questions ne diffèrent que par les mots « rôle » et « effet », le reste de la formulation étant identique. Cela ne suffit pas à distinguer deux questions de recherche : la seconde est une reformulation de la première. Un jury y verra une faiblesse de conceptualisation.</w:t>
      </w:r>
    </w:p>
    <w:p>
      <w:pPr>
        <w:spacing w:after="120"/>
        <w:jc w:val="both"/>
      </w:pPr>
      <w:r>
        <w:rPr>
          <w:b/>
          <w:i w:val="0"/>
          <w:sz w:val="22"/>
        </w:rPr>
        <w:t>Recommandation — les différencier réellement :</w:t>
      </w:r>
    </w:p>
    <w:p>
      <w:pPr>
        <w:pStyle w:val="ListBullet"/>
        <w:jc w:val="both"/>
      </w:pPr>
      <w:r>
        <w:rPr>
          <w:b/>
        </w:rPr>
        <w:t xml:space="preserve">Q1 (descriptive / diagnostique) : </w:t>
      </w:r>
      <w:r>
        <w:t xml:space="preserve"> Quels sont les facteurs d'attractivité (manutention, TIC, information, coûts) mobilisés par le port de Brazzaville et comment se structurent-ils ?</w:t>
      </w:r>
    </w:p>
    <w:p>
      <w:pPr>
        <w:pStyle w:val="ListBullet"/>
        <w:jc w:val="both"/>
      </w:pPr>
      <w:r>
        <w:rPr>
          <w:b/>
        </w:rPr>
        <w:t xml:space="preserve">Q2 (explicative / relationnelle) : </w:t>
      </w:r>
      <w:r>
        <w:t xml:space="preserve"> Dans quelle mesure ces facteurs influencent-ils le positionnement stratégique et les parts de marché du port dans la chaîne logistique régionale ?</w:t>
      </w:r>
    </w:p>
    <w:p>
      <w:pPr>
        <w:pStyle w:val="Heading2"/>
      </w:pPr>
      <w:r>
        <w:rPr>
          <w:b/>
          <w:color w:val="B01C1C"/>
          <w:sz w:val="25"/>
        </w:rPr>
        <w:t>2.2 Désalignement question principale → objectifs → propositions</w:t>
      </w:r>
    </w:p>
    <w:p>
      <w:pPr>
        <w:spacing w:after="120"/>
        <w:jc w:val="both"/>
      </w:pPr>
      <w:r>
        <w:rPr>
          <w:b w:val="0"/>
          <w:i w:val="0"/>
          <w:sz w:val="22"/>
        </w:rPr>
        <w:t>L'architecture logique se rompt à plusieurs endroits :</w:t>
      </w:r>
    </w:p>
    <w:p>
      <w:pPr>
        <w:pStyle w:val="ListBullet"/>
        <w:jc w:val="both"/>
      </w:pPr>
      <w:r>
        <w:t>Les deux objectifs spécifiques sont quasi miroir l'un de l'autre (« évaluer comment… » / « analyser l'effet de… »), reproduisant la redondance des questions.</w:t>
      </w:r>
    </w:p>
    <w:p>
      <w:pPr>
        <w:pStyle w:val="ListBullet"/>
        <w:jc w:val="both"/>
      </w:pPr>
      <w:r>
        <w:t>La section 6 annonce « une proposition centrale, complétée par trois propositions secondaires », mais le texte ne présente qu'une proposition principale et une seule « proposition rivale ». Les trois propositions secondaires annoncées sont absentes.</w:t>
      </w:r>
    </w:p>
    <w:p>
      <w:pPr>
        <w:spacing w:after="120"/>
        <w:jc w:val="both"/>
      </w:pPr>
      <w:r>
        <w:rPr>
          <w:b/>
          <w:i w:val="0"/>
          <w:sz w:val="22"/>
        </w:rPr>
        <w:t>Recommandation : soit ajouter réellement 3 propositions secondaires (une par facteur clé : manutention, TIC/information, coûts), soit corriger l'annonce. En l'état, c'est une promesse non tenue très visible.</w:t>
      </w:r>
    </w:p>
    <w:p>
      <w:pPr>
        <w:pStyle w:val="Heading2"/>
      </w:pPr>
      <w:r>
        <w:rPr>
          <w:b/>
          <w:color w:val="B01C1C"/>
          <w:sz w:val="25"/>
        </w:rPr>
        <w:t>2.3 Tension épistémologique non résolue : qualitatif vs. propositions « testables »</w:t>
      </w:r>
    </w:p>
    <w:p>
      <w:pPr>
        <w:spacing w:after="120"/>
        <w:jc w:val="both"/>
      </w:pPr>
      <w:r>
        <w:rPr>
          <w:b w:val="0"/>
          <w:i w:val="0"/>
          <w:sz w:val="22"/>
        </w:rPr>
        <w:t>Le texte annonce une posture compréhensive / interprétativiste (Weber, Gioia) et une approche qualitative exploratoire, mais formule des « propositions testables », une « proposition rivale », et parle de « vérifier empiriquement », de « liens de causalité ou de corrélation », voire d'analyse « corrélationnelle ». Ce vocabulaire est hypothético-déductif / positiviste et contredit la posture compréhensive affichée.</w:t>
      </w:r>
    </w:p>
    <w:p>
      <w:pPr>
        <w:spacing w:after="120"/>
        <w:jc w:val="both"/>
      </w:pPr>
      <w:r>
        <w:rPr>
          <w:b w:val="0"/>
          <w:i w:val="0"/>
          <w:sz w:val="22"/>
        </w:rPr>
        <w:t>Deux options cohérentes :</w:t>
      </w:r>
    </w:p>
    <w:p>
      <w:pPr>
        <w:pStyle w:val="ListBullet"/>
        <w:jc w:val="both"/>
      </w:pPr>
      <w:r>
        <w:rPr>
          <w:b/>
        </w:rPr>
        <w:t xml:space="preserve">Option A (recommandée, vu le terrain) : </w:t>
      </w:r>
      <w:r>
        <w:t xml:space="preserve"> assumer le qualitatif/interprétativiste → remplacer « hypothèses » et « causalité » par « propositions de recherche » (au sens de Yin), parler de « mettre à l'épreuve » plutôt que « tester », abandonner le lexique corrélationnel.</w:t>
      </w:r>
    </w:p>
    <w:p>
      <w:pPr>
        <w:pStyle w:val="ListBullet"/>
        <w:jc w:val="both"/>
      </w:pPr>
      <w:r>
        <w:rPr>
          <w:b/>
        </w:rPr>
        <w:t xml:space="preserve">Option B : </w:t>
      </w:r>
      <w:r>
        <w:t xml:space="preserve"> assumer une vraie démarche mixte structurée — mais le devis quantitatif doit alors être réellement spécifié (variables, indicateurs, échantillon), ce que la rareté des données rend peu réaliste.</w:t>
      </w:r>
    </w:p>
    <w:p>
      <w:pPr>
        <w:spacing w:after="120"/>
        <w:jc w:val="both"/>
      </w:pPr>
      <w:r>
        <w:rPr>
          <w:b w:val="0"/>
          <w:i w:val="0"/>
          <w:sz w:val="22"/>
        </w:rPr>
        <w:t>Note : le terme « proposition rivale » est mal employé. Ce qui est décrit (politiques publiques, infrastructures, gouvernance comme déterminants communs) est une hypothèse alternative / explication concurrente — idée pertinente, mais à nommer correctement et à relier à un design permettant de la départager.</w:t>
      </w:r>
    </w:p>
    <w:p>
      <w:pPr>
        <w:pStyle w:val="Heading2"/>
      </w:pPr>
      <w:r>
        <w:rPr>
          <w:b/>
          <w:color w:val="1F3B73"/>
          <w:sz w:val="25"/>
        </w:rPr>
        <w:t>2.4 Citations fragiles / sources non académiques</w:t>
      </w:r>
    </w:p>
    <w:p>
      <w:pPr>
        <w:pStyle w:val="ListBullet"/>
        <w:jc w:val="both"/>
      </w:pPr>
      <w:r>
        <w:t>« Facebook Officiel Congelcam (2025) » et un quotidien comme source d'un montant chiffré : à manier avec prudence. Conserver l'exemple Congelcam/Douala/Kribi (excellente accroche empirique), mais trianguler avec une source institutionnelle ou de presse économique reconnue, et formuler les chiffres au conditionnel.</w:t>
      </w:r>
    </w:p>
    <w:p>
      <w:pPr>
        <w:pStyle w:val="ListBullet"/>
        <w:jc w:val="both"/>
      </w:pPr>
      <w:r>
        <w:t>Citations directes entre guillemets attribuées à Notteboom, de Langen, Rodrigue, Brooks, Porter : s'assurer qu'il s'agit de citations littérales paginées (n° de page) et non de paraphrases. Mettre une paraphrase entre guillemets est une faute académique.</w:t>
      </w:r>
    </w:p>
    <w:p>
      <w:pPr>
        <w:pStyle w:val="ListBullet"/>
        <w:jc w:val="both"/>
      </w:pPr>
      <w:r>
        <w:t>Plusieurs auteurs sont datés différemment selon les sections (Notteboom 2005/2006/2008/2010 ; de Langen 2004/2007 ; Brooks 2011/2012 ; Rodrigue 2010/2013). Vérifier que chaque date correspond à une référence réellement présente dans la bibliographie.</w:t>
      </w:r>
    </w:p>
    <w:p>
      <w:pPr>
        <w:pStyle w:val="Heading2"/>
      </w:pPr>
      <w:r>
        <w:rPr>
          <w:b/>
          <w:color w:val="1F3B73"/>
          <w:sz w:val="25"/>
        </w:rPr>
        <w:t>2.5 Section « État de l'art » : redondance avec le contexte</w:t>
      </w:r>
    </w:p>
    <w:p>
      <w:pPr>
        <w:spacing w:after="120"/>
        <w:jc w:val="both"/>
      </w:pPr>
      <w:r>
        <w:rPr>
          <w:b w:val="0"/>
          <w:i w:val="0"/>
          <w:sz w:val="22"/>
        </w:rPr>
        <w:t>L'« État de l'art » (section 2) réexpose longuement ce qui a déjà été développé dans le « Contexte » (section 1) — mêmes auteurs, mêmes définitions. Il y a un doublon de plusieurs pages.</w:t>
      </w:r>
    </w:p>
    <w:p>
      <w:pPr>
        <w:spacing w:after="120"/>
        <w:jc w:val="both"/>
      </w:pPr>
      <w:r>
        <w:rPr>
          <w:b/>
          <w:i w:val="0"/>
          <w:sz w:val="22"/>
        </w:rPr>
        <w:t>Recommandation : différencier les fonctions. Le contexte pose le problème empirique et l'enjeu (« pourquoi maintenant ») ; l'état de l'art fait une synthèse critique de la littérature et identifie le gap (ce que la littérature ne traite pas pour les ports fluviaux africains).</w:t>
      </w:r>
    </w:p>
    <w:p>
      <w:pPr>
        <w:pStyle w:val="Heading2"/>
      </w:pPr>
      <w:r>
        <w:rPr>
          <w:b/>
          <w:color w:val="1F3B73"/>
          <w:sz w:val="25"/>
        </w:rPr>
        <w:t>2.6 Le « gap » mérite d'être affirmé plus tôt et plus fort</w:t>
      </w:r>
    </w:p>
    <w:p>
      <w:pPr>
        <w:spacing w:after="120"/>
        <w:jc w:val="both"/>
      </w:pPr>
      <w:r>
        <w:rPr>
          <w:b w:val="0"/>
          <w:i w:val="0"/>
          <w:sz w:val="22"/>
        </w:rPr>
        <w:t>La vraie originalité — les ports fluviaux d'Afrique centrale sont peu documentés, et les approches reliant attractivité/positionnement négligent les facteurs exogènes, socio-politiques et la résilience — n'apparaît qu'à la fin (sections 3 et 7). La remonter dans l'état de l'art comme verrou scientifique explicite.</w:t>
      </w:r>
    </w:p>
    <w:p>
      <w:pPr>
        <w:pStyle w:val="Heading1"/>
      </w:pPr>
      <w:r>
        <w:rPr>
          <w:b/>
          <w:color w:val="1F3B73"/>
          <w:sz w:val="30"/>
        </w:rPr>
        <w:t>3. Cohérence du cadre théorique</w:t>
      </w:r>
    </w:p>
    <w:p>
      <w:pPr>
        <w:spacing w:after="120"/>
        <w:jc w:val="both"/>
      </w:pPr>
      <w:r>
        <w:rPr>
          <w:b w:val="0"/>
          <w:i w:val="0"/>
          <w:sz w:val="22"/>
        </w:rPr>
        <w:t>Point fort : la section « Objet de l'étude » (3) est la meilleure du texte sur le plan critique. Elle dépasse la lecture mécaniste attractivité→positionnement en intégrant facteurs exogènes (Rodrigue/Comtois/Slack, Hall &amp; Jacobs), durabilité (Acciaro &amp; Vanelslander), gouvernance et politique (Ng &amp; Pallis, Gouvernal &amp; Debrie, Brooks &amp; Cullinane) et résilience. C'est un véritable positionnement scientifique.</w:t>
      </w:r>
    </w:p>
    <w:p>
      <w:pPr>
        <w:spacing w:after="120"/>
        <w:jc w:val="both"/>
      </w:pPr>
      <w:r>
        <w:rPr>
          <w:b/>
          <w:i w:val="0"/>
          <w:sz w:val="22"/>
        </w:rPr>
        <w:t>Conséquence à tirer : ce raisonnement implique que le modèle d'analyse ne peut pas être un simple lien à deux variables. Or les questions/objectifs (sections 4-5) rétrécissent ensuite l'analyse à 4 facteurs internes (manutention, TIC, information, coûts). Il y a une perte de richesse entre la section 3 (systémique, multi-niveaux) et les sections 4-6 (technico-économiques). Réconcilier les deux en intégrant au moins une dimension gouvernance/exogène dans les objectifs.</w:t>
      </w:r>
    </w:p>
    <w:p>
      <w:pPr>
        <w:pStyle w:val="Heading1"/>
      </w:pPr>
      <w:r>
        <w:rPr>
          <w:b/>
          <w:color w:val="1F3B73"/>
          <w:sz w:val="30"/>
        </w:rPr>
        <w:t>4. Méthodologie</w:t>
      </w:r>
    </w:p>
    <w:p>
      <w:pPr>
        <w:pStyle w:val="ListBullet"/>
        <w:jc w:val="both"/>
      </w:pPr>
      <w:r>
        <w:rPr>
          <w:b/>
        </w:rPr>
        <w:t xml:space="preserve">Manque : </w:t>
      </w:r>
      <w:r>
        <w:t xml:space="preserve"> aucun terrain défini précisément (nombre d'entretiens, critères d'échantillonnage, période, accès au port). Préciser au moins une stratégie d'échantillonnage (raisonné / théorique) et une indication de saturation.</w:t>
      </w:r>
    </w:p>
    <w:p>
      <w:pPr>
        <w:pStyle w:val="ListBullet"/>
        <w:jc w:val="both"/>
      </w:pPr>
      <w:r>
        <w:rPr>
          <w:b/>
        </w:rPr>
        <w:t xml:space="preserve">Étude de cas : </w:t>
      </w:r>
      <w:r>
        <w:t xml:space="preserve"> Yin (2018) est cité mais la stratégie n'est jamais nommée explicitement comme une étude de cas unique enchâssée (single embedded case study). La nommer renforce la rigueur.</w:t>
      </w:r>
    </w:p>
    <w:p>
      <w:pPr>
        <w:pStyle w:val="ListBullet"/>
        <w:jc w:val="both"/>
      </w:pPr>
      <w:r>
        <w:rPr>
          <w:b/>
        </w:rPr>
        <w:t xml:space="preserve">Validité : </w:t>
      </w:r>
      <w:r>
        <w:t xml:space="preserve"> ajouter les critères de scientificité du qualitatif (crédibilité, transférabilité, fiabilité, confirmabilité — Lincoln &amp; Guba), seulement effleurés (« transférabilité »).</w:t>
      </w:r>
    </w:p>
    <w:p>
      <w:pPr>
        <w:pStyle w:val="ListBullet"/>
        <w:jc w:val="both"/>
      </w:pPr>
      <w:r>
        <w:rPr>
          <w:b/>
        </w:rPr>
        <w:t xml:space="preserve">Cohérence : </w:t>
      </w:r>
      <w:r>
        <w:t xml:space="preserve"> purger le lexique corrélationnel si la posture reste qualitative (cf. 2.3).</w:t>
      </w:r>
    </w:p>
    <w:p>
      <w:pPr>
        <w:pStyle w:val="Heading1"/>
      </w:pPr>
      <w:r>
        <w:rPr>
          <w:b/>
          <w:color w:val="1F3B73"/>
          <w:sz w:val="30"/>
        </w:rPr>
        <w:t>5. Corrections rédactionnelles / formelles (rapides)</w:t>
      </w:r>
    </w:p>
    <w:p>
      <w:pPr>
        <w:pStyle w:val="ListBullet"/>
        <w:jc w:val="both"/>
      </w:pPr>
      <w:r>
        <w:rPr>
          <w:b/>
        </w:rPr>
        <w:t xml:space="preserve">Titre : </w:t>
      </w:r>
      <w:r>
        <w:t xml:space="preserve"> « PORTUIARES » → PORTUAIRES (faute dans le thème). Harmoniser aussi « PORT AUTONOME DE BRAZZAVILLE » vs « PORT DE BRAZZAVILLE » : choisir une forme unique.</w:t>
      </w:r>
    </w:p>
    <w:p>
      <w:pPr>
        <w:pStyle w:val="ListBullet"/>
        <w:jc w:val="both"/>
      </w:pPr>
      <w:r>
        <w:rPr>
          <w:b/>
        </w:rPr>
        <w:t xml:space="preserve">Phrase dupliquée : </w:t>
      </w:r>
      <w:r>
        <w:t xml:space="preserve"> section « objet de l'étude » (fin) : « …les examiner dans un En somme, bien que l'attractivité… » — un copier-coller a laissé une phrase tronquée recollée. À réécrire.</w:t>
      </w:r>
    </w:p>
    <w:p>
      <w:pPr>
        <w:pStyle w:val="ListBullet"/>
        <w:jc w:val="both"/>
      </w:pPr>
      <w:r>
        <w:rPr>
          <w:b/>
        </w:rPr>
        <w:t xml:space="preserve">Section 6, 1re phrase : </w:t>
      </w:r>
      <w:r>
        <w:t xml:space="preserve"> « …dégager des […] de travail… les relations que nous propositions supposons… » — mots manquants/inversés (« des hypothèses de travail », « que nous supposons »). À reconstruire.</w:t>
      </w:r>
    </w:p>
    <w:p>
      <w:pPr>
        <w:pStyle w:val="ListBullet"/>
        <w:jc w:val="both"/>
      </w:pPr>
      <w:r>
        <w:rPr>
          <w:b/>
        </w:rPr>
        <w:t xml:space="preserve">Anglicisme : </w:t>
      </w:r>
      <w:r>
        <w:t xml:space="preserve"> « insights » (section 1) → « éclairages », « enseignements ».</w:t>
      </w:r>
    </w:p>
    <w:p>
      <w:pPr>
        <w:pStyle w:val="ListBullet"/>
        <w:jc w:val="both"/>
      </w:pPr>
      <w:r>
        <w:rPr>
          <w:b/>
        </w:rPr>
        <w:t xml:space="preserve">Accents / typos : </w:t>
      </w:r>
      <w:r>
        <w:t xml:space="preserve"> « GENERAL » → GÉNÉRALE ; « couts » → coûts ; « marches » → marchés ; « subsidiaire » → subsidiaires ; harmoniser « chaines »/« chaînes ».</w:t>
      </w:r>
    </w:p>
    <w:p>
      <w:pPr>
        <w:pStyle w:val="ListBullet"/>
        <w:jc w:val="both"/>
      </w:pPr>
      <w:r>
        <w:rPr>
          <w:b/>
        </w:rPr>
        <w:t xml:space="preserve">Émoji : </w:t>
      </w:r>
      <w:r>
        <w:t xml:space="preserve"> retirer l'émoji 🔹 devant le tableau dans un document de thèse formel.</w:t>
      </w:r>
    </w:p>
    <w:p>
      <w:pPr>
        <w:pStyle w:val="ListBullet"/>
        <w:jc w:val="both"/>
      </w:pPr>
      <w:r>
        <w:rPr>
          <w:b/>
        </w:rPr>
        <w:t xml:space="preserve">Tableau de synthèse : </w:t>
      </w:r>
      <w:r>
        <w:t xml:space="preserve"> Tongzon (2002), Cullinane &amp; Wang (2006), Hambrick &amp; Fredrickson (2001), Johnson/Scholes/Whittington (2008) figurent dans le tableau mais ne sont jamais discutés dans le corps. Les mobiliser dans le texte ou les retirer du tableau.</w:t>
      </w:r>
    </w:p>
    <w:p>
      <w:pPr>
        <w:pStyle w:val="ListBullet"/>
        <w:jc w:val="both"/>
      </w:pPr>
      <w:r>
        <w:rPr>
          <w:b/>
        </w:rPr>
        <w:t xml:space="preserve">Numérotation : </w:t>
      </w:r>
      <w:r>
        <w:t xml:space="preserve"> « IX. PLAN » (chiffres romains) alors que le reste est en chiffres arabes (1 à 8). Harmoniser.</w:t>
      </w:r>
    </w:p>
    <w:p>
      <w:pPr>
        <w:pStyle w:val="Heading1"/>
      </w:pPr>
      <w:r>
        <w:rPr>
          <w:b/>
          <w:color w:val="1F3B73"/>
          <w:sz w:val="30"/>
        </w:rPr>
        <w:t>6. Recommandations priorisées</w:t>
      </w:r>
    </w:p>
    <w:p>
      <w:pPr>
        <w:pStyle w:val="Heading2"/>
      </w:pPr>
      <w:r>
        <w:rPr>
          <w:b/>
          <w:color w:val="B01C1C"/>
          <w:sz w:val="25"/>
        </w:rPr>
        <w:t>À corriger absolument (avant relecture directeur / jury)</w:t>
      </w:r>
    </w:p>
    <w:p>
      <w:pPr>
        <w:pStyle w:val="ListNumber"/>
        <w:jc w:val="both"/>
      </w:pPr>
      <w:r>
        <w:t>Différencier les deux questions subsidiaires (2.1).</w:t>
      </w:r>
    </w:p>
    <w:p>
      <w:pPr>
        <w:pStyle w:val="ListNumber"/>
        <w:jc w:val="both"/>
      </w:pPr>
      <w:r>
        <w:t>Rétablir/aligner les propositions annoncées — 3 secondaires manquantes (2.2).</w:t>
      </w:r>
    </w:p>
    <w:p>
      <w:pPr>
        <w:pStyle w:val="ListNumber"/>
        <w:jc w:val="both"/>
      </w:pPr>
      <w:r>
        <w:t>Résoudre la tension qualitatif vs. testable/causal — option interprétativiste recommandée (2.3).</w:t>
      </w:r>
    </w:p>
    <w:p>
      <w:pPr>
        <w:pStyle w:val="ListNumber"/>
        <w:jc w:val="both"/>
      </w:pPr>
      <w:r>
        <w:t>Corriger les deux phrases cassées et le titre (section 5).</w:t>
      </w:r>
    </w:p>
    <w:p>
      <w:pPr>
        <w:pStyle w:val="Heading2"/>
      </w:pPr>
      <w:r>
        <w:rPr>
          <w:b/>
          <w:color w:val="1F3B73"/>
          <w:sz w:val="25"/>
        </w:rPr>
        <w:t>Important (renforce nettement la thèse)</w:t>
      </w:r>
    </w:p>
    <w:p>
      <w:pPr>
        <w:pStyle w:val="ListNumber"/>
        <w:jc w:val="both"/>
      </w:pPr>
      <w:r>
        <w:t>Intégrer une dimension gouvernance/exogène dans les objectifs, en cohérence avec la section 3 (point 3).</w:t>
      </w:r>
    </w:p>
    <w:p>
      <w:pPr>
        <w:pStyle w:val="ListNumber"/>
        <w:jc w:val="both"/>
      </w:pPr>
      <w:r>
        <w:t>Dégonfler le doublon contexte/état de l'art et faire ressortir le gap plus tôt (2.5, 2.6).</w:t>
      </w:r>
    </w:p>
    <w:p>
      <w:pPr>
        <w:pStyle w:val="ListNumber"/>
        <w:jc w:val="both"/>
      </w:pPr>
      <w:r>
        <w:t>Préciser le terrain : nombre/critères d'entretiens, étude de cas enchâssée nommée, critères de Lincoln &amp; Guba (section 4).</w:t>
      </w:r>
    </w:p>
    <w:p>
      <w:pPr>
        <w:pStyle w:val="Heading2"/>
      </w:pPr>
      <w:r>
        <w:rPr>
          <w:b/>
          <w:color w:val="555555"/>
          <w:sz w:val="25"/>
        </w:rPr>
        <w:t>Souhaitable (qualité formelle)</w:t>
      </w:r>
    </w:p>
    <w:p>
      <w:pPr>
        <w:pStyle w:val="ListNumber"/>
        <w:jc w:val="both"/>
      </w:pPr>
      <w:r>
        <w:t>Fiabiliser l'appareil de citation : guillemets = citations littérales paginées ; sources Congelcam triangulées ; cohérence des dates (2.4).</w:t>
      </w:r>
    </w:p>
    <w:p>
      <w:pPr>
        <w:pStyle w:val="ListNumber"/>
        <w:jc w:val="both"/>
      </w:pPr>
      <w:r>
        <w:t>Mobiliser dans le texte les auteurs du tableau ; harmoniser typographie et numérotation.</w:t>
      </w:r>
    </w:p>
    <w:p/>
    <w:p>
      <w:pPr>
        <w:pStyle w:val="Heading1"/>
      </w:pPr>
      <w:r>
        <w:rPr>
          <w:b/>
          <w:color w:val="1F3B73"/>
          <w:sz w:val="30"/>
        </w:rPr>
        <w:t>7. Tableau récapitulatif des points critiques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B73"/>
          </w:tcPr>
          <w:p>
            <w:r/>
            <w:r>
              <w:rPr>
                <w:b/>
                <w:color w:val="FFFFFF"/>
              </w:rPr>
              <w:t>Point</w:t>
            </w:r>
          </w:p>
        </w:tc>
        <w:tc>
          <w:tcPr>
            <w:tcW w:type="dxa" w:w="2880"/>
            <w:shd w:val="clear" w:color="auto" w:fill="1F3B73"/>
          </w:tcPr>
          <w:p>
            <w:r/>
            <w:r>
              <w:rPr>
                <w:b/>
                <w:color w:val="FFFFFF"/>
              </w:rPr>
              <w:t>Nature</w:t>
            </w:r>
          </w:p>
        </w:tc>
        <w:tc>
          <w:tcPr>
            <w:tcW w:type="dxa" w:w="2880"/>
            <w:shd w:val="clear" w:color="auto" w:fill="1F3B73"/>
          </w:tcPr>
          <w:p>
            <w:r/>
            <w:r>
              <w:rPr>
                <w:b/>
                <w:color w:val="FFFFFF"/>
              </w:rPr>
              <w:t>Priorité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Questions subsidiaires identiques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Cohérence scientifique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1C1C"/>
                <w:sz w:val="20"/>
              </w:rPr>
              <w:t>Haute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Propositions secondaires manquantes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Cohérence scientifique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1C1C"/>
                <w:sz w:val="20"/>
              </w:rPr>
              <w:t>Haute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Tension épistémologique qualitatif/positiviste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Méthodologie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1C1C"/>
                <w:sz w:val="20"/>
              </w:rPr>
              <w:t>Haute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Phrases cassées + faute du titre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Rédactionnel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1C1C"/>
                <w:sz w:val="20"/>
              </w:rPr>
              <w:t>Haute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Objectifs trop étroits vs. section 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Cadre théorique</w:t>
            </w:r>
          </w:p>
        </w:tc>
        <w:tc>
          <w:tcPr>
            <w:tcW w:type="dxa" w:w="2880"/>
          </w:tcPr>
          <w:p>
            <w:r/>
            <w:r>
              <w:rPr>
                <w:color w:val="1F3B73"/>
                <w:sz w:val="20"/>
              </w:rPr>
              <w:t>Importante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Doublon contexte / état de l'art + gap tardif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Structure</w:t>
            </w:r>
          </w:p>
        </w:tc>
        <w:tc>
          <w:tcPr>
            <w:tcW w:type="dxa" w:w="2880"/>
          </w:tcPr>
          <w:p>
            <w:r/>
            <w:r>
              <w:rPr>
                <w:color w:val="1F3B73"/>
                <w:sz w:val="20"/>
              </w:rPr>
              <w:t>Importante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Terrain non précisé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Méthodologie</w:t>
            </w:r>
          </w:p>
        </w:tc>
        <w:tc>
          <w:tcPr>
            <w:tcW w:type="dxa" w:w="2880"/>
          </w:tcPr>
          <w:p>
            <w:r/>
            <w:r>
              <w:rPr>
                <w:color w:val="1F3B73"/>
                <w:sz w:val="20"/>
              </w:rPr>
              <w:t>Importante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Citations fragiles / dates incohérentes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Appareil scientifique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Souhaitable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Auteurs du tableau non discutés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Formel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Souhaitable</w:t>
            </w:r>
          </w:p>
        </w:tc>
      </w:tr>
    </w:tbl>
    <w:p/>
    <w:p>
      <w:pPr>
        <w:pBdr>
          <w:bottom w:val="single" w:sz="6" w:space="1" w:color="1F3B73"/>
        </w:pBdr>
      </w:pPr>
    </w:p>
    <w:p>
      <w:pPr>
        <w:jc w:val="center"/>
      </w:pPr>
      <w:r>
        <w:rPr>
          <w:i/>
          <w:color w:val="555555"/>
          <w:sz w:val="18"/>
        </w:rPr>
        <w:t>Document généré pour révision. Les sections « questions / objectifs / propositions » et « méthodologie » peuvent être réécrites intégralement sur demande.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