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73"/>
          <w:sz w:val="38"/>
        </w:rPr>
        <w:t>Reformulation cohérente des sections 4 à 6</w:t>
      </w:r>
    </w:p>
    <w:p>
      <w:pPr>
        <w:jc w:val="center"/>
      </w:pPr>
      <w:r>
        <w:rPr>
          <w:i/>
          <w:color w:val="555555"/>
          <w:sz w:val="22"/>
        </w:rPr>
        <w:t>Problématique • Questions de recherche • Objectifs • Propositions</w:t>
      </w:r>
    </w:p>
    <w:p>
      <w:pPr>
        <w:spacing w:after="120"/>
        <w:jc w:val="both"/>
      </w:pPr>
      <w:r>
        <w:rPr>
          <w:b w:val="0"/>
          <w:i/>
          <w:color w:val="555555"/>
          <w:sz w:val="20"/>
        </w:rPr>
        <w:t>Version alignée sur la méthodologie qualitative / compréhensive (interprétativiste). Conformément à cette posture, on ne parle pas d'« hypothèses testables » ni de « causalité » : on formule des propositions de recherche destinées à être « mises à l'épreuve » empiriquement (Yin, 2018 ; Gioia et al., 2013).</w:t>
      </w:r>
    </w:p>
    <w:p>
      <w:pPr>
        <w:pBdr>
          <w:bottom w:val="single" w:sz="6" w:space="1" w:color="1F3B73"/>
        </w:pBdr>
      </w:pPr>
    </w:p>
    <w:p>
      <w:pPr>
        <w:pStyle w:val="Heading1"/>
      </w:pPr>
      <w:r>
        <w:rPr>
          <w:b/>
          <w:color w:val="1F3B73"/>
          <w:sz w:val="30"/>
        </w:rPr>
        <w:t>Note de cohérence méthodologique</w:t>
      </w:r>
    </w:p>
    <w:p>
      <w:pPr>
        <w:spacing w:after="120"/>
        <w:jc w:val="both"/>
      </w:pPr>
      <w:r>
        <w:rPr>
          <w:b w:val="0"/>
          <w:i w:val="0"/>
          <w:sz w:val="22"/>
        </w:rPr>
        <w:t>Trois exigences structurent cette reformulation :</w:t>
      </w:r>
    </w:p>
    <w:p>
      <w:pPr>
        <w:pStyle w:val="ListBullet"/>
        <w:jc w:val="both"/>
      </w:pPr>
      <w:r>
        <w:rPr>
          <w:b/>
        </w:rPr>
        <w:t xml:space="preserve">Distinction réelle des 3 questions : </w:t>
      </w:r>
      <w:r>
        <w:t xml:space="preserve"> chaque question subsidiaire ouvre un angle d'analyse réellement différent (opérationnel / intégratif / institutionnel), et non une reformulation de la précédente.</w:t>
      </w:r>
    </w:p>
    <w:p>
      <w:pPr>
        <w:pStyle w:val="ListBullet"/>
        <w:jc w:val="both"/>
      </w:pPr>
      <w:r>
        <w:rPr>
          <w:b/>
        </w:rPr>
        <w:t xml:space="preserve">Alignement strict : </w:t>
      </w:r>
      <w:r>
        <w:t xml:space="preserve"> une question subsidiaire ↔ un objectif spécifique ↔ une proposition de recherche. L'architecture est un fil continu, vérifiable dans le tableau d'alignement final.</w:t>
      </w:r>
    </w:p>
    <w:p>
      <w:pPr>
        <w:pStyle w:val="ListBullet"/>
        <w:jc w:val="both"/>
      </w:pPr>
      <w:r>
        <w:rPr>
          <w:b/>
        </w:rPr>
        <w:t xml:space="preserve">Vocabulaire interprétativiste : </w:t>
      </w:r>
      <w:r>
        <w:t xml:space="preserve"> verbes de compréhension (« comprendre », « saisir », « caractériser », « analyser le sens donné par les acteurs ») plutôt que de mesure ; propositions « mises à l'épreuve » par triangulation, et non « testées » statistiquement.</w:t>
      </w:r>
    </w:p>
    <w:p>
      <w:pPr>
        <w:spacing w:after="120"/>
        <w:jc w:val="both"/>
      </w:pPr>
      <w:r>
        <w:rPr>
          <w:b w:val="0"/>
          <w:i w:val="0"/>
          <w:color w:val="555555"/>
          <w:sz w:val="20"/>
        </w:rPr>
        <w:t>L'intégration d'une troisième question consacrée à la gouvernance et à la résilience corrige par ailleurs le rétrécissement signalé : votre section « Objet de l'étude » insiste sur les facteurs exogènes et socio-politiques, qui doivent donc se retrouver dans vos questions et propositions.</w:t>
      </w:r>
    </w:p>
    <w:p>
      <w:pPr>
        <w:pStyle w:val="Heading1"/>
      </w:pPr>
      <w:r>
        <w:rPr>
          <w:b/>
          <w:color w:val="1F3B73"/>
          <w:sz w:val="30"/>
        </w:rPr>
        <w:t>4. Problématique et questions de recherche</w:t>
      </w:r>
    </w:p>
    <w:p>
      <w:pPr>
        <w:spacing w:after="120"/>
        <w:jc w:val="both"/>
      </w:pPr>
      <w:r>
        <w:rPr>
          <w:b w:val="0"/>
          <w:i w:val="0"/>
          <w:sz w:val="22"/>
        </w:rPr>
        <w:t>La problématique interroge la manière dont un port fluvial, concurrencé par des plateformes maritimes voisines, peut convertir son attractivité en positionnement stratégique durable au sein des chaînes logistiques régionales. D'où la question principale :</w:t>
      </w:r>
    </w:p>
    <w:p>
      <w:pPr>
        <w:spacing w:after="160"/>
        <w:ind w:left="360"/>
        <w:jc w:val="both"/>
        <w:pBdr>
          <w:left w:val="single" w:sz="18" w:space="10" w:color="1F3B73"/>
        </w:pBdr>
      </w:pPr>
      <w:r>
        <w:rPr>
          <w:i/>
        </w:rPr>
        <w:t>Par quels mécanismes l'attractivité d'un port fluvial renforce-t-elle son positionnement stratégique au sein d'une chaîne logistique régionale ?</w:t>
      </w:r>
    </w:p>
    <w:p>
      <w:pPr>
        <w:spacing w:after="120"/>
        <w:jc w:val="both"/>
      </w:pPr>
      <w:r>
        <w:rPr>
          <w:b w:val="0"/>
          <w:i w:val="0"/>
          <w:sz w:val="22"/>
        </w:rPr>
        <w:t>Cette interrogation centrale se décline en trois questions subsidiaires correspondant à trois niveaux d'analyse complémentaires : opérationnel, intégratif et institutionnel.</w:t>
      </w:r>
    </w:p>
    <w:p>
      <w:pPr>
        <w:pStyle w:val="Heading2"/>
      </w:pPr>
      <w:r>
        <w:rPr>
          <w:b/>
          <w:color w:val="1F3B73"/>
          <w:sz w:val="25"/>
        </w:rPr>
        <w:t>Question subsidiaire 1 — Dimension opérationnelle et technico-économique</w:t>
      </w:r>
    </w:p>
    <w:p>
      <w:pPr>
        <w:spacing w:after="160"/>
        <w:ind w:left="360"/>
        <w:jc w:val="both"/>
        <w:pBdr>
          <w:left w:val="single" w:sz="18" w:space="10" w:color="1F3B73"/>
        </w:pBdr>
      </w:pPr>
      <w:r>
        <w:rPr>
          <w:i/>
        </w:rPr>
        <w:t>Comment les performances de manutention, l'usage des technologies de l'information et le niveau des coûts logistiques contribuent-ils à l'attractivité opérationnelle du port et à la construction de ses parts de marché ?</w:t>
      </w:r>
    </w:p>
    <w:p>
      <w:pPr>
        <w:pStyle w:val="Heading2"/>
      </w:pPr>
      <w:r>
        <w:rPr>
          <w:b/>
          <w:color w:val="1F3B73"/>
          <w:sz w:val="25"/>
        </w:rPr>
        <w:t>Question subsidiaire 2 — Dimension d'intégration logistique et de connectivité</w:t>
      </w:r>
    </w:p>
    <w:p>
      <w:pPr>
        <w:spacing w:after="160"/>
        <w:ind w:left="360"/>
        <w:jc w:val="both"/>
        <w:pBdr>
          <w:left w:val="single" w:sz="18" w:space="10" w:color="1F3B73"/>
        </w:pBdr>
      </w:pPr>
      <w:r>
        <w:rPr>
          <w:i/>
        </w:rPr>
        <w:t>De quelle manière l'insertion du port dans les corridors intermodaux et la fluidité de ses interfaces logistiques façonnent-elles son positionnement stratégique dans les chaînes d'approvisionnement régionales ?</w:t>
      </w:r>
    </w:p>
    <w:p>
      <w:pPr>
        <w:pStyle w:val="Heading2"/>
      </w:pPr>
      <w:r>
        <w:rPr>
          <w:b/>
          <w:color w:val="1F3B73"/>
          <w:sz w:val="25"/>
        </w:rPr>
        <w:t>Question subsidiaire 3 — Dimension institutionnelle, de gouvernance et de résilience</w:t>
      </w:r>
    </w:p>
    <w:p>
      <w:pPr>
        <w:spacing w:after="160"/>
        <w:ind w:left="360"/>
        <w:jc w:val="both"/>
        <w:pBdr>
          <w:left w:val="single" w:sz="18" w:space="10" w:color="1F3B73"/>
        </w:pBdr>
      </w:pPr>
      <w:r>
        <w:rPr>
          <w:i/>
        </w:rPr>
        <w:t>Dans quelle mesure la gouvernance portuaire, les politiques publiques et la capacité de résilience adaptative conditionnent-elles la transformation de l'attractivité en positionnement stratégique durable ?</w:t>
      </w:r>
    </w:p>
    <w:p>
      <w:pPr>
        <w:pStyle w:val="Heading1"/>
      </w:pPr>
      <w:r>
        <w:rPr>
          <w:b/>
          <w:color w:val="1F3B73"/>
          <w:sz w:val="30"/>
        </w:rPr>
        <w:t>5. Objectifs de la recherche</w:t>
      </w:r>
    </w:p>
    <w:p>
      <w:pPr>
        <w:pStyle w:val="Heading2"/>
      </w:pPr>
      <w:r>
        <w:rPr>
          <w:b/>
          <w:color w:val="1F3B73"/>
          <w:sz w:val="25"/>
        </w:rPr>
        <w:t>Objectif principal</w:t>
      </w:r>
    </w:p>
    <w:p>
      <w:pPr>
        <w:spacing w:after="120"/>
        <w:jc w:val="both"/>
      </w:pPr>
      <w:r>
        <w:rPr>
          <w:b w:val="0"/>
          <w:i w:val="0"/>
          <w:sz w:val="22"/>
        </w:rPr>
        <w:t>Comprendre les mécanismes par lesquels les facteurs d'attractivité contribuent à renforcer le positionnement stratégique du Port autonome de Brazzaville au sein d'une chaîne logistique régionale.</w:t>
      </w:r>
    </w:p>
    <w:p>
      <w:pPr>
        <w:pStyle w:val="Heading2"/>
      </w:pPr>
      <w:r>
        <w:rPr>
          <w:b/>
          <w:color w:val="1F3B73"/>
          <w:sz w:val="25"/>
        </w:rPr>
        <w:t>Objectifs spécifiques</w:t>
      </w:r>
    </w:p>
    <w:p>
      <w:pPr>
        <w:spacing w:after="160"/>
        <w:jc w:val="both"/>
      </w:pPr>
      <w:r>
        <w:rPr>
          <w:b/>
          <w:color w:val="1F3B73"/>
        </w:rPr>
        <w:t xml:space="preserve">OS1 (↔ QS1) — </w:t>
      </w:r>
      <w:r>
        <w:t>Caractériser les facteurs opérationnels d'attractivité (manutention, technologies de l'information, coûts logistiques) et comprendre le sens que les acteurs leur attribuent dans la construction de la compétitivité et des parts de marché du port.</w:t>
      </w:r>
    </w:p>
    <w:p>
      <w:pPr>
        <w:spacing w:after="160"/>
        <w:jc w:val="both"/>
      </w:pPr>
      <w:r>
        <w:rPr>
          <w:b/>
          <w:color w:val="1F3B73"/>
        </w:rPr>
        <w:t xml:space="preserve">OS2 (↔ QS2) — </w:t>
      </w:r>
      <w:r>
        <w:t>Analyser la manière dont l'intégration intermodale et la fluidité des interfaces logistiques participent à la construction du positionnement stratégique perçu du port dans les chaînes d'approvisionnement régionales.</w:t>
      </w:r>
    </w:p>
    <w:p>
      <w:pPr>
        <w:spacing w:after="160"/>
        <w:jc w:val="both"/>
      </w:pPr>
      <w:r>
        <w:rPr>
          <w:b/>
          <w:color w:val="1F3B73"/>
        </w:rPr>
        <w:t xml:space="preserve">OS3 (↔ QS3) — </w:t>
      </w:r>
      <w:r>
        <w:t>Saisir l'influence des configurations de gouvernance, des politiques publiques et des dispositifs de résilience adaptative sur la durabilité du positionnement stratégique du port.</w:t>
      </w:r>
    </w:p>
    <w:p>
      <w:pPr>
        <w:pStyle w:val="Heading1"/>
      </w:pPr>
      <w:r>
        <w:rPr>
          <w:b/>
          <w:color w:val="1F3B73"/>
          <w:sz w:val="30"/>
        </w:rPr>
        <w:t>6. Propositions de recherche</w:t>
      </w:r>
    </w:p>
    <w:p>
      <w:pPr>
        <w:spacing w:after="120"/>
        <w:jc w:val="both"/>
      </w:pPr>
      <w:r>
        <w:rPr>
          <w:b w:val="0"/>
          <w:i/>
          <w:color w:val="555555"/>
          <w:sz w:val="20"/>
        </w:rPr>
        <w:t>Conformément à la posture compréhensive, les énoncés ci-dessous sont des propositions de recherche — relations plausibles entre concepts, issues de la littérature et destinées à être mises à l'épreuve par les matériaux qualitatifs (entretiens, documents, observation), et non des hypothèses à valider statistiquement.</w:t>
      </w:r>
    </w:p>
    <w:p>
      <w:pPr>
        <w:pStyle w:val="Heading2"/>
      </w:pPr>
      <w:r>
        <w:rPr>
          <w:b/>
          <w:color w:val="1F3B73"/>
          <w:sz w:val="25"/>
        </w:rPr>
        <w:t>Proposition principale (P0)</w:t>
      </w:r>
    </w:p>
    <w:p>
      <w:pPr>
        <w:spacing w:after="160"/>
        <w:ind w:left="360"/>
        <w:jc w:val="both"/>
        <w:pBdr>
          <w:left w:val="single" w:sz="18" w:space="10" w:color="1F3B73"/>
        </w:pBdr>
      </w:pPr>
      <w:r>
        <w:rPr>
          <w:i/>
        </w:rPr>
        <w:t>L'attractivité portuaire, lorsqu'elle est reconnue par les acteurs de la chaîne logistique, constitue un levier de construction du positionnement stratégique du port.</w:t>
      </w:r>
    </w:p>
    <w:p>
      <w:pPr>
        <w:pStyle w:val="Heading2"/>
      </w:pPr>
      <w:r>
        <w:rPr>
          <w:b/>
          <w:color w:val="1F3B73"/>
          <w:sz w:val="25"/>
        </w:rPr>
        <w:t>Propositions secondaires</w:t>
      </w:r>
    </w:p>
    <w:p>
      <w:pPr>
        <w:spacing w:after="160"/>
        <w:jc w:val="both"/>
      </w:pPr>
      <w:r>
        <w:rPr>
          <w:b/>
          <w:color w:val="1F3B73"/>
        </w:rPr>
        <w:t xml:space="preserve">P1 (↔ QS1 / OS1) — </w:t>
      </w:r>
      <w:r>
        <w:t>Les performances de manutention, la maîtrise des technologies de l'information et la compétitivité des coûts sont perçues par les utilisateurs comme les premiers déterminants de l'attractivité opérationnelle du port.</w:t>
      </w:r>
    </w:p>
    <w:p>
      <w:pPr>
        <w:spacing w:after="160"/>
        <w:jc w:val="both"/>
      </w:pPr>
      <w:r>
        <w:rPr>
          <w:b/>
          <w:color w:val="1F3B73"/>
        </w:rPr>
        <w:t xml:space="preserve">P2 (↔ QS2 / OS2) — </w:t>
      </w:r>
      <w:r>
        <w:t>L'insertion du port dans des corridors intermodaux fluides et connectés renforce son positionnement stratégique en le rendant incontournable dans les chaînes d'approvisionnement régionales.</w:t>
      </w:r>
    </w:p>
    <w:p>
      <w:pPr>
        <w:spacing w:after="160"/>
        <w:jc w:val="both"/>
      </w:pPr>
      <w:r>
        <w:rPr>
          <w:b/>
          <w:color w:val="1F3B73"/>
        </w:rPr>
        <w:t xml:space="preserve">P3 (↔ QS3 / OS3) — </w:t>
      </w:r>
      <w:r>
        <w:t>La qualité de la gouvernance et la capacité de résilience adaptative conditionnent la transformation durable de l'attractivité en positionnement stratégique.</w:t>
      </w:r>
    </w:p>
    <w:p>
      <w:pPr>
        <w:pStyle w:val="Heading2"/>
      </w:pPr>
      <w:r>
        <w:rPr>
          <w:b/>
          <w:color w:val="B01C1C"/>
          <w:sz w:val="25"/>
        </w:rPr>
        <w:t>Explication concurrente (à examiner, non à « rejeter »)</w:t>
      </w:r>
    </w:p>
    <w:p>
      <w:pPr>
        <w:spacing w:after="120"/>
        <w:jc w:val="both"/>
      </w:pPr>
      <w:r>
        <w:rPr>
          <w:b w:val="0"/>
          <w:i w:val="0"/>
          <w:sz w:val="22"/>
        </w:rPr>
        <w:t>Plutôt qu'une « proposition rivale » (terme issu d'un design hypothético-déductif), on retient une explication concurrente que l'analyse qualitative confrontera aux discours des acteurs :</w:t>
      </w:r>
    </w:p>
    <w:p>
      <w:pPr>
        <w:spacing w:after="160"/>
        <w:ind w:left="360"/>
        <w:jc w:val="both"/>
        <w:pBdr>
          <w:left w:val="single" w:sz="18" w:space="10" w:color="1F3B73"/>
        </w:pBdr>
      </w:pPr>
      <w:r>
        <w:rPr>
          <w:i/>
        </w:rPr>
        <w:t>Ce ne serait pas l'attractivité intrinsèque du port qui détermine son positionnement, mais la qualité des politiques publiques, des infrastructures intermodales et de la gouvernance logistique, qui conditionneraient simultanément l'attractivité et le positionnement.</w:t>
      </w:r>
    </w:p>
    <w:p>
      <w:pPr>
        <w:spacing w:after="120"/>
        <w:jc w:val="both"/>
      </w:pPr>
      <w:r>
        <w:rPr>
          <w:b w:val="0"/>
          <w:i w:val="0"/>
          <w:color w:val="555555"/>
          <w:sz w:val="20"/>
        </w:rPr>
        <w:t>Cette explication concurrente, examinée à la lumière de P3, permet de tester la robustesse de la proposition principale sans sortir du cadre interprétatif : il s'agit de comprendre laquelle des deux lectures rend le mieux compte du cas de Brazzaville, et non de la trancher par un test statistique.</w:t>
      </w:r>
    </w:p>
    <w:p/>
    <w:p>
      <w:pPr>
        <w:pStyle w:val="Heading1"/>
      </w:pPr>
      <w:r>
        <w:rPr>
          <w:b/>
          <w:color w:val="1F3B73"/>
          <w:sz w:val="30"/>
        </w:rPr>
        <w:t>Tableau d'alignement (cohérence interne)</w:t>
      </w:r>
    </w:p>
    <w:p>
      <w:pPr>
        <w:spacing w:after="120"/>
        <w:jc w:val="both"/>
      </w:pPr>
      <w:r>
        <w:rPr>
          <w:b w:val="0"/>
          <w:i w:val="0"/>
          <w:color w:val="555555"/>
          <w:sz w:val="20"/>
        </w:rPr>
        <w:t>Ce tableau garantit la traçabilité entre chaque question, son objectif, sa proposition et le matériau empirique mobilisé — gage de rigueur attendu par le jury.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B73"/>
          </w:tcPr>
          <w:p>
            <w:r/>
            <w:r>
              <w:rPr>
                <w:b/>
                <w:color w:val="FFFFFF"/>
                <w:sz w:val="19"/>
              </w:rPr>
              <w:t>Question</w:t>
            </w:r>
          </w:p>
        </w:tc>
        <w:tc>
          <w:tcPr>
            <w:tcW w:type="dxa" w:w="2160"/>
            <w:shd w:val="clear" w:color="auto" w:fill="1F3B73"/>
          </w:tcPr>
          <w:p>
            <w:r/>
            <w:r>
              <w:rPr>
                <w:b/>
                <w:color w:val="FFFFFF"/>
                <w:sz w:val="19"/>
              </w:rPr>
              <w:t>Objectif</w:t>
            </w:r>
          </w:p>
        </w:tc>
        <w:tc>
          <w:tcPr>
            <w:tcW w:type="dxa" w:w="2160"/>
            <w:shd w:val="clear" w:color="auto" w:fill="1F3B73"/>
          </w:tcPr>
          <w:p>
            <w:r/>
            <w:r>
              <w:rPr>
                <w:b/>
                <w:color w:val="FFFFFF"/>
                <w:sz w:val="19"/>
              </w:rPr>
              <w:t>Proposition</w:t>
            </w:r>
          </w:p>
        </w:tc>
        <w:tc>
          <w:tcPr>
            <w:tcW w:type="dxa" w:w="2160"/>
            <w:shd w:val="clear" w:color="auto" w:fill="1F3B73"/>
          </w:tcPr>
          <w:p>
            <w:r/>
            <w:r>
              <w:rPr>
                <w:b/>
                <w:color w:val="FFFFFF"/>
                <w:sz w:val="19"/>
              </w:rPr>
              <w:t>Données qualitatives mobilisées</w:t>
            </w:r>
          </w:p>
        </w:tc>
      </w:tr>
      <w:tr>
        <w:tc>
          <w:tcPr>
            <w:tcW w:type="dxa" w:w="2160"/>
          </w:tcPr>
          <w:p>
            <w:r/>
            <w:r>
              <w:rPr>
                <w:sz w:val="18"/>
              </w:rPr>
              <w:t>QS1 — opérationnel</w:t>
              <w:br/>
              <w:t>(manutention, TIC, coûts)</w:t>
            </w:r>
          </w:p>
        </w:tc>
        <w:tc>
          <w:tcPr>
            <w:tcW w:type="dxa" w:w="2160"/>
          </w:tcPr>
          <w:p>
            <w:r/>
            <w:r>
              <w:rPr>
                <w:b/>
                <w:color w:val="1F3B73"/>
                <w:sz w:val="18"/>
              </w:rPr>
              <w:t>OS1</w:t>
            </w:r>
          </w:p>
        </w:tc>
        <w:tc>
          <w:tcPr>
            <w:tcW w:type="dxa" w:w="2160"/>
          </w:tcPr>
          <w:p>
            <w:r/>
            <w:r>
              <w:rPr>
                <w:b/>
                <w:color w:val="1F3B73"/>
                <w:sz w:val="18"/>
              </w:rPr>
              <w:t>P1</w:t>
            </w:r>
          </w:p>
        </w:tc>
        <w:tc>
          <w:tcPr>
            <w:tcW w:type="dxa" w:w="2160"/>
          </w:tcPr>
          <w:p>
            <w:r/>
            <w:r>
              <w:rPr>
                <w:sz w:val="18"/>
              </w:rPr>
              <w:t>Entretiens semi-directifs (opérateurs, chargeurs, manutention) ; données d'exploitation ; analyse thématique</w:t>
            </w:r>
          </w:p>
        </w:tc>
      </w:tr>
      <w:tr>
        <w:tc>
          <w:tcPr>
            <w:tcW w:type="dxa" w:w="2160"/>
          </w:tcPr>
          <w:p>
            <w:r/>
            <w:r>
              <w:rPr>
                <w:sz w:val="18"/>
              </w:rPr>
              <w:t>QS2 — intégration / connectivité</w:t>
              <w:br/>
              <w:t>(corridors, interfaces intermodales)</w:t>
            </w:r>
          </w:p>
        </w:tc>
        <w:tc>
          <w:tcPr>
            <w:tcW w:type="dxa" w:w="2160"/>
          </w:tcPr>
          <w:p>
            <w:r/>
            <w:r>
              <w:rPr>
                <w:b/>
                <w:color w:val="1F3B73"/>
                <w:sz w:val="18"/>
              </w:rPr>
              <w:t>OS2</w:t>
            </w:r>
          </w:p>
        </w:tc>
        <w:tc>
          <w:tcPr>
            <w:tcW w:type="dxa" w:w="2160"/>
          </w:tcPr>
          <w:p>
            <w:r/>
            <w:r>
              <w:rPr>
                <w:b/>
                <w:color w:val="1F3B73"/>
                <w:sz w:val="18"/>
              </w:rPr>
              <w:t>P2</w:t>
            </w:r>
          </w:p>
        </w:tc>
        <w:tc>
          <w:tcPr>
            <w:tcW w:type="dxa" w:w="2160"/>
          </w:tcPr>
          <w:p>
            <w:r/>
            <w:r>
              <w:rPr>
                <w:sz w:val="18"/>
              </w:rPr>
              <w:t>Entretiens (transporteurs, douanes, armateurs) ; analyse documentaire des plans de corridors ; observation non participante</w:t>
            </w:r>
          </w:p>
        </w:tc>
      </w:tr>
      <w:tr>
        <w:tc>
          <w:tcPr>
            <w:tcW w:type="dxa" w:w="2160"/>
          </w:tcPr>
          <w:p>
            <w:r/>
            <w:r>
              <w:rPr>
                <w:sz w:val="18"/>
              </w:rPr>
              <w:t>QS3 — gouvernance / résilience</w:t>
              <w:br/>
              <w:t>(politiques publiques, institutions)</w:t>
            </w:r>
          </w:p>
        </w:tc>
        <w:tc>
          <w:tcPr>
            <w:tcW w:type="dxa" w:w="2160"/>
          </w:tcPr>
          <w:p>
            <w:r/>
            <w:r>
              <w:rPr>
                <w:b/>
                <w:color w:val="1F3B73"/>
                <w:sz w:val="18"/>
              </w:rPr>
              <w:t>OS3</w:t>
            </w:r>
          </w:p>
        </w:tc>
        <w:tc>
          <w:tcPr>
            <w:tcW w:type="dxa" w:w="2160"/>
          </w:tcPr>
          <w:p>
            <w:r/>
            <w:r>
              <w:rPr>
                <w:b/>
                <w:color w:val="1F3B73"/>
                <w:sz w:val="18"/>
              </w:rPr>
              <w:t>P3 + explication concurrente</w:t>
            </w:r>
          </w:p>
        </w:tc>
        <w:tc>
          <w:tcPr>
            <w:tcW w:type="dxa" w:w="2160"/>
          </w:tcPr>
          <w:p>
            <w:r/>
            <w:r>
              <w:rPr>
                <w:sz w:val="18"/>
              </w:rPr>
              <w:t>Entretiens (autorité portuaire, administrations, collectivités) ; documents de gouvernance ; triangulation (Denzin)</w:t>
            </w:r>
          </w:p>
        </w:tc>
      </w:tr>
    </w:tbl>
    <w:p/>
    <w:p>
      <w:pPr>
        <w:pBdr>
          <w:bottom w:val="single" w:sz="6" w:space="1" w:color="1F3B73"/>
        </w:pBdr>
      </w:pPr>
    </w:p>
    <w:p>
      <w:pPr>
        <w:spacing w:after="120"/>
        <w:jc w:val="both"/>
      </w:pPr>
      <w:r>
        <w:rPr>
          <w:b w:val="0"/>
          <w:i/>
          <w:color w:val="555555"/>
          <w:sz w:val="19"/>
        </w:rPr>
        <w:t>Rappel : design d'ensemble — étude de cas unique enchâssée (single embedded case study, Yin 2018) ; analyse thématique (Braun &amp; Clarke 2006) ; triangulation des sources (Denzin 1978) ; critères de scientificité qualitative — crédibilité, transférabilité, fiabilité, confirmabilité (Lincoln &amp; Guba 1985).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