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55555"/>
          <w:sz w:val="26"/>
        </w:rPr>
        <w:t>THÈME</w:t>
      </w:r>
    </w:p>
    <w:p>
      <w:pPr>
        <w:spacing w:after="120"/>
        <w:jc w:val="center"/>
      </w:pPr>
      <w:r>
        <w:rPr>
          <w:b/>
          <w:color w:val="1F3B73"/>
          <w:sz w:val="32"/>
        </w:rPr>
        <w:t>ATTRACTIVITÉ ET POSITIONNEMENT STRATÉGIQUE DES ACTIVITÉS PORTUAIRES DANS UNE CHAÎNE LOGISTIQUE : CAS DU PORT AUTONOME DE BRAZZAVILLE</w:t>
      </w:r>
    </w:p>
    <w:p/>
    <w:p>
      <w:pPr>
        <w:spacing w:after="120"/>
        <w:jc w:val="center"/>
      </w:pPr>
      <w:r>
        <w:rPr>
          <w:b/>
          <w:color w:val="1F3B73"/>
          <w:sz w:val="32"/>
        </w:rPr>
        <w:t>INTRODUCTION GÉNÉRALE</w:t>
      </w:r>
    </w:p>
    <w:p>
      <w:pPr>
        <w:spacing w:after="120"/>
        <w:jc w:val="center"/>
      </w:pPr>
      <w:r>
        <w:rPr>
          <w:b w:val="0"/>
          <w:color w:val="555555"/>
          <w:sz w:val="22"/>
        </w:rPr>
        <w:t>— Version restructurée —</w:t>
      </w:r>
    </w:p>
    <w:p>
      <w:pPr>
        <w:pBdr>
          <w:bottom w:val="single" w:sz="6" w:space="1" w:color="1F3B73"/>
        </w:pBdr>
      </w:pPr>
    </w:p>
    <w:p>
      <w:pPr>
        <w:pStyle w:val="Heading1"/>
      </w:pPr>
      <w:r>
        <w:rPr>
          <w:b/>
          <w:color w:val="1F3B73"/>
          <w:sz w:val="28"/>
        </w:rPr>
        <w:t>Note liminaire : logique de la restructuration</w:t>
      </w:r>
    </w:p>
    <w:p>
      <w:pPr>
        <w:spacing w:after="120"/>
        <w:jc w:val="both"/>
      </w:pPr>
      <w:r>
        <w:rPr>
          <w:b w:val="0"/>
          <w:i w:val="0"/>
          <w:color w:val="555555"/>
          <w:sz w:val="20"/>
        </w:rPr>
        <w:t>Cette version réorganise l'introduction selon l'architecture canonique d'une introduction de thèse en sciences de gestion, en huit sections formant un entonnoir logique : du contexte général vers le cas d'étude, puis de la littérature vers la question de recherche, et enfin de la question vers le dispositif méthodologique.</w:t>
      </w:r>
    </w:p>
    <w:p>
      <w:pPr>
        <w:pStyle w:val="ListBullet"/>
        <w:jc w:val="both"/>
      </w:pPr>
      <w:r>
        <w:rPr>
          <w:b/>
        </w:rPr>
        <w:t xml:space="preserve">Fusion : </w:t>
      </w:r>
      <w:r>
        <w:t>L'ancienne section « Objet de l'étude » est fusionnée dans la revue de littérature (section 2), dont elle constitue désormais le volet critique : cela supprime le doublon contexte / état de l'art et fait apparaître le gap scientifique au bon endroit, juste avant la problématique.</w:t>
      </w:r>
    </w:p>
    <w:p>
      <w:pPr>
        <w:pStyle w:val="ListBullet"/>
        <w:jc w:val="both"/>
      </w:pPr>
      <w:r>
        <w:rPr>
          <w:b/>
        </w:rPr>
        <w:t xml:space="preserve">Deux questions : </w:t>
      </w:r>
      <w:r>
        <w:t>Deux questions subsidiaires seulement, conformément à la conception d'origine, mais réellement distinctes : la première porte sur les déterminants de l'attractivité (le « quoi »), la seconde sur leur conversion en positionnement stratégique (le « comment »).</w:t>
      </w:r>
    </w:p>
    <w:p>
      <w:pPr>
        <w:pStyle w:val="ListBullet"/>
        <w:jc w:val="both"/>
      </w:pPr>
      <w:r>
        <w:rPr>
          <w:b/>
        </w:rPr>
        <w:t xml:space="preserve">Alignement : </w:t>
      </w:r>
      <w:r>
        <w:t>Chaque question correspond à un objectif spécifique et à une proposition de recherche ; l'ensemble respecte la posture qualitative compréhensive annoncée dans la méthodologie.</w:t>
      </w:r>
    </w:p>
    <w:p>
      <w:pPr>
        <w:pBdr>
          <w:bottom w:val="single" w:sz="6" w:space="1" w:color="1F3B73"/>
        </w:pBdr>
      </w:pPr>
    </w:p>
    <w:p>
      <w:pPr>
        <w:pStyle w:val="Heading1"/>
      </w:pPr>
      <w:r>
        <w:rPr>
          <w:b/>
          <w:color w:val="1F3B73"/>
          <w:sz w:val="28"/>
        </w:rPr>
        <w:t>1. Contexte et justification de la recherche</w:t>
      </w:r>
    </w:p>
    <w:p>
      <w:pPr>
        <w:pStyle w:val="Heading3"/>
      </w:pPr>
      <w:r>
        <w:rPr>
          <w:b/>
          <w:color w:val="1F3B73"/>
          <w:sz w:val="23"/>
        </w:rPr>
        <w:t>1.1 De la mondialisation aux places portuaires</w:t>
      </w:r>
    </w:p>
    <w:p>
      <w:pPr>
        <w:spacing w:after="120"/>
        <w:jc w:val="both"/>
      </w:pPr>
      <w:r>
        <w:rPr>
          <w:b w:val="0"/>
          <w:i w:val="0"/>
          <w:sz w:val="22"/>
        </w:rPr>
        <w:t>L'un des aspects les plus significatifs de la mondialisation des économies est incontestablement l'intensification de la circulation des biens, des services et des marchandises, dans l'ensemble des contextes économiques — développés, en développement ou émergents. Une dynamique particulière de cette mondialisation réside dans l'essor des places portuaires, hubs essentiels des échanges à l'échelle mondiale. La construction des ports est une réalité planétaire, avec une grande diversité de configurations : ports secs, ports fluviaux, ports d'estuaire, ports en eau profonde. La coexistence de plusieurs ports au sein d'un même espace régional les place en concurrence, certains parvenant à capter une part plus importante du trafic. Comprendre les raisons de cette préférence — c'est-à-dire les facteurs qui rendent certains ports plus attractifs que d'autres — offre des éclairages précieux pour le développement portuaire et la planification économique. Tel est le fondement du choix de notre thème.</w:t>
      </w:r>
    </w:p>
    <w:p>
      <w:pPr>
        <w:pStyle w:val="Heading3"/>
      </w:pPr>
      <w:r>
        <w:rPr>
          <w:b/>
          <w:color w:val="1F3B73"/>
          <w:sz w:val="23"/>
        </w:rPr>
        <w:t>1.2 Un révélateur empirique : le différend Congelcam – Port de Douala</w:t>
      </w:r>
    </w:p>
    <w:p>
      <w:pPr>
        <w:spacing w:after="120"/>
        <w:jc w:val="both"/>
      </w:pPr>
      <w:r>
        <w:rPr>
          <w:b w:val="0"/>
          <w:i w:val="0"/>
          <w:sz w:val="22"/>
        </w:rPr>
        <w:t>L'actualité récente du différend opposant la société Congelcam S.A. au Port autonome de Douala illustre avec force les défis logistiques et stratégiques des infrastructures portuaires d'Afrique centrale. Plusieurs centaines de conteneurs frigorifiques seraient restés bloqués sur le terminal de Douala, entraînant — selon la presse économique régionale et les communications de l'importateur — une perte estimée à plus de 13 milliards de FCFA, du fait de la rupture prolongée de la chaîne du froid et du dépassement des délais de franchise réglementaire (sources de presse régionale, 2025). Au-delà des pertes économiques, l'épisode a terni l'image du port en exposant ses limites de coordination logistique, de gestion des flux frigorifiques et de gouvernance interinstitutionnelle. Il aurait conduit l'importateur à réorienter une part significative de ses activités vers le port en eau profonde de Kribi, jugé plus moderne et plus fluide.</w:t>
      </w:r>
    </w:p>
    <w:p>
      <w:pPr>
        <w:spacing w:after="120"/>
        <w:jc w:val="both"/>
      </w:pPr>
      <w:r>
        <w:rPr>
          <w:b w:val="0"/>
          <w:i w:val="0"/>
          <w:sz w:val="22"/>
        </w:rPr>
        <w:t>Cette décision constitue un signal fort de désaffection et illustre concrètement le lien entre attractivité perçue, positionnement logistique et intégration dans une chaîne de valeur compétitive : une mauvaise gestion de l'interface portuaire se paie en fidélité des clients et en redistribution des flux régionaux. L'enjeu se pose avec une acuité particulière pour les ports fluviaux comme Brazzaville.</w:t>
      </w:r>
    </w:p>
    <w:p>
      <w:pPr>
        <w:pStyle w:val="Heading3"/>
      </w:pPr>
      <w:r>
        <w:rPr>
          <w:b/>
          <w:color w:val="1F3B73"/>
          <w:sz w:val="23"/>
        </w:rPr>
        <w:t>1.3 Un enjeu régional chiffré : le corridor Congo – RDC – RCA</w:t>
      </w:r>
    </w:p>
    <w:p>
      <w:pPr>
        <w:spacing w:after="120"/>
        <w:jc w:val="both"/>
      </w:pPr>
      <w:r>
        <w:rPr>
          <w:b w:val="0"/>
          <w:i w:val="0"/>
          <w:sz w:val="22"/>
        </w:rPr>
        <w:t>Le corridor logistique inter-États d'Afrique centrale — reliant la République du Congo, la République démocratique du Congo et la République centrafricaine — supporterait un trafic d'environ 100 millions de tonnes de marchandises par an, pour une population de plus de 60 millions d'habitants (Banque mondiale, Projet régional des voies navigables d'Afrique centrale, P175235). Malgré ce potentiel, les performances demeurent limitées : congestion portuaire, ruptures de coordination intermodale, faible numérisation des procédures, gouvernance fragmentée. Ces dysfonctionnements allongeraient les délais de transit et renchériraient les coûts logistiques, au détriment de la compétitivité des chaînes de valeur régionales. Or, selon les travaux de Fugazza et Hoffmann (CNUCED) sur l'impact de la performance portuaire sur le commerce, une amélioration de l'ordre de 10 % des délais portuaires pourrait générer une hausse de 5 à 8 % des échanges — soit, pour ce corridor, une opportunité de croissance annuelle considérable si les ports, dont celui de Brazzaville, amélioraient leur attractivité et leur positionnement.</w:t>
      </w:r>
    </w:p>
    <w:p>
      <w:pPr>
        <w:spacing w:after="120"/>
        <w:jc w:val="both"/>
      </w:pPr>
      <w:r>
        <w:rPr>
          <w:b/>
          <w:i w:val="0"/>
          <w:sz w:val="22"/>
        </w:rPr>
        <w:t>Ces constats empiriques — désaffection d'un port dominant au profit d'un concurrent mieux organisé, potentiel régional bridé par les inefficiences — désignent l'attractivité et le positionnement stratégique comme deux leviers indissociables de la compétitivité portuaire. Encore faut-il en préciser les fondements théoriques : c'est l'objet de la section suivante.</w:t>
      </w:r>
    </w:p>
    <w:p>
      <w:pPr>
        <w:pStyle w:val="Heading1"/>
      </w:pPr>
      <w:r>
        <w:rPr>
          <w:b/>
          <w:color w:val="1F3B73"/>
          <w:sz w:val="28"/>
        </w:rPr>
        <w:t>2. Revue de littérature, discussion critique et identification du gap</w:t>
      </w:r>
    </w:p>
    <w:p>
      <w:pPr>
        <w:spacing w:after="120"/>
        <w:jc w:val="both"/>
      </w:pPr>
      <w:r>
        <w:rPr>
          <w:b w:val="0"/>
          <w:i w:val="0"/>
          <w:sz w:val="22"/>
        </w:rPr>
        <w:t>Trois champs conceptuels sont mobilisés de manière articulée : l'attractivité portuaire, le positionnement stratégique et la chaîne logistique. Après leur présentation, une discussion critique — intégrant l'ancien « objet de l'étude » — met au jour les limites des approches existantes et la lacune que cette recherche entend combler.</w:t>
      </w:r>
    </w:p>
    <w:p>
      <w:pPr>
        <w:pStyle w:val="Heading2"/>
      </w:pPr>
      <w:r>
        <w:rPr>
          <w:b/>
          <w:color w:val="1F3B73"/>
          <w:sz w:val="24"/>
        </w:rPr>
        <w:t>2.1 L'attractivité portuaire : entre compétitivité locale et performance globale</w:t>
      </w:r>
    </w:p>
    <w:p>
      <w:pPr>
        <w:spacing w:after="120"/>
        <w:jc w:val="both"/>
      </w:pPr>
      <w:r>
        <w:rPr>
          <w:b w:val="0"/>
          <w:i w:val="0"/>
          <w:sz w:val="22"/>
        </w:rPr>
        <w:t>En première approximation, l'attractivité désigne la capacité à créer un environnement propice qui maximise les avantages compétitifs, à travers des facteurs endogènes : conditions de facteur, conditions de demande, industries connexes et de soutien, stratégie/structure/rivalité (Porter, 1990 — Diamond Model). Adapté aux contextes portuaires, ce cadre a été prolongé par les modèles économétriques d'évaluation de l'attractivité (Tongzon, 2002 ; Cullinane et Wang, 2006). Dans le champ portuaire proprement dit, Notteboom (2010) définit l'attractivité comme la capacité d'un port à attirer le fret par un accès efficace, une infrastructure de qualité et des services compétitifs ; De Langen (2007) y voit une valeur ajoutée pour les utilisateurs, par l'innovation logistique et l'intégration dans les chaînes de valeur globales ; Rodrigue (2013) en fait un élément central de la stratégie portuaire, influençant les décisions de localisation des chargeurs et opérateurs ; Brooks (2011) insiste sur sa dimension relationnelle et perceptuelle. Les critères récurrents identifiés par la littérature empirique incluent la profondeur des quais, la connectivité intermodale, la rapidité de traitement, la transparence des procédures, la sécurité et la qualité de la gouvernance.</w:t>
      </w:r>
    </w:p>
    <w:p>
      <w:pPr>
        <w:pStyle w:val="Heading2"/>
      </w:pPr>
      <w:r>
        <w:rPr>
          <w:b/>
          <w:color w:val="1F3B73"/>
          <w:sz w:val="24"/>
        </w:rPr>
        <w:t>2.2 Le positionnement stratégique : une construction identitaire et compétitive</w:t>
      </w:r>
    </w:p>
    <w:p>
      <w:pPr>
        <w:spacing w:after="120"/>
        <w:jc w:val="both"/>
      </w:pPr>
      <w:r>
        <w:rPr>
          <w:b w:val="0"/>
          <w:i w:val="0"/>
          <w:sz w:val="22"/>
        </w:rPr>
        <w:t>Le positionnement stratégique désigne la manière dont une organisation choisit de se situer durablement dans son environnement concurrentiel, en mobilisant ses ressources et compétences distinctives pour se différencier (Porter, 1985). Dans le champ portuaire, Notteboom (2006) montre qu'il résulte de la capacité à articuler fonctions maritimes, terrestres et logistiques ; De Langen (2004) souligne le rôle de la gouvernance et des partenariats public-privé ; Rodrigue (2010) le relie à la connectivité, aux corridors multimodaux et à la profondeur de l'hinterland ; Brooks (2012) en fait un outil de segmentation du marché et de perception par les utilisateurs cibles. Les cadres intégrés de stratégie (Hambrick et Fredrickson, 2001) et l'outillage analytique SWOT/PESTEL (Johnson, Scholes et Whittington, 2008) complètent cette grille. Synthétiquement, le positionnement d'un port se caractérise par une différenciation volontaire, une orientation client explicite, une veille concurrentielle permanente, une cohérence ressources-vision et une reconnaissance par les parties prenantes.</w:t>
      </w:r>
    </w:p>
    <w:p>
      <w:pPr>
        <w:pStyle w:val="Heading2"/>
      </w:pPr>
      <w:r>
        <w:rPr>
          <w:b/>
          <w:color w:val="1F3B73"/>
          <w:sz w:val="24"/>
        </w:rPr>
        <w:t>2.3 La chaîne logistique : cadre systémique d'intégration et de performance</w:t>
      </w:r>
    </w:p>
    <w:p>
      <w:pPr>
        <w:spacing w:after="120"/>
        <w:jc w:val="both"/>
      </w:pPr>
      <w:r>
        <w:rPr>
          <w:b w:val="0"/>
          <w:i w:val="0"/>
          <w:sz w:val="22"/>
        </w:rPr>
        <w:t>La chaîne logistique se définit comme l'ensemble des activités coordonnées permettant de planifier, mettre en œuvre et contrôler les flux de matières, de produits et d'informations, de l'origine à la consommation (Ballou, 2004). Elle se caractérise par une approche intégrée et interfonctionnelle (Ballou, 2004), la gestion simultanée des flux physiques, informationnels et financiers (Mentzer et al., 2001), une orientation client et création de valeur (Christopher, 2011), la flexibilité et la résilience (Chopra et Sodhi, 2004), et une performance mesurable (Simchi-Levi et al., 2014). Chopra et Meindl (2016) insistent sur l'alignement des niveaux stratégique, tactique et opérationnel ; Lambert et Cooper (2000) sur le management des relations interorganisationnelles. Dans ce cadre, le port n'est plus un simple point de passage mais un acteur pivot : la compétitivité portuaire ne repose plus uniquement sur l'infrastructure, mais sur la capacité à s'intégrer efficacement dans les chaînes logistiques, par des interfaces multimodales performantes et une coopération interorganisationnelle renforcée (Notteboom et Rodrigue, 2005).</w:t>
      </w:r>
    </w:p>
    <w:p>
      <w:pPr>
        <w:pStyle w:val="Heading2"/>
      </w:pPr>
      <w:r>
        <w:rPr>
          <w:b/>
          <w:color w:val="1F3B73"/>
          <w:sz w:val="24"/>
        </w:rPr>
        <w:t>2.4 Discussion critique : les limites d'une lecture mécaniste</w:t>
      </w:r>
    </w:p>
    <w:p>
      <w:pPr>
        <w:spacing w:after="120"/>
        <w:jc w:val="both"/>
      </w:pPr>
      <w:r>
        <w:rPr>
          <w:b w:val="0"/>
          <w:i w:val="0"/>
          <w:sz w:val="22"/>
        </w:rPr>
        <w:t>La relation attractivité → positionnement, soutenue par Dunning (1988) — l'attractivité conditionnant la capacité à attirer les investissements directs étrangers — et par Levinson (2006) — le positionnement issu de l'attractivité se manifestant par une supériorité compétitive durable —, appelle cependant trois réserves majeures.</w:t>
      </w:r>
    </w:p>
    <w:p>
      <w:pPr>
        <w:spacing w:after="160"/>
        <w:jc w:val="both"/>
      </w:pPr>
      <w:r>
        <w:rPr>
          <w:b/>
          <w:color w:val="1F3B73"/>
        </w:rPr>
        <w:t xml:space="preserve">Première limite : la sous-estimation des facteurs exogènes. </w:t>
      </w:r>
      <w:r>
        <w:t>L'accent exclusif sur les capacités internes néglige la sensibilité des flux portuaires aux cycles économiques mondiaux (Rodrigue, Comtois et Slack, 2013), aux politiques commerciales internationales (Hall et Jacobs, 2010), aux risques environnementaux et aux exigences de soutenabilité (Acciaro et Vanelslander, 2015), ainsi qu'aux stratégies des grandes compagnies maritimes et aux dynamiques géopolitiques (Debrie et Gouvernal, 2008).</w:t>
      </w:r>
    </w:p>
    <w:p>
      <w:pPr>
        <w:spacing w:after="160"/>
        <w:jc w:val="both"/>
      </w:pPr>
      <w:r>
        <w:rPr>
          <w:b/>
          <w:color w:val="1F3B73"/>
        </w:rPr>
        <w:t xml:space="preserve">Deuxième limite : l'occultation des dynamiques institutionnelles et politiques. </w:t>
      </w:r>
      <w:r>
        <w:t>La performance d'un port dépend aussi de la coordination entre acteurs — autorités portuaires, administrations, collectivités, opérateurs, usagers — traversée de conflits d'intérêts et de jeux de pouvoir (Ng et Pallis, 2010). Les évolutions politiques locales peuvent reconfigurer les orientations stratégiques (Gouvernal et Debrie, 2012), et les modèles de gouvernance conditionnent la capacité d'adaptation (Brooks et Cullinane, 2007).</w:t>
      </w:r>
    </w:p>
    <w:p>
      <w:pPr>
        <w:spacing w:after="160"/>
        <w:jc w:val="both"/>
      </w:pPr>
      <w:r>
        <w:rPr>
          <w:b/>
          <w:color w:val="1F3B73"/>
        </w:rPr>
        <w:t xml:space="preserve">Troisième limite : le caractère statique et l'oubli de la résilience. </w:t>
      </w:r>
      <w:r>
        <w:t>Attractivité et positionnement sont dynamiques : ils exigent une adaptation continue aux mutations technologiques (numérisation, automatisation) et environnementales. En outre, la capacité d'un port à maintenir ses opérations face aux perturbations — sa résilience — est aussi déterminante que son attractivité pour sécuriser un avantage durable.</w:t>
      </w:r>
    </w:p>
    <w:p>
      <w:pPr>
        <w:pStyle w:val="Heading2"/>
      </w:pPr>
      <w:r>
        <w:rPr>
          <w:b/>
          <w:color w:val="1F3B73"/>
          <w:sz w:val="24"/>
        </w:rPr>
        <w:t>2.5 Le gap scientifique et la visée de la recherche</w:t>
      </w:r>
    </w:p>
    <w:p>
      <w:pPr>
        <w:spacing w:after="120"/>
        <w:jc w:val="both"/>
      </w:pPr>
      <w:r>
        <w:rPr>
          <w:b/>
          <w:i w:val="0"/>
          <w:sz w:val="22"/>
        </w:rPr>
        <w:t>Si ces théories ont été largement éprouvées dans les grands hubs maritimes mondiaux, leur applicabilité aux ports fluviaux d'Afrique centrale — et singulièrement au Port autonome de Brazzaville — demeure très peu étudiée, alors même que ces ports constituent des maillons essentiels mais vulnérables des chaînes logistiques régionales. Cette lacune, à la fois théorique (transposition des cadres à un contexte fluvial africain) et pratique (leviers d'action pour un port intérieur concurrencé par des plateformes maritimes), constitue le verrou que la présente recherche entend lever.</w:t>
      </w:r>
    </w:p>
    <w:p>
      <w:pPr>
        <w:spacing w:after="80"/>
        <w:jc w:val="both"/>
      </w:pPr>
      <w:r>
        <w:rPr>
          <w:b w:val="0"/>
          <w:i w:val="0"/>
          <w:sz w:val="22"/>
        </w:rPr>
        <w:t>Le tableau suivant synthétise l'ancrage théorique de la recherche.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B73"/>
          </w:tcPr>
          <w:p>
            <w:r/>
            <w:r>
              <w:rPr>
                <w:b/>
                <w:color w:val="FFFFFF"/>
                <w:sz w:val="19"/>
              </w:rPr>
              <w:t>Axe conceptuel</w:t>
            </w:r>
          </w:p>
        </w:tc>
        <w:tc>
          <w:tcPr>
            <w:tcW w:type="dxa" w:w="2880"/>
            <w:shd w:val="clear" w:color="auto" w:fill="1F3B73"/>
          </w:tcPr>
          <w:p>
            <w:r/>
            <w:r>
              <w:rPr>
                <w:b/>
                <w:color w:val="FFFFFF"/>
                <w:sz w:val="19"/>
              </w:rPr>
              <w:t>Auteurs / Références clés</w:t>
            </w:r>
          </w:p>
        </w:tc>
        <w:tc>
          <w:tcPr>
            <w:tcW w:type="dxa" w:w="2880"/>
            <w:shd w:val="clear" w:color="auto" w:fill="1F3B73"/>
          </w:tcPr>
          <w:p>
            <w:r/>
            <w:r>
              <w:rPr>
                <w:b/>
                <w:color w:val="FFFFFF"/>
                <w:sz w:val="19"/>
              </w:rPr>
              <w:t>Théories / Modèles mobilisés</w:t>
            </w:r>
          </w:p>
        </w:tc>
      </w:tr>
      <w:tr>
        <w:tc>
          <w:tcPr>
            <w:tcW w:type="dxa" w:w="2880"/>
          </w:tcPr>
          <w:p>
            <w:r/>
            <w:r>
              <w:rPr>
                <w:b/>
                <w:color w:val="1F3B73"/>
                <w:sz w:val="18"/>
              </w:rPr>
              <w:t>Attractivité portuaire</w:t>
            </w:r>
          </w:p>
        </w:tc>
        <w:tc>
          <w:tcPr>
            <w:tcW w:type="dxa" w:w="2880"/>
          </w:tcPr>
          <w:p>
            <w:r/>
            <w:r>
              <w:rPr>
                <w:sz w:val="18"/>
              </w:rPr>
              <w:t>Porter (1990) ; Brooks (2011) ; Tongzon (2002) ; Cullinane &amp; Wang (2006)</w:t>
            </w:r>
          </w:p>
        </w:tc>
        <w:tc>
          <w:tcPr>
            <w:tcW w:type="dxa" w:w="2880"/>
          </w:tcPr>
          <w:p>
            <w:r/>
            <w:r>
              <w:rPr>
                <w:sz w:val="18"/>
              </w:rPr>
              <w:t>Diamond Model ; approche client-centrée ; modèles économétriques d'attractivité</w:t>
            </w:r>
          </w:p>
        </w:tc>
      </w:tr>
      <w:tr>
        <w:tc>
          <w:tcPr>
            <w:tcW w:type="dxa" w:w="2880"/>
          </w:tcPr>
          <w:p>
            <w:r/>
            <w:r>
              <w:rPr>
                <w:b/>
                <w:color w:val="1F3B73"/>
                <w:sz w:val="18"/>
              </w:rPr>
              <w:t>Positionnement stratégique</w:t>
            </w:r>
          </w:p>
        </w:tc>
        <w:tc>
          <w:tcPr>
            <w:tcW w:type="dxa" w:w="2880"/>
          </w:tcPr>
          <w:p>
            <w:r/>
            <w:r>
              <w:rPr>
                <w:sz w:val="18"/>
              </w:rPr>
              <w:t>Porter (1985) ; Brooks (2012) ; Hambrick &amp; Fredrickson (2001) ; Johnson, Scholes &amp; Whittington (2008)</w:t>
            </w:r>
          </w:p>
        </w:tc>
        <w:tc>
          <w:tcPr>
            <w:tcW w:type="dxa" w:w="2880"/>
          </w:tcPr>
          <w:p>
            <w:r/>
            <w:r>
              <w:rPr>
                <w:sz w:val="18"/>
              </w:rPr>
              <w:t>Avantage concurrentiel ; positionnement perçu ; cadre intégré de stratégie ; SWOT / PESTEL</w:t>
            </w:r>
          </w:p>
        </w:tc>
      </w:tr>
      <w:tr>
        <w:tc>
          <w:tcPr>
            <w:tcW w:type="dxa" w:w="2880"/>
          </w:tcPr>
          <w:p>
            <w:r/>
            <w:r>
              <w:rPr>
                <w:b/>
                <w:color w:val="1F3B73"/>
                <w:sz w:val="18"/>
              </w:rPr>
              <w:t>Chaîne logistique</w:t>
            </w:r>
          </w:p>
        </w:tc>
        <w:tc>
          <w:tcPr>
            <w:tcW w:type="dxa" w:w="2880"/>
          </w:tcPr>
          <w:p>
            <w:r/>
            <w:r>
              <w:rPr>
                <w:sz w:val="18"/>
              </w:rPr>
              <w:t>Ballou (2004) ; Chopra &amp; Meindl (2016) ; Lambert &amp; Cooper (2000) ; Christopher (2011) ; Chopra &amp; Sodhi (2004) ; Simchi-Levi et al. (2014)</w:t>
            </w:r>
          </w:p>
        </w:tc>
        <w:tc>
          <w:tcPr>
            <w:tcW w:type="dxa" w:w="2880"/>
          </w:tcPr>
          <w:p>
            <w:r/>
            <w:r>
              <w:rPr>
                <w:sz w:val="18"/>
              </w:rPr>
              <w:t>Logistique intégrée ; alignement stratégique ; Supply Chain Relationship Management ; logistique orientée client ; risques et résilience</w:t>
            </w:r>
          </w:p>
        </w:tc>
      </w:tr>
      <w:tr>
        <w:tc>
          <w:tcPr>
            <w:tcW w:type="dxa" w:w="2880"/>
          </w:tcPr>
          <w:p>
            <w:r/>
            <w:r>
              <w:rPr>
                <w:b/>
                <w:color w:val="1F3B73"/>
                <w:sz w:val="18"/>
              </w:rPr>
              <w:t>Limites et facteurs contextuels</w:t>
            </w:r>
          </w:p>
        </w:tc>
        <w:tc>
          <w:tcPr>
            <w:tcW w:type="dxa" w:w="2880"/>
          </w:tcPr>
          <w:p>
            <w:r/>
            <w:r>
              <w:rPr>
                <w:sz w:val="18"/>
              </w:rPr>
              <w:t>Rodrigue, Comtois &amp; Slack (2013) ; Hall &amp; Jacobs (2010) ; Acciaro &amp; Vanelslander (2015) ; Ng &amp; Pallis (2010) ; Gouvernal &amp; Debrie (2012) ; Brooks &amp; Cullinane (2007)</w:t>
            </w:r>
          </w:p>
        </w:tc>
        <w:tc>
          <w:tcPr>
            <w:tcW w:type="dxa" w:w="2880"/>
          </w:tcPr>
          <w:p>
            <w:r/>
            <w:r>
              <w:rPr>
                <w:sz w:val="18"/>
              </w:rPr>
              <w:t>Facteurs exogènes ; gouvernance et jeux d'acteurs ; soutenabilité ; résilience portuaire</w:t>
            </w:r>
          </w:p>
        </w:tc>
      </w:tr>
    </w:tbl>
    <w:p/>
    <w:p>
      <w:pPr>
        <w:pStyle w:val="Heading1"/>
      </w:pPr>
      <w:r>
        <w:rPr>
          <w:b/>
          <w:color w:val="1F3B73"/>
          <w:sz w:val="28"/>
        </w:rPr>
        <w:t>3. Problématique et questions de recherche</w:t>
      </w:r>
    </w:p>
    <w:p>
      <w:pPr>
        <w:spacing w:after="120"/>
        <w:jc w:val="both"/>
      </w:pPr>
      <w:r>
        <w:rPr>
          <w:b w:val="0"/>
          <w:i w:val="0"/>
          <w:sz w:val="22"/>
        </w:rPr>
        <w:t>Les nuances mises au jour par la discussion critique — poids des facteurs exogènes, rôle de la gouvernance, exigence de résilience — imposent de penser la relation entre attractivité et positionnement stratégique non comme un lien mécanique, mais comme un processus de conversion, situé dans un contexte institutionnel et logistique donné. Notre ambition est de contribuer à combler les lacunes identifiées, en interrogeant ce processus dans le cas d'un port fluvial africain. D'où notre question principale :</w:t>
      </w:r>
    </w:p>
    <w:p>
      <w:pPr>
        <w:spacing w:after="160"/>
        <w:ind w:left="360"/>
        <w:jc w:val="both"/>
        <w:pBdr>
          <w:left w:val="single" w:sz="18" w:space="10" w:color="1F3B73"/>
        </w:pBdr>
      </w:pPr>
      <w:r>
        <w:rPr>
          <w:i/>
        </w:rPr>
        <w:t>Par quels mécanismes l'attractivité d'un port fluvial renforce-t-elle son positionnement stratégique au sein d'une chaîne logistique ?</w:t>
      </w:r>
    </w:p>
    <w:p>
      <w:pPr>
        <w:spacing w:after="120"/>
        <w:jc w:val="both"/>
      </w:pPr>
      <w:r>
        <w:rPr>
          <w:b w:val="0"/>
          <w:i w:val="0"/>
          <w:sz w:val="22"/>
        </w:rPr>
        <w:t>La littérature permet de décomposer cette interrogation en deux moments logiques. Le premier concerne les déterminants de l'attractivité : Acciaro et McKinnon (2015) identifient l'efficacité de la manutention, les connexions avec l'arrière-pays, les coûts opérationnels et les technologies de l'information comme leviers majeurs, complétés par la fiabilité des services et la transparence tarifaire (De Langen, 2004), la perception des usagers (Brooks et Pallis, 2012), la numérisation et la durabilité (Sampaio, Carbone et Neto, 2020). Le second moment concerne la conversion de ces atouts en positionnement : intégration logistique et performance intermodale (Notteboom et Rodrigue, 2008), connectivité maritime et terrestre (Slack et Frémont, 2005), centralité dans les réseaux (Ducruet et Notteboom, 2012), gouvernance et autonomie décisionnelle (Brooks et Cullinane, 2007), politiques publiques et qualité des corridors (Sánchez et Wilmsmeier, 2017).</w:t>
      </w:r>
    </w:p>
    <w:p>
      <w:pPr>
        <w:spacing w:after="120"/>
        <w:jc w:val="both"/>
      </w:pPr>
      <w:r>
        <w:rPr>
          <w:b w:val="0"/>
          <w:i w:val="0"/>
          <w:sz w:val="22"/>
        </w:rPr>
        <w:t>De ce qui précède, nous formulons deux questions subsidiaires, correspondant à ces deux moments :</w:t>
      </w:r>
    </w:p>
    <w:p>
      <w:pPr>
        <w:pStyle w:val="Heading3"/>
      </w:pPr>
      <w:r>
        <w:rPr>
          <w:b/>
          <w:color w:val="1F3B73"/>
          <w:sz w:val="23"/>
        </w:rPr>
        <w:t>Question subsidiaire 1 — Les déterminants de l'attractivité (le « quoi »)</w:t>
      </w:r>
    </w:p>
    <w:p>
      <w:pPr>
        <w:spacing w:after="160"/>
        <w:ind w:left="360"/>
        <w:jc w:val="both"/>
        <w:pBdr>
          <w:left w:val="single" w:sz="18" w:space="10" w:color="1F3B73"/>
        </w:pBdr>
      </w:pPr>
      <w:r>
        <w:rPr>
          <w:i/>
        </w:rPr>
        <w:t>Quels rôles jouent la performance de la manutention, les technologies de l'information et la maîtrise des coûts logistiques dans la construction de l'attractivité du port et de ses parts de marché au sein d'une chaîne logistique ?</w:t>
      </w:r>
    </w:p>
    <w:p>
      <w:pPr>
        <w:pStyle w:val="Heading3"/>
      </w:pPr>
      <w:r>
        <w:rPr>
          <w:b/>
          <w:color w:val="1F3B73"/>
          <w:sz w:val="23"/>
        </w:rPr>
        <w:t>Question subsidiaire 2 — La conversion en positionnement stratégique (le « comment »)</w:t>
      </w:r>
    </w:p>
    <w:p>
      <w:pPr>
        <w:spacing w:after="160"/>
        <w:ind w:left="360"/>
        <w:jc w:val="both"/>
        <w:pBdr>
          <w:left w:val="single" w:sz="18" w:space="10" w:color="1F3B73"/>
        </w:pBdr>
      </w:pPr>
      <w:r>
        <w:rPr>
          <w:i/>
        </w:rPr>
        <w:t>Comment ces facteurs d'attractivité, combinés à l'intégration intermodale et à la gouvernance portuaire, se convertissent-ils en positionnement stratégique durable du port dans les chaînes d'approvisionnement régionales ?</w:t>
      </w:r>
    </w:p>
    <w:p>
      <w:pPr>
        <w:spacing w:after="120"/>
        <w:jc w:val="both"/>
      </w:pPr>
      <w:r>
        <w:rPr>
          <w:b w:val="0"/>
          <w:i w:val="0"/>
          <w:color w:val="555555"/>
          <w:sz w:val="20"/>
        </w:rPr>
        <w:t>La première question est descriptive et diagnostique : elle identifie et hiérarchise les facteurs d'attractivité tels qu'ils opèrent — et tels que les acteurs les perçoivent — dans le cas étudié. La seconde est compréhensive et processuelle : elle analyse le mécanisme de transformation de ces atouts en position concurrentielle défendable, en intégrant les dimensions institutionnelles mises en évidence par la discussion critique.</w:t>
      </w:r>
    </w:p>
    <w:p>
      <w:pPr>
        <w:pStyle w:val="Heading1"/>
      </w:pPr>
      <w:r>
        <w:rPr>
          <w:b/>
          <w:color w:val="1F3B73"/>
          <w:sz w:val="28"/>
        </w:rPr>
        <w:t>4. Objectifs de la recherche</w:t>
      </w:r>
    </w:p>
    <w:p>
      <w:pPr>
        <w:spacing w:after="120"/>
        <w:jc w:val="both"/>
      </w:pPr>
      <w:r>
        <w:rPr>
          <w:b w:val="0"/>
          <w:i w:val="0"/>
          <w:sz w:val="22"/>
        </w:rPr>
        <w:t>Les objectifs découlent directement de la problématique et des deux questions subsidiaires. Ils sont à la fois diagnostiques et propositifs.</w:t>
      </w:r>
    </w:p>
    <w:p>
      <w:pPr>
        <w:pStyle w:val="Heading2"/>
      </w:pPr>
      <w:r>
        <w:rPr>
          <w:b/>
          <w:color w:val="1F3B73"/>
          <w:sz w:val="24"/>
        </w:rPr>
        <w:t>Objectif principal</w:t>
      </w:r>
    </w:p>
    <w:p>
      <w:pPr>
        <w:spacing w:after="120"/>
        <w:jc w:val="both"/>
      </w:pPr>
      <w:r>
        <w:rPr>
          <w:b w:val="0"/>
          <w:i w:val="0"/>
          <w:sz w:val="22"/>
        </w:rPr>
        <w:t>Comprendre les mécanismes par lesquels les facteurs d'attractivité contribuent à renforcer le positionnement stratégique du Port autonome de Brazzaville au sein d'une chaîne logistique régionale.</w:t>
      </w:r>
    </w:p>
    <w:p>
      <w:pPr>
        <w:pStyle w:val="Heading2"/>
      </w:pPr>
      <w:r>
        <w:rPr>
          <w:b/>
          <w:color w:val="1F3B73"/>
          <w:sz w:val="24"/>
        </w:rPr>
        <w:t>Objectifs spécifiques</w:t>
      </w:r>
    </w:p>
    <w:p>
      <w:pPr>
        <w:spacing w:after="160"/>
        <w:jc w:val="both"/>
      </w:pPr>
      <w:r>
        <w:rPr>
          <w:b/>
          <w:color w:val="1F3B73"/>
        </w:rPr>
        <w:t xml:space="preserve">OS1 (↔ QS1) — </w:t>
      </w:r>
      <w:r>
        <w:t>Identifier et caractériser les facteurs d'attractivité du port — performance de la manutention, technologies de l'information, coûts logistiques — et comprendre le sens que les acteurs de la chaîne logistique leur attribuent dans la construction des parts de marché.</w:t>
      </w:r>
    </w:p>
    <w:p>
      <w:pPr>
        <w:spacing w:after="160"/>
        <w:jc w:val="both"/>
      </w:pPr>
      <w:r>
        <w:rPr>
          <w:b/>
          <w:color w:val="1F3B73"/>
        </w:rPr>
        <w:t xml:space="preserve">OS2 (↔ QS2) — </w:t>
      </w:r>
      <w:r>
        <w:t>Analyser le processus par lequel ces facteurs, articulés à l'intégration intermodale et à la gouvernance portuaire, se convertissent en positionnement stratégique durable au sein des chaînes d'approvisionnement régionales.</w:t>
      </w:r>
    </w:p>
    <w:p>
      <w:pPr>
        <w:pStyle w:val="Heading1"/>
      </w:pPr>
      <w:r>
        <w:rPr>
          <w:b/>
          <w:color w:val="1F3B73"/>
          <w:sz w:val="28"/>
        </w:rPr>
        <w:t>5. Propositions de recherche</w:t>
      </w:r>
    </w:p>
    <w:p>
      <w:pPr>
        <w:spacing w:after="120"/>
        <w:jc w:val="both"/>
      </w:pPr>
      <w:r>
        <w:rPr>
          <w:b w:val="0"/>
          <w:i/>
          <w:color w:val="555555"/>
          <w:sz w:val="20"/>
        </w:rPr>
        <w:t>Conformément à la posture compréhensive retenue (cf. section 7), les énoncés suivants sont des propositions de recherche — relations plausibles issues de la littérature, destinées à être mises à l'épreuve par les matériaux qualitatifs (Yin, 2018) — et non des hypothèses à valider statistiquement.</w:t>
      </w:r>
    </w:p>
    <w:p>
      <w:pPr>
        <w:pStyle w:val="Heading2"/>
      </w:pPr>
      <w:r>
        <w:rPr>
          <w:b/>
          <w:color w:val="1F3B73"/>
          <w:sz w:val="24"/>
        </w:rPr>
        <w:t>Proposition principale (P0)</w:t>
      </w:r>
    </w:p>
    <w:p>
      <w:pPr>
        <w:spacing w:after="160"/>
        <w:ind w:left="360"/>
        <w:jc w:val="both"/>
        <w:pBdr>
          <w:left w:val="single" w:sz="18" w:space="10" w:color="1F3B73"/>
        </w:pBdr>
      </w:pPr>
      <w:r>
        <w:rPr>
          <w:i/>
        </w:rPr>
        <w:t>L'attractivité portuaire, lorsqu'elle est reconnue par les acteurs de la chaîne logistique, constitue un levier essentiel de construction du positionnement stratégique du port.</w:t>
      </w:r>
    </w:p>
    <w:p>
      <w:pPr>
        <w:pStyle w:val="Heading2"/>
      </w:pPr>
      <w:r>
        <w:rPr>
          <w:b/>
          <w:color w:val="1F3B73"/>
          <w:sz w:val="24"/>
        </w:rPr>
        <w:t>Propositions secondaires</w:t>
      </w:r>
    </w:p>
    <w:p>
      <w:pPr>
        <w:spacing w:after="160"/>
        <w:jc w:val="both"/>
      </w:pPr>
      <w:r>
        <w:rPr>
          <w:b/>
          <w:color w:val="1F3B73"/>
        </w:rPr>
        <w:t xml:space="preserve">P1 (↔ QS1 / OS1) — </w:t>
      </w:r>
      <w:r>
        <w:t>La performance de la manutention, la maîtrise des technologies de l'information et la compétitivité des coûts sont perçues par les utilisateurs comme les déterminants premiers de l'attractivité du port et de ses parts de marché.</w:t>
      </w:r>
    </w:p>
    <w:p>
      <w:pPr>
        <w:spacing w:after="160"/>
        <w:jc w:val="both"/>
      </w:pPr>
      <w:r>
        <w:rPr>
          <w:b/>
          <w:color w:val="1F3B73"/>
        </w:rPr>
        <w:t xml:space="preserve">P2 (↔ QS2 / OS2) — </w:t>
      </w:r>
      <w:r>
        <w:t>La conversion de l'attractivité en positionnement stratégique durable dépend de l'intégration du port dans des corridors intermodaux fluides et de la qualité de sa gouvernance.</w:t>
      </w:r>
    </w:p>
    <w:p>
      <w:pPr>
        <w:pStyle w:val="Heading2"/>
      </w:pPr>
      <w:r>
        <w:rPr>
          <w:b/>
          <w:color w:val="B01C1C"/>
          <w:sz w:val="24"/>
        </w:rPr>
        <w:t>Explication concurrente (à examiner)</w:t>
      </w:r>
    </w:p>
    <w:p>
      <w:pPr>
        <w:spacing w:after="120"/>
        <w:jc w:val="both"/>
      </w:pPr>
      <w:r>
        <w:rPr>
          <w:b w:val="0"/>
          <w:i w:val="0"/>
          <w:sz w:val="22"/>
        </w:rPr>
        <w:t>À ces propositions s'ajoute une explication concurrente, que l'analyse qualitative confrontera aux discours des acteurs afin d'éprouver la robustesse de la proposition principale :</w:t>
      </w:r>
    </w:p>
    <w:p>
      <w:pPr>
        <w:spacing w:after="160"/>
        <w:ind w:left="360"/>
        <w:jc w:val="both"/>
        <w:pBdr>
          <w:left w:val="single" w:sz="18" w:space="10" w:color="1F3B73"/>
        </w:pBdr>
      </w:pPr>
      <w:r>
        <w:rPr>
          <w:i/>
        </w:rPr>
        <w:t>Ce ne serait pas l'attractivité intrinsèque du port qui détermine son positionnement, mais la qualité des politiques publiques, des infrastructures intermodales et de la gouvernance logistique, qui conditionneraient simultanément l'attractivité et le positionnement.</w:t>
      </w:r>
    </w:p>
    <w:p>
      <w:pPr>
        <w:pStyle w:val="Heading1"/>
      </w:pPr>
      <w:r>
        <w:rPr>
          <w:b/>
          <w:color w:val="1F3B73"/>
          <w:sz w:val="28"/>
        </w:rPr>
        <w:t>6. Intérêt de l'étude</w:t>
      </w:r>
    </w:p>
    <w:p>
      <w:pPr>
        <w:spacing w:after="160"/>
        <w:jc w:val="both"/>
      </w:pPr>
      <w:r>
        <w:rPr>
          <w:b/>
          <w:color w:val="1F3B73"/>
        </w:rPr>
        <w:t xml:space="preserve">Sur le plan académique — </w:t>
      </w:r>
      <w:r>
        <w:t>la recherche contribue à combler un vide dans la littérature sur l'articulation entre attractivité, positionnement stratégique et intégration logistique, rarement traitée de manière systémique hors des grandes zones maritimes. Elle propose une lecture intégrée mobilisant le management stratégique, la logistique et l'économie territoriale, appliquée à un terrain quasi inexploré : le port fluvial africain.</w:t>
      </w:r>
    </w:p>
    <w:p>
      <w:pPr>
        <w:spacing w:after="160"/>
        <w:jc w:val="both"/>
      </w:pPr>
      <w:r>
        <w:rPr>
          <w:b/>
          <w:color w:val="1F3B73"/>
        </w:rPr>
        <w:t xml:space="preserve">Sur le plan managérial — </w:t>
      </w:r>
      <w:r>
        <w:t>elle offre aux gestionnaires portuaires, logisticiens et responsables d'infrastructures des repères analytiques et des outils de réflexion stratégique : leviers d'attractivité les plus efficaces, formes de positionnement cohérentes avec les exigences des chaînes logistiques, aide à la décision pour l'investissement, l'organisation et les partenariats.</w:t>
      </w:r>
    </w:p>
    <w:p>
      <w:pPr>
        <w:spacing w:after="160"/>
        <w:jc w:val="both"/>
      </w:pPr>
      <w:r>
        <w:rPr>
          <w:b/>
          <w:color w:val="1F3B73"/>
        </w:rPr>
        <w:t xml:space="preserve">Sur le plan territorial — </w:t>
      </w:r>
      <w:r>
        <w:t>elle éclaire les autorités publiques, collectivités et institutions de planification sur les politiques de développement portuaire, d'aménagement du territoire et d'intégration régionale, et sur le rôle structurant des ports dans le dynamisme économique local, l'emploi et la compétitivité des territoires enclavés.</w:t>
      </w:r>
    </w:p>
    <w:p>
      <w:pPr>
        <w:pStyle w:val="Heading1"/>
      </w:pPr>
      <w:r>
        <w:rPr>
          <w:b/>
          <w:color w:val="1F3B73"/>
          <w:sz w:val="28"/>
        </w:rPr>
        <w:t>7. Méthodologie de la recherche</w:t>
      </w:r>
    </w:p>
    <w:p>
      <w:pPr>
        <w:pStyle w:val="Heading2"/>
      </w:pPr>
      <w:r>
        <w:rPr>
          <w:b/>
          <w:color w:val="1F3B73"/>
          <w:sz w:val="24"/>
        </w:rPr>
        <w:t>7.1 Positionnement épistémologique</w:t>
      </w:r>
    </w:p>
    <w:p>
      <w:pPr>
        <w:spacing w:after="120"/>
        <w:jc w:val="both"/>
      </w:pPr>
      <w:r>
        <w:rPr>
          <w:b w:val="0"/>
          <w:i w:val="0"/>
          <w:sz w:val="22"/>
        </w:rPr>
        <w:t>La recherche s'inscrit dans une posture compréhensive (interprétativiste), héritée de Weber (1949) et prolongée par les travaux en management stratégique (Gioia et al., 2013) : la réalité organisationnelle est socialement construite, à travers interactions, discours et représentations. L'objectif n'est pas de mesurer mais de comprendre et d'interpréter les dynamiques d'attractivité et de positionnement.</w:t>
      </w:r>
    </w:p>
    <w:p>
      <w:pPr>
        <w:pStyle w:val="Heading2"/>
      </w:pPr>
      <w:r>
        <w:rPr>
          <w:b/>
          <w:color w:val="1F3B73"/>
          <w:sz w:val="24"/>
        </w:rPr>
        <w:t>7.2 Stratégie de recherche</w:t>
      </w:r>
    </w:p>
    <w:p>
      <w:pPr>
        <w:spacing w:after="120"/>
        <w:jc w:val="both"/>
      </w:pPr>
      <w:r>
        <w:rPr>
          <w:b w:val="0"/>
          <w:i w:val="0"/>
          <w:sz w:val="22"/>
        </w:rPr>
        <w:t>La stratégie retenue est l'étude de cas unique enchâssée (single embedded case study, Yin, 2018) : le Port autonome de Brazzaville constitue le cas ; les catégories d'acteurs et les fonctions logistiques (manutention, systèmes d'information, tarification, interfaces intermodales, gouvernance) en sont les unités d'analyse enchâssées. Cette stratégie convient à un phénomène contemporain, complexe et fortement contextualisé, dans un environnement où les bases de données structurées sont rares.</w:t>
      </w:r>
    </w:p>
    <w:p>
      <w:pPr>
        <w:pStyle w:val="Heading2"/>
      </w:pPr>
      <w:r>
        <w:rPr>
          <w:b/>
          <w:color w:val="1F3B73"/>
          <w:sz w:val="24"/>
        </w:rPr>
        <w:t>7.3 Collecte des données</w:t>
      </w:r>
    </w:p>
    <w:p>
      <w:pPr>
        <w:pStyle w:val="ListBullet"/>
        <w:jc w:val="both"/>
      </w:pPr>
      <w:r>
        <w:rPr>
          <w:b/>
        </w:rPr>
        <w:t xml:space="preserve">Entretiens semi-directifs </w:t>
      </w:r>
      <w:r>
        <w:t xml:space="preserve"> auprès des parties prenantes (direction du port, autorités douanières, opérateurs logistiques, représentants d'armateurs, chargeurs). Échantillonnage raisonné et théorique visant la diversité des points de vue ; taille indicative de 15 à 25 entretiens, ajustée par le principe de saturation.</w:t>
      </w:r>
    </w:p>
    <w:p>
      <w:pPr>
        <w:pStyle w:val="ListBullet"/>
        <w:jc w:val="both"/>
      </w:pPr>
      <w:r>
        <w:rPr>
          <w:b/>
        </w:rPr>
        <w:t>Analyse documentaire</w:t>
      </w:r>
      <w:r>
        <w:t xml:space="preserve"> : rapports d'activité, projets de développement, données logistiques, politiques publiques et plans d'intégration régionale — pour trianguler les données d'entretien.</w:t>
      </w:r>
    </w:p>
    <w:p>
      <w:pPr>
        <w:pStyle w:val="ListBullet"/>
        <w:jc w:val="both"/>
      </w:pPr>
      <w:r>
        <w:rPr>
          <w:b/>
        </w:rPr>
        <w:t>Observation non participante</w:t>
      </w:r>
      <w:r>
        <w:t xml:space="preserve"> : mobilisée dans la mesure du possible pour saisir les processus opérationnels, dans une logique inspirée des démarches ethnographiques adaptées au management logistique (Miles et Huberman, 2003).</w:t>
      </w:r>
    </w:p>
    <w:p>
      <w:pPr>
        <w:pStyle w:val="Heading2"/>
      </w:pPr>
      <w:r>
        <w:rPr>
          <w:b/>
          <w:color w:val="1F3B73"/>
          <w:sz w:val="24"/>
        </w:rPr>
        <w:t>7.4 Analyse des données et critères de rigueur</w:t>
      </w:r>
    </w:p>
    <w:p>
      <w:pPr>
        <w:spacing w:after="120"/>
        <w:jc w:val="both"/>
      </w:pPr>
      <w:r>
        <w:rPr>
          <w:b w:val="0"/>
          <w:i w:val="0"/>
          <w:sz w:val="22"/>
        </w:rPr>
        <w:t>Les données seront traitées par analyse thématique (Braun et Clarke, 2006) : codification des verbatims et regroupement en catégories conceptuelles, avec l'appui éventuel d'un logiciel (NVivo, MAXQDA). La triangulation des sources (Denzin, 1978) renforcera la robustesse interprétative. La rigueur sera assurée par les critères de scientificité du qualitatif : crédibilité, transférabilité, fiabilité et confirmabilité (Lincoln et Guba, 1985). Conformément à la posture compréhensive, l'analyse vise à mettre à l'épreuve les propositions de recherche au regard du sens construit par les acteurs — non à établir des relations statistiques ; d'éventuelles données chiffrées (trafics, délais, coûts) seront mobilisées à titre illustratif et contextuel.</w:t>
      </w:r>
    </w:p>
    <w:p>
      <w:pPr>
        <w:pStyle w:val="Heading2"/>
      </w:pPr>
      <w:r>
        <w:rPr>
          <w:b/>
          <w:color w:val="1F3B73"/>
          <w:sz w:val="24"/>
        </w:rPr>
        <w:t>7.5 Justification du choix méthodologique</w:t>
      </w:r>
    </w:p>
    <w:p>
      <w:pPr>
        <w:spacing w:after="120"/>
        <w:jc w:val="both"/>
      </w:pPr>
      <w:r>
        <w:rPr>
          <w:b w:val="0"/>
          <w:i w:val="0"/>
          <w:sz w:val="22"/>
        </w:rPr>
        <w:t>Trois raisons imposent le qualitatif : la nature exploratoire du sujet, peu traité dans les contextes portuaires fluviaux africains ; la complexité du phénomène, aux interactions multiples difficilement standardisables ; la volonté d'élaborer un cadre interprétatif souple, identifiant logiques d'action et leviers de transformation adaptés au terrain.</w:t>
      </w:r>
    </w:p>
    <w:p>
      <w:pPr>
        <w:pStyle w:val="Heading1"/>
      </w:pPr>
      <w:r>
        <w:rPr>
          <w:b/>
          <w:color w:val="1F3B73"/>
          <w:sz w:val="28"/>
        </w:rPr>
        <w:t>8. Plan provisoire de la recherche</w:t>
      </w:r>
    </w:p>
    <w:p>
      <w:pPr>
        <w:spacing w:after="120"/>
        <w:jc w:val="both"/>
      </w:pPr>
      <w:r>
        <w:rPr>
          <w:b/>
          <w:i w:val="0"/>
          <w:sz w:val="22"/>
        </w:rPr>
        <w:t>Introduction générale</w:t>
      </w:r>
    </w:p>
    <w:p>
      <w:pPr>
        <w:spacing w:after="120"/>
        <w:jc w:val="both"/>
      </w:pPr>
      <w:r>
        <w:rPr>
          <w:b/>
          <w:i w:val="0"/>
          <w:sz w:val="22"/>
        </w:rPr>
        <w:t>Première partie : Fondements conceptuels et dynamiques théoriques</w:t>
      </w:r>
    </w:p>
    <w:p>
      <w:pPr>
        <w:pStyle w:val="ListBullet"/>
        <w:jc w:val="both"/>
      </w:pPr>
      <w:r>
        <w:t>Chapitre 1 — Attractivité et positionnement stratégique : deux leviers complémentaires. Section 1 : origines et enjeux du concept d'attractivité portuaire ; Section 2 : genèse et portée stratégique du positionnement portuaire.</w:t>
      </w:r>
    </w:p>
    <w:p>
      <w:pPr>
        <w:pStyle w:val="ListBullet"/>
        <w:jc w:val="both"/>
      </w:pPr>
      <w:r>
        <w:t>Chapitre 2 — Articulation conceptuelle et intégration dans les chaînes logistiques. Section 1 : modèles théoriques croisés sur l'attractivité et le positionnement ; Section 2 : de la complémentarité conceptuelle à l'intégration logistique portuaire.</w:t>
      </w:r>
    </w:p>
    <w:p>
      <w:pPr>
        <w:spacing w:after="120"/>
        <w:jc w:val="both"/>
      </w:pPr>
      <w:r>
        <w:rPr>
          <w:b/>
          <w:i w:val="0"/>
          <w:sz w:val="22"/>
        </w:rPr>
        <w:t>Deuxième partie : Approche méthodologique et étude de cas du Port autonome de Brazzaville</w:t>
      </w:r>
    </w:p>
    <w:p>
      <w:pPr>
        <w:pStyle w:val="ListBullet"/>
        <w:jc w:val="both"/>
      </w:pPr>
      <w:r>
        <w:t>Chapitre 3 — Démarche de recherche et spécificité du contexte portuaire étudié. Section 1 : cadre méthodologique — choix, outils et justifications ; Section 2 : présentation du Port autonome de Brazzaville — organisation, ressources et contraintes.</w:t>
      </w:r>
    </w:p>
    <w:p>
      <w:pPr>
        <w:pStyle w:val="ListBullet"/>
        <w:jc w:val="both"/>
      </w:pPr>
      <w:r>
        <w:t>Chapitre 4 — Analyse de l'interaction entre attractivité, positionnement stratégique et chaîne logistique. Section 1 : effets réciproques entre attractivité et positionnement dans la pratique portuaire ; Section 2 : le port comme maillon structurant d'une chaîne logistique régionale efficace.</w:t>
      </w:r>
    </w:p>
    <w:p>
      <w:pPr>
        <w:spacing w:after="120"/>
        <w:jc w:val="both"/>
      </w:pPr>
      <w:r>
        <w:rPr>
          <w:b/>
          <w:i w:val="0"/>
          <w:sz w:val="22"/>
        </w:rPr>
        <w:t>Conclusion générale</w:t>
      </w:r>
    </w:p>
    <w:p>
      <w:pPr>
        <w:pStyle w:val="ListBullet"/>
        <w:jc w:val="both"/>
      </w:pPr>
      <w:r>
        <w:t>Synthèse des résultats ; apports de la recherche ; limites et perspectives.</w:t>
      </w:r>
    </w:p>
    <w:p/>
    <w:p>
      <w:pPr>
        <w:pStyle w:val="Heading1"/>
      </w:pPr>
      <w:r>
        <w:rPr>
          <w:b/>
          <w:color w:val="1F3B73"/>
          <w:sz w:val="28"/>
        </w:rPr>
        <w:t>Annexe : tableau d'alignement de la recherche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B73"/>
          </w:tcPr>
          <w:p>
            <w:r/>
            <w:r>
              <w:rPr>
                <w:b/>
                <w:color w:val="FFFFFF"/>
                <w:sz w:val="19"/>
              </w:rPr>
              <w:t>Question</w:t>
            </w:r>
          </w:p>
        </w:tc>
        <w:tc>
          <w:tcPr>
            <w:tcW w:type="dxa" w:w="2160"/>
            <w:shd w:val="clear" w:color="auto" w:fill="1F3B73"/>
          </w:tcPr>
          <w:p>
            <w:r/>
            <w:r>
              <w:rPr>
                <w:b/>
                <w:color w:val="FFFFFF"/>
                <w:sz w:val="19"/>
              </w:rPr>
              <w:t>Objectif</w:t>
            </w:r>
          </w:p>
        </w:tc>
        <w:tc>
          <w:tcPr>
            <w:tcW w:type="dxa" w:w="2160"/>
            <w:shd w:val="clear" w:color="auto" w:fill="1F3B73"/>
          </w:tcPr>
          <w:p>
            <w:r/>
            <w:r>
              <w:rPr>
                <w:b/>
                <w:color w:val="FFFFFF"/>
                <w:sz w:val="19"/>
              </w:rPr>
              <w:t>Proposition</w:t>
            </w:r>
          </w:p>
        </w:tc>
        <w:tc>
          <w:tcPr>
            <w:tcW w:type="dxa" w:w="2160"/>
            <w:shd w:val="clear" w:color="auto" w:fill="1F3B73"/>
          </w:tcPr>
          <w:p>
            <w:r/>
            <w:r>
              <w:rPr>
                <w:b/>
                <w:color w:val="FFFFFF"/>
                <w:sz w:val="19"/>
              </w:rPr>
              <w:t>Matériaux mobilisés</w:t>
            </w:r>
          </w:p>
        </w:tc>
      </w:tr>
      <w:tr>
        <w:tc>
          <w:tcPr>
            <w:tcW w:type="dxa" w:w="2160"/>
          </w:tcPr>
          <w:p>
            <w:r/>
            <w:r>
              <w:rPr>
                <w:sz w:val="18"/>
              </w:rPr>
              <w:t>QS1 — déterminants de l'attractivité</w:t>
              <w:br/>
              <w:t>(manutention, TIC, coûts)</w:t>
            </w:r>
          </w:p>
        </w:tc>
        <w:tc>
          <w:tcPr>
            <w:tcW w:type="dxa" w:w="2160"/>
          </w:tcPr>
          <w:p>
            <w:r/>
            <w:r>
              <w:rPr>
                <w:b/>
                <w:color w:val="1F3B73"/>
                <w:sz w:val="18"/>
              </w:rPr>
              <w:t>OS1</w:t>
            </w:r>
          </w:p>
        </w:tc>
        <w:tc>
          <w:tcPr>
            <w:tcW w:type="dxa" w:w="2160"/>
          </w:tcPr>
          <w:p>
            <w:r/>
            <w:r>
              <w:rPr>
                <w:b/>
                <w:color w:val="1F3B73"/>
                <w:sz w:val="18"/>
              </w:rPr>
              <w:t>P1</w:t>
            </w:r>
          </w:p>
        </w:tc>
        <w:tc>
          <w:tcPr>
            <w:tcW w:type="dxa" w:w="2160"/>
          </w:tcPr>
          <w:p>
            <w:r/>
            <w:r>
              <w:rPr>
                <w:sz w:val="18"/>
              </w:rPr>
              <w:t>Entretiens (opérateurs, chargeurs, manutention) ; données d'exploitation ; analyse thématique</w:t>
            </w:r>
          </w:p>
        </w:tc>
      </w:tr>
      <w:tr>
        <w:tc>
          <w:tcPr>
            <w:tcW w:type="dxa" w:w="2160"/>
          </w:tcPr>
          <w:p>
            <w:r/>
            <w:r>
              <w:rPr>
                <w:sz w:val="18"/>
              </w:rPr>
              <w:t>QS2 — conversion en positionnement</w:t>
              <w:br/>
              <w:t>(intégration intermodale, gouvernance)</w:t>
            </w:r>
          </w:p>
        </w:tc>
        <w:tc>
          <w:tcPr>
            <w:tcW w:type="dxa" w:w="2160"/>
          </w:tcPr>
          <w:p>
            <w:r/>
            <w:r>
              <w:rPr>
                <w:b/>
                <w:color w:val="1F3B73"/>
                <w:sz w:val="18"/>
              </w:rPr>
              <w:t>OS2</w:t>
            </w:r>
          </w:p>
        </w:tc>
        <w:tc>
          <w:tcPr>
            <w:tcW w:type="dxa" w:w="2160"/>
          </w:tcPr>
          <w:p>
            <w:r/>
            <w:r>
              <w:rPr>
                <w:b/>
                <w:color w:val="1F3B73"/>
                <w:sz w:val="18"/>
              </w:rPr>
              <w:t>P2 + explication concurrente</w:t>
            </w:r>
          </w:p>
        </w:tc>
        <w:tc>
          <w:tcPr>
            <w:tcW w:type="dxa" w:w="2160"/>
          </w:tcPr>
          <w:p>
            <w:r/>
            <w:r>
              <w:rPr>
                <w:sz w:val="18"/>
              </w:rPr>
              <w:t>Entretiens (autorité portuaire, douanes, transporteurs, administrations) ; documents de gouvernance et plans de corridors ; observation ; triangulation</w:t>
            </w:r>
          </w:p>
        </w:tc>
      </w:tr>
    </w:tbl>
    <w:p/>
    <w:p>
      <w:pPr>
        <w:pBdr>
          <w:bottom w:val="single" w:sz="6" w:space="1" w:color="1F3B73"/>
        </w:pBdr>
      </w:pPr>
    </w:p>
    <w:p>
      <w:pPr>
        <w:spacing w:after="120"/>
        <w:jc w:val="both"/>
      </w:pPr>
      <w:r>
        <w:rPr>
          <w:b w:val="0"/>
          <w:i/>
          <w:color w:val="555555"/>
          <w:sz w:val="18"/>
        </w:rPr>
        <w:t>Document de travail consolidé : restructuration experte de l'introduction générale — deux questions subsidiaires distinctes, fusion de l'objet de l'étude dans la revue critique, alignement question–objectif–proposition, posture qualitative compréhensive respectée.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