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55555"/>
          <w:sz w:val="26"/>
        </w:rPr>
        <w:t>ANNEXE MÉTHODOLOGIQUE</w:t>
      </w:r>
    </w:p>
    <w:p>
      <w:pPr>
        <w:spacing w:after="120"/>
        <w:jc w:val="center"/>
      </w:pPr>
      <w:r>
        <w:rPr>
          <w:b/>
          <w:color w:val="1F3B73"/>
          <w:sz w:val="34"/>
        </w:rPr>
        <w:t>GUIDES D'ENTRETIEN ET PLAN D'ÉCHANTILLONNAGE</w:t>
      </w:r>
    </w:p>
    <w:p>
      <w:pPr>
        <w:spacing w:after="120"/>
        <w:jc w:val="center"/>
      </w:pPr>
      <w:r>
        <w:rPr>
          <w:b w:val="0"/>
          <w:color w:val="555555"/>
          <w:sz w:val="21"/>
        </w:rPr>
        <w:t>Thèse : Attractivité et positionnement stratégique des activités portuaires dans une chaîne logistique — cas du Port autonome de Brazzaville</w:t>
      </w:r>
    </w:p>
    <w:p>
      <w:pPr>
        <w:pBdr>
          <w:bottom w:val="single" w:sz="6" w:space="1" w:color="1F3B73"/>
        </w:pBdr>
      </w:pPr>
    </w:p>
    <w:p>
      <w:pPr>
        <w:pStyle w:val="Heading1"/>
      </w:pPr>
      <w:r>
        <w:rPr>
          <w:b/>
          <w:color w:val="1F3B73"/>
          <w:sz w:val="28"/>
        </w:rPr>
        <w:t>I. Nombre d'entretiens : justification scientifique</w:t>
      </w:r>
    </w:p>
    <w:p>
      <w:pPr>
        <w:pStyle w:val="Heading2"/>
      </w:pPr>
      <w:r>
        <w:rPr>
          <w:b/>
          <w:color w:val="1F3B73"/>
          <w:sz w:val="24"/>
        </w:rPr>
        <w:t>1. Ce que dit la littérature méthodologique</w:t>
      </w:r>
    </w:p>
    <w:p>
      <w:pPr>
        <w:spacing w:after="120"/>
        <w:jc w:val="both"/>
      </w:pPr>
      <w:r>
        <w:rPr>
          <w:b w:val="0"/>
          <w:i w:val="0"/>
          <w:sz w:val="22"/>
        </w:rPr>
        <w:t>En recherche qualitative compréhensive, la taille de l'échantillon n'est pas fixée a priori par une règle statistique : elle est gouvernée par le principe de saturation — le point où les entretiens supplémentaires n'apportent plus de thème ou de nuance nouvelle (Glaser et Strauss, 1967). La littérature fournit néanmoins des repères convergents :</w:t>
      </w:r>
    </w:p>
    <w:p>
      <w:pPr>
        <w:pStyle w:val="ListBullet"/>
        <w:jc w:val="both"/>
      </w:pPr>
      <w:r>
        <w:t>Guest, Bunce et Johnson (2006) montrent empiriquement que la saturation thématique est largement atteinte autour de 12 entretiens au sein d'un groupe homogène, les méta-thèmes émergeant dès les 6 premiers.</w:t>
      </w:r>
    </w:p>
    <w:p>
      <w:pPr>
        <w:pStyle w:val="ListBullet"/>
        <w:jc w:val="both"/>
      </w:pPr>
      <w:r>
        <w:t>Saunders et Townsend (2016), après recension des pratiques publiées en sciences de gestion, situent la norme acceptée entre 15 et 60 participants, avec un point médian de 25 à 30 pour une thèse.</w:t>
      </w:r>
    </w:p>
    <w:p>
      <w:pPr>
        <w:pStyle w:val="ListBullet"/>
        <w:jc w:val="both"/>
      </w:pPr>
      <w:r>
        <w:t>Creswell (2013) recommande 20 à 30 entretiens pour une étude s'appuyant sur une théorisation ancrée, et 5 à 25 pour une démarche phénoménologique.</w:t>
      </w:r>
    </w:p>
    <w:p>
      <w:pPr>
        <w:pStyle w:val="ListBullet"/>
        <w:jc w:val="both"/>
      </w:pPr>
      <w:r>
        <w:t>Yin (2018), pour l'étude de cas enchâssée, insiste moins sur le nombre que sur la couverture de toutes les unités d'analyse et la triangulation des points de vue au sein de chacune.</w:t>
      </w:r>
    </w:p>
    <w:p>
      <w:pPr>
        <w:pStyle w:val="ListBullet"/>
        <w:jc w:val="both"/>
      </w:pPr>
      <w:r>
        <w:t>Romelaer (2005) — référence francophone en méthodes de recherche en management — indique qu'une thèse mobilisant l'entretien semi-directif se situe usuellement entre 20 et 40 entretiens.</w:t>
      </w:r>
    </w:p>
    <w:p>
      <w:pPr>
        <w:pStyle w:val="Heading2"/>
      </w:pPr>
      <w:r>
        <w:rPr>
          <w:b/>
          <w:color w:val="1F3B73"/>
          <w:sz w:val="24"/>
        </w:rPr>
        <w:t>2. Norme retenue pour cette thèse</w:t>
      </w:r>
    </w:p>
    <w:p>
      <w:pPr>
        <w:spacing w:after="120"/>
        <w:jc w:val="both"/>
      </w:pPr>
      <w:r>
        <w:rPr>
          <w:b/>
          <w:i w:val="0"/>
          <w:sz w:val="22"/>
        </w:rPr>
        <w:t>Compte tenu de la stratégie d'étude de cas unique enchâssée à cinq catégories d'acteurs, la règle applicable est une double saturation : saturation intra-catégorie (plus rien de nouveau au sein d'une catégorie d'acteurs) et saturation inter-catégories (les recoupements entre catégories sont stabilisés).</w:t>
      </w:r>
    </w:p>
    <w:p>
      <w:pPr>
        <w:spacing w:after="120"/>
        <w:jc w:val="both"/>
      </w:pPr>
      <w:r>
        <w:rPr>
          <w:b w:val="0"/>
          <w:i w:val="0"/>
          <w:sz w:val="22"/>
        </w:rPr>
        <w:t>La fourchette scientifiquement défendable devant un jury est donc :</w:t>
      </w:r>
    </w:p>
    <w:p>
      <w:pPr>
        <w:spacing w:after="160"/>
        <w:jc w:val="both"/>
      </w:pPr>
      <w:r>
        <w:rPr>
          <w:b/>
          <w:color w:val="B01C1C"/>
        </w:rPr>
        <w:t xml:space="preserve">Minimum acceptable : 20 entretiens </w:t>
      </w:r>
      <w:r>
        <w:t>— en dessous, la couverture de cinq catégories d'acteurs ne permet pas d'atteindre la saturation intra-catégorie (moins de 4 entretiens par catégorie).</w:t>
      </w:r>
    </w:p>
    <w:p>
      <w:pPr>
        <w:spacing w:after="160"/>
        <w:jc w:val="both"/>
      </w:pPr>
      <w:r>
        <w:rPr>
          <w:b/>
          <w:color w:val="1B6B3A"/>
        </w:rPr>
        <w:t xml:space="preserve">Cible recommandée : 25 à 30 entretiens </w:t>
      </w:r>
      <w:r>
        <w:t>— configuration robuste, conforme au point médian de Saunders et Townsend (2016) et aux préconisations de Creswell (2013).</w:t>
      </w:r>
    </w:p>
    <w:p>
      <w:pPr>
        <w:spacing w:after="160"/>
        <w:jc w:val="both"/>
      </w:pPr>
      <w:r>
        <w:rPr>
          <w:b/>
          <w:color w:val="1F3B73"/>
        </w:rPr>
        <w:t xml:space="preserve">Plafond utile : 35 entretiens </w:t>
      </w:r>
      <w:r>
        <w:t>— au-delà, le rendement marginal décroît fortement (Guest et al., 2006) et le volume de verbatims devient difficile à traiter avec la profondeur requise par l'analyse thématique.</w:t>
      </w:r>
    </w:p>
    <w:p>
      <w:pPr>
        <w:pStyle w:val="Heading2"/>
      </w:pPr>
      <w:r>
        <w:rPr>
          <w:b/>
          <w:color w:val="1F3B73"/>
          <w:sz w:val="24"/>
        </w:rPr>
        <w:t>3. Répartition par catégorie d'acteurs (échantillonnage raisonné)</w:t>
      </w:r>
    </w:p>
    <w:p>
      <w:pPr>
        <w:spacing w:after="120"/>
        <w:jc w:val="both"/>
      </w:pPr>
      <w:r>
        <w:rPr>
          <w:b w:val="0"/>
          <w:i w:val="0"/>
          <w:sz w:val="22"/>
        </w:rPr>
        <w:t>La répartition suivante assure la couverture des deux questions subsidiaires : les catégories A, B et C éclairent principalement QS1 (déterminants opérationnels de l'attractivité), les catégories D et E principalement QS2 (conversion en positionnement : intégration intermodale et gouvernance). Chaque catégorie est interrogée sur les deux volets afin de permettre la triangulation.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B73"/>
          </w:tcPr>
          <w:p>
            <w:r/>
            <w:r>
              <w:rPr>
                <w:b/>
                <w:color w:val="FFFFFF"/>
                <w:sz w:val="19"/>
              </w:rPr>
              <w:t>Catégorie</w:t>
            </w:r>
          </w:p>
        </w:tc>
        <w:tc>
          <w:tcPr>
            <w:tcW w:type="dxa" w:w="1728"/>
            <w:shd w:val="clear" w:color="auto" w:fill="1F3B73"/>
          </w:tcPr>
          <w:p>
            <w:r/>
            <w:r>
              <w:rPr>
                <w:b/>
                <w:color w:val="FFFFFF"/>
                <w:sz w:val="19"/>
              </w:rPr>
              <w:t>Profils visés</w:t>
            </w:r>
          </w:p>
        </w:tc>
        <w:tc>
          <w:tcPr>
            <w:tcW w:type="dxa" w:w="1728"/>
            <w:shd w:val="clear" w:color="auto" w:fill="1F3B73"/>
          </w:tcPr>
          <w:p>
            <w:r/>
            <w:r>
              <w:rPr>
                <w:b/>
                <w:color w:val="FFFFFF"/>
                <w:sz w:val="19"/>
              </w:rPr>
              <w:t>Cible</w:t>
            </w:r>
          </w:p>
        </w:tc>
        <w:tc>
          <w:tcPr>
            <w:tcW w:type="dxa" w:w="1728"/>
            <w:shd w:val="clear" w:color="auto" w:fill="1F3B73"/>
          </w:tcPr>
          <w:p>
            <w:r/>
            <w:r>
              <w:rPr>
                <w:b/>
                <w:color w:val="FFFFFF"/>
                <w:sz w:val="19"/>
              </w:rPr>
              <w:t>Min.</w:t>
            </w:r>
          </w:p>
        </w:tc>
        <w:tc>
          <w:tcPr>
            <w:tcW w:type="dxa" w:w="1728"/>
            <w:shd w:val="clear" w:color="auto" w:fill="1F3B73"/>
          </w:tcPr>
          <w:p>
            <w:r/>
            <w:r>
              <w:rPr>
                <w:b/>
                <w:color w:val="FFFFFF"/>
                <w:sz w:val="19"/>
              </w:rPr>
              <w:t>Éclaire surtout</w:t>
            </w:r>
          </w:p>
        </w:tc>
      </w:tr>
      <w:tr>
        <w:tc>
          <w:tcPr>
            <w:tcW w:type="dxa" w:w="1728"/>
          </w:tcPr>
          <w:p>
            <w:r/>
            <w:r>
              <w:rPr>
                <w:b/>
                <w:color w:val="1F3B73"/>
                <w:sz w:val="18"/>
              </w:rPr>
              <w:t>A. Autorité portuaire</w:t>
            </w:r>
          </w:p>
        </w:tc>
        <w:tc>
          <w:tcPr>
            <w:tcW w:type="dxa" w:w="1728"/>
          </w:tcPr>
          <w:p>
            <w:r/>
            <w:r>
              <w:rPr>
                <w:sz w:val="18"/>
              </w:rPr>
              <w:t>Direction générale, direction de l'exploitation, direction commerciale, direction technique du Port autonome de Brazzaville</w:t>
            </w:r>
          </w:p>
        </w:tc>
        <w:tc>
          <w:tcPr>
            <w:tcW w:type="dxa" w:w="1728"/>
          </w:tcPr>
          <w:p>
            <w:r/>
            <w:r>
              <w:rPr>
                <w:sz w:val="18"/>
              </w:rPr>
              <w:t>5–6</w:t>
            </w:r>
          </w:p>
        </w:tc>
        <w:tc>
          <w:tcPr>
            <w:tcW w:type="dxa" w:w="1728"/>
          </w:tcPr>
          <w:p>
            <w:r/>
            <w:r>
              <w:rPr>
                <w:sz w:val="18"/>
              </w:rPr>
              <w:t>4</w:t>
            </w:r>
          </w:p>
        </w:tc>
        <w:tc>
          <w:tcPr>
            <w:tcW w:type="dxa" w:w="1728"/>
          </w:tcPr>
          <w:p>
            <w:r/>
            <w:r>
              <w:rPr>
                <w:sz w:val="18"/>
              </w:rPr>
              <w:t>QS1 + QS2 (gouvernance)</w:t>
            </w:r>
          </w:p>
        </w:tc>
      </w:tr>
      <w:tr>
        <w:tc>
          <w:tcPr>
            <w:tcW w:type="dxa" w:w="1728"/>
          </w:tcPr>
          <w:p>
            <w:r/>
            <w:r>
              <w:rPr>
                <w:b/>
                <w:color w:val="1F3B73"/>
                <w:sz w:val="18"/>
              </w:rPr>
              <w:t>B. Opérateurs de manutention et acconiers</w:t>
            </w:r>
          </w:p>
        </w:tc>
        <w:tc>
          <w:tcPr>
            <w:tcW w:type="dxa" w:w="1728"/>
          </w:tcPr>
          <w:p>
            <w:r/>
            <w:r>
              <w:rPr>
                <w:sz w:val="18"/>
              </w:rPr>
              <w:t>Chefs d'exploitation terminaux, responsables de quai, sociétés de manutention</w:t>
            </w:r>
          </w:p>
        </w:tc>
        <w:tc>
          <w:tcPr>
            <w:tcW w:type="dxa" w:w="1728"/>
          </w:tcPr>
          <w:p>
            <w:r/>
            <w:r>
              <w:rPr>
                <w:sz w:val="18"/>
              </w:rPr>
              <w:t>4–5</w:t>
            </w:r>
          </w:p>
        </w:tc>
        <w:tc>
          <w:tcPr>
            <w:tcW w:type="dxa" w:w="1728"/>
          </w:tcPr>
          <w:p>
            <w:r/>
            <w:r>
              <w:rPr>
                <w:sz w:val="18"/>
              </w:rPr>
              <w:t>3</w:t>
            </w:r>
          </w:p>
        </w:tc>
        <w:tc>
          <w:tcPr>
            <w:tcW w:type="dxa" w:w="1728"/>
          </w:tcPr>
          <w:p>
            <w:r/>
            <w:r>
              <w:rPr>
                <w:sz w:val="18"/>
              </w:rPr>
              <w:t>QS1 (manutention, coûts)</w:t>
            </w:r>
          </w:p>
        </w:tc>
      </w:tr>
      <w:tr>
        <w:tc>
          <w:tcPr>
            <w:tcW w:type="dxa" w:w="1728"/>
          </w:tcPr>
          <w:p>
            <w:r/>
            <w:r>
              <w:rPr>
                <w:b/>
                <w:color w:val="1F3B73"/>
                <w:sz w:val="18"/>
              </w:rPr>
              <w:t>C. Usagers : chargeurs, transitaires, commissionnaires</w:t>
            </w:r>
          </w:p>
        </w:tc>
        <w:tc>
          <w:tcPr>
            <w:tcW w:type="dxa" w:w="1728"/>
          </w:tcPr>
          <w:p>
            <w:r/>
            <w:r>
              <w:rPr>
                <w:sz w:val="18"/>
              </w:rPr>
              <w:t>Importateurs/exportateurs réguliers, transitaires agréés, commissionnaires en douane</w:t>
            </w:r>
          </w:p>
        </w:tc>
        <w:tc>
          <w:tcPr>
            <w:tcW w:type="dxa" w:w="1728"/>
          </w:tcPr>
          <w:p>
            <w:r/>
            <w:r>
              <w:rPr>
                <w:sz w:val="18"/>
              </w:rPr>
              <w:t>6–8</w:t>
            </w:r>
          </w:p>
        </w:tc>
        <w:tc>
          <w:tcPr>
            <w:tcW w:type="dxa" w:w="1728"/>
          </w:tcPr>
          <w:p>
            <w:r/>
            <w:r>
              <w:rPr>
                <w:sz w:val="18"/>
              </w:rPr>
              <w:t>5</w:t>
            </w:r>
          </w:p>
        </w:tc>
        <w:tc>
          <w:tcPr>
            <w:tcW w:type="dxa" w:w="1728"/>
          </w:tcPr>
          <w:p>
            <w:r/>
            <w:r>
              <w:rPr>
                <w:sz w:val="18"/>
              </w:rPr>
              <w:t>QS1 (perception de l'attractivité, coûts, TIC)</w:t>
            </w:r>
          </w:p>
        </w:tc>
      </w:tr>
      <w:tr>
        <w:tc>
          <w:tcPr>
            <w:tcW w:type="dxa" w:w="1728"/>
          </w:tcPr>
          <w:p>
            <w:r/>
            <w:r>
              <w:rPr>
                <w:b/>
                <w:color w:val="1F3B73"/>
                <w:sz w:val="18"/>
              </w:rPr>
              <w:t>D. Transporteurs et armateurs fluviaux</w:t>
            </w:r>
          </w:p>
        </w:tc>
        <w:tc>
          <w:tcPr>
            <w:tcW w:type="dxa" w:w="1728"/>
          </w:tcPr>
          <w:p>
            <w:r/>
            <w:r>
              <w:rPr>
                <w:sz w:val="18"/>
              </w:rPr>
              <w:t>Compagnies de transport fluvial (axe Brazzaville–Kinshasa, Brazzaville–Bangui), transporteurs routiers de pré/post-acheminement, CFCO</w:t>
            </w:r>
          </w:p>
        </w:tc>
        <w:tc>
          <w:tcPr>
            <w:tcW w:type="dxa" w:w="1728"/>
          </w:tcPr>
          <w:p>
            <w:r/>
            <w:r>
              <w:rPr>
                <w:sz w:val="18"/>
              </w:rPr>
              <w:t>4–5</w:t>
            </w:r>
          </w:p>
        </w:tc>
        <w:tc>
          <w:tcPr>
            <w:tcW w:type="dxa" w:w="1728"/>
          </w:tcPr>
          <w:p>
            <w:r/>
            <w:r>
              <w:rPr>
                <w:sz w:val="18"/>
              </w:rPr>
              <w:t>3</w:t>
            </w:r>
          </w:p>
        </w:tc>
        <w:tc>
          <w:tcPr>
            <w:tcW w:type="dxa" w:w="1728"/>
          </w:tcPr>
          <w:p>
            <w:r/>
            <w:r>
              <w:rPr>
                <w:sz w:val="18"/>
              </w:rPr>
              <w:t>QS2 (intégration intermodale, corridors)</w:t>
            </w:r>
          </w:p>
        </w:tc>
      </w:tr>
      <w:tr>
        <w:tc>
          <w:tcPr>
            <w:tcW w:type="dxa" w:w="1728"/>
          </w:tcPr>
          <w:p>
            <w:r/>
            <w:r>
              <w:rPr>
                <w:b/>
                <w:color w:val="1F3B73"/>
                <w:sz w:val="18"/>
              </w:rPr>
              <w:t>E. Institutions et régulation</w:t>
            </w:r>
          </w:p>
        </w:tc>
        <w:tc>
          <w:tcPr>
            <w:tcW w:type="dxa" w:w="1728"/>
          </w:tcPr>
          <w:p>
            <w:r/>
            <w:r>
              <w:rPr>
                <w:sz w:val="18"/>
              </w:rPr>
              <w:t>Douanes, ministère des transports, guichet unique (GUOT), Commission internationale du bassin Congo-Oubangui-Sangha (CICOS), collectivités</w:t>
            </w:r>
          </w:p>
        </w:tc>
        <w:tc>
          <w:tcPr>
            <w:tcW w:type="dxa" w:w="1728"/>
          </w:tcPr>
          <w:p>
            <w:r/>
            <w:r>
              <w:rPr>
                <w:sz w:val="18"/>
              </w:rPr>
              <w:t>5–6</w:t>
            </w:r>
          </w:p>
        </w:tc>
        <w:tc>
          <w:tcPr>
            <w:tcW w:type="dxa" w:w="1728"/>
          </w:tcPr>
          <w:p>
            <w:r/>
            <w:r>
              <w:rPr>
                <w:sz w:val="18"/>
              </w:rPr>
              <w:t>4</w:t>
            </w:r>
          </w:p>
        </w:tc>
        <w:tc>
          <w:tcPr>
            <w:tcW w:type="dxa" w:w="1728"/>
          </w:tcPr>
          <w:p>
            <w:r/>
            <w:r>
              <w:rPr>
                <w:sz w:val="18"/>
              </w:rPr>
              <w:t>QS2 (gouvernance, politiques publiques) + explication concurrente</w:t>
            </w:r>
          </w:p>
        </w:tc>
      </w:tr>
      <w:tr>
        <w:tc>
          <w:tcPr>
            <w:tcW w:type="dxa" w:w="1728"/>
            <w:shd w:val="clear" w:color="auto" w:fill="E8EDF7"/>
          </w:tcPr>
          <w:p>
            <w:r/>
            <w:r>
              <w:rPr>
                <w:b/>
                <w:color w:val="1F3B73"/>
                <w:sz w:val="19"/>
              </w:rPr>
              <w:t>TOTAL</w:t>
            </w:r>
          </w:p>
        </w:tc>
        <w:tc>
          <w:tcPr>
            <w:tcW w:type="dxa" w:w="1728"/>
            <w:shd w:val="clear" w:color="auto" w:fill="E8EDF7"/>
          </w:tcPr>
          <w:p>
            <w:r/>
            <w:r>
              <w:rPr>
                <w:b/>
                <w:color w:val="1F3B73"/>
                <w:sz w:val="19"/>
              </w:rPr>
            </w:r>
          </w:p>
        </w:tc>
        <w:tc>
          <w:tcPr>
            <w:tcW w:type="dxa" w:w="1728"/>
            <w:shd w:val="clear" w:color="auto" w:fill="E8EDF7"/>
          </w:tcPr>
          <w:p>
            <w:r/>
            <w:r>
              <w:rPr>
                <w:b/>
                <w:color w:val="1F3B73"/>
                <w:sz w:val="19"/>
              </w:rPr>
              <w:t>24–30</w:t>
            </w:r>
          </w:p>
        </w:tc>
        <w:tc>
          <w:tcPr>
            <w:tcW w:type="dxa" w:w="1728"/>
            <w:shd w:val="clear" w:color="auto" w:fill="E8EDF7"/>
          </w:tcPr>
          <w:p>
            <w:r/>
            <w:r>
              <w:rPr>
                <w:b/>
                <w:color w:val="1F3B73"/>
                <w:sz w:val="19"/>
              </w:rPr>
              <w:t>19</w:t>
            </w:r>
          </w:p>
        </w:tc>
        <w:tc>
          <w:tcPr>
            <w:tcW w:type="dxa" w:w="1728"/>
            <w:shd w:val="clear" w:color="auto" w:fill="E8EDF7"/>
          </w:tcPr>
          <w:p>
            <w:r/>
            <w:r>
              <w:rPr>
                <w:b/>
                <w:color w:val="1F3B73"/>
                <w:sz w:val="19"/>
              </w:rPr>
            </w:r>
          </w:p>
        </w:tc>
      </w:tr>
    </w:tbl>
    <w:p/>
    <w:p>
      <w:pPr>
        <w:pStyle w:val="Heading2"/>
      </w:pPr>
      <w:r>
        <w:rPr>
          <w:b/>
          <w:color w:val="1F3B73"/>
          <w:sz w:val="24"/>
        </w:rPr>
        <w:t>4. Modalités pratiques et critères d'arrêt</w:t>
      </w:r>
    </w:p>
    <w:p>
      <w:pPr>
        <w:pStyle w:val="ListBullet"/>
        <w:jc w:val="both"/>
      </w:pPr>
      <w:r>
        <w:rPr>
          <w:b/>
        </w:rPr>
        <w:t xml:space="preserve">Durée et enregistrement : </w:t>
      </w:r>
      <w:r>
        <w:t>45 à 90 minutes par entretien ; enregistrement audio avec consentement éclairé écrit ; anonymisation des verbatims (codes : A1, A2… E5).</w:t>
      </w:r>
    </w:p>
    <w:p>
      <w:pPr>
        <w:pStyle w:val="ListBullet"/>
        <w:jc w:val="both"/>
      </w:pPr>
      <w:r>
        <w:rPr>
          <w:b/>
        </w:rPr>
        <w:t xml:space="preserve">Pilotage de la saturation : </w:t>
      </w:r>
      <w:r>
        <w:t>après chaque vague de 5 entretiens, tenir un journal de saturation consignant les thèmes nouveaux apparus ; l'arrêt est décidé lorsque deux vagues successives n'apportent plus de thème nouveau dans la catégorie concernée.</w:t>
      </w:r>
    </w:p>
    <w:p>
      <w:pPr>
        <w:pStyle w:val="ListBullet"/>
        <w:jc w:val="both"/>
      </w:pPr>
      <w:r>
        <w:rPr>
          <w:b/>
        </w:rPr>
        <w:t xml:space="preserve">Entretiens pilotes : </w:t>
      </w:r>
      <w:r>
        <w:t>les 2 ou 3 premiers entretiens (catégorie C de préférence) servent de pré-test du guide ; le guide est ajusté ensuite — pratique standard recommandée par Romelaer (2005).</w:t>
      </w:r>
    </w:p>
    <w:p>
      <w:pPr>
        <w:pStyle w:val="ListBullet"/>
        <w:jc w:val="both"/>
      </w:pPr>
      <w:r>
        <w:rPr>
          <w:b/>
        </w:rPr>
        <w:t xml:space="preserve">Plan de repli : </w:t>
      </w:r>
      <w:r>
        <w:t>si une catégorie est difficile d'accès (armateurs par exemple), compenser par l'analyse documentaire et l'observation, et le documenter dans la section limites de la thèse.</w:t>
      </w:r>
    </w:p>
    <w:p/>
    <w:p>
      <w:pPr>
        <w:pStyle w:val="Heading1"/>
      </w:pPr>
      <w:r>
        <w:rPr>
          <w:b/>
          <w:color w:val="1F3B73"/>
          <w:sz w:val="28"/>
        </w:rPr>
        <w:t>II. Architecture commune des guides d'entretien</w:t>
      </w:r>
    </w:p>
    <w:p>
      <w:pPr>
        <w:spacing w:after="120"/>
        <w:jc w:val="both"/>
      </w:pPr>
      <w:r>
        <w:rPr>
          <w:b w:val="0"/>
          <w:i w:val="0"/>
          <w:sz w:val="22"/>
        </w:rPr>
        <w:t>Chaque guide suit la même structure en cinq blocs, garantissant la comparabilité inter-catégories lors du codage thématique. Chaque question est tracée vers la question de recherche (QS1/QS2) et la proposition (P1/P2/explication concurrente — notée EC) qu'elle instruit.</w:t>
      </w:r>
    </w:p>
    <w:p>
      <w:pPr>
        <w:pStyle w:val="ListBullet"/>
        <w:jc w:val="both"/>
      </w:pPr>
      <w:r>
        <w:rPr>
          <w:b/>
        </w:rPr>
        <w:t xml:space="preserve">Bloc 0 — Ouverture : </w:t>
      </w:r>
      <w:r>
        <w:t>mise en confiance, présentation du répondant, de sa fonction et de son ancienneté (5 min).</w:t>
      </w:r>
    </w:p>
    <w:p>
      <w:pPr>
        <w:pStyle w:val="ListBullet"/>
        <w:jc w:val="both"/>
      </w:pPr>
      <w:r>
        <w:rPr>
          <w:b/>
        </w:rPr>
        <w:t xml:space="preserve">Bloc 1 — Attractivité : </w:t>
      </w:r>
      <w:r>
        <w:t>perception et déterminants de l'attractivité du port (manutention, TIC, coûts) — instruit QS1/P1 (15-20 min).</w:t>
      </w:r>
    </w:p>
    <w:p>
      <w:pPr>
        <w:pStyle w:val="ListBullet"/>
        <w:jc w:val="both"/>
      </w:pPr>
      <w:r>
        <w:rPr>
          <w:b/>
        </w:rPr>
        <w:t xml:space="preserve">Bloc 2 — Intégration logistique : </w:t>
      </w:r>
      <w:r>
        <w:t>intégration intermodale, corridors, interfaces — instruit QS2/P2 (10-15 min).</w:t>
      </w:r>
    </w:p>
    <w:p>
      <w:pPr>
        <w:pStyle w:val="ListBullet"/>
        <w:jc w:val="both"/>
      </w:pPr>
      <w:r>
        <w:rPr>
          <w:b/>
        </w:rPr>
        <w:t xml:space="preserve">Bloc 3 — Gouvernance : </w:t>
      </w:r>
      <w:r>
        <w:t>gouvernance, politiques publiques, résilience — instruit QS2/P2 et l'explication concurrente (10-15 min).</w:t>
      </w:r>
    </w:p>
    <w:p>
      <w:pPr>
        <w:pStyle w:val="ListBullet"/>
        <w:jc w:val="both"/>
      </w:pPr>
      <w:r>
        <w:rPr>
          <w:b/>
        </w:rPr>
        <w:t xml:space="preserve">Bloc 4 — Positionnement comparé et clôture : </w:t>
      </w:r>
      <w:r>
        <w:t>comparaison avec les ports concurrents, vision d'avenir, question ouverte finale (5-10 min).</w:t>
      </w:r>
    </w:p>
    <w:p>
      <w:pPr>
        <w:spacing w:after="120"/>
        <w:jc w:val="both"/>
      </w:pPr>
      <w:r>
        <w:rPr>
          <w:b w:val="0"/>
          <w:i/>
          <w:color w:val="555555"/>
          <w:sz w:val="20"/>
        </w:rPr>
        <w:t>Consigne d'introduction type (à lire au répondant) : « Cet entretien s'inscrit dans une recherche doctorale sur l'attractivité et le positionnement du Port autonome de Brazzaville dans les chaînes logistiques régionales. Il n'y a pas de bonne ou de mauvaise réponse : c'est votre expérience et votre point de vue qui nous intéressent. L'entretien est confidentiel et anonymisé ; avec votre accord, il sera enregistré pour faciliter la retranscription. »</w:t>
      </w:r>
    </w:p>
    <w:p/>
    <w:p>
      <w:pPr>
        <w:pStyle w:val="Heading1"/>
      </w:pPr>
      <w:r>
        <w:rPr>
          <w:b/>
          <w:color w:val="1F3B73"/>
          <w:sz w:val="28"/>
        </w:rPr>
        <w:t>III. Guides d'entretien par catégorie d'acteurs</w:t>
      </w:r>
    </w:p>
    <w:p>
      <w:pPr>
        <w:pStyle w:val="Heading2"/>
      </w:pPr>
      <w:r>
        <w:rPr>
          <w:b/>
          <w:color w:val="1F3B73"/>
          <w:sz w:val="24"/>
        </w:rPr>
        <w:t>Guide A — Autorité portuaire (direction et cadres du PAB)</w:t>
      </w:r>
    </w:p>
    <w:p>
      <w:pPr>
        <w:pStyle w:val="Heading3"/>
      </w:pPr>
      <w:r>
        <w:rPr>
          <w:b/>
          <w:color w:val="1F3B73"/>
          <w:sz w:val="22"/>
        </w:rPr>
        <w:t>Bloc 0 — Ouverture</w:t>
      </w:r>
    </w:p>
    <w:p>
      <w:pPr>
        <w:spacing w:after="100"/>
        <w:ind w:left="200"/>
        <w:jc w:val="both"/>
      </w:pPr>
      <w:r>
        <w:rPr>
          <w:b/>
          <w:color w:val="1F3B73"/>
        </w:rPr>
        <w:t xml:space="preserve">Q1. </w:t>
      </w:r>
      <w:r>
        <w:t>Pouvez-vous me décrire votre fonction, votre parcours et vos responsabilités actuelles au sein du port ?</w:t>
      </w:r>
    </w:p>
    <w:p>
      <w:pPr>
        <w:pStyle w:val="Heading3"/>
      </w:pPr>
      <w:r>
        <w:rPr>
          <w:b/>
          <w:color w:val="1F3B73"/>
          <w:sz w:val="22"/>
        </w:rPr>
        <w:t>Bloc 1 — Attractivité (QS1 / P1)</w:t>
      </w:r>
    </w:p>
    <w:p>
      <w:pPr>
        <w:spacing w:after="100"/>
        <w:ind w:left="200"/>
        <w:jc w:val="both"/>
      </w:pPr>
      <w:r>
        <w:rPr>
          <w:b/>
          <w:color w:val="1F3B73"/>
        </w:rPr>
        <w:t xml:space="preserve">Q2. </w:t>
      </w:r>
      <w:r>
        <w:t>Comment décririez-vous, aujourd'hui, l'attractivité du Port autonome de Brazzaville pour un chargeur ou un armateur ?</w:t>
      </w:r>
      <w:r>
        <w:rPr>
          <w:i/>
          <w:color w:val="555555"/>
          <w:sz w:val="18"/>
        </w:rPr>
        <w:t xml:space="preserve">  [QS1/P1]</w:t>
      </w:r>
    </w:p>
    <w:p>
      <w:pPr>
        <w:spacing w:after="140"/>
        <w:ind w:left="520"/>
        <w:jc w:val="both"/>
      </w:pPr>
      <w:r>
        <w:rPr>
          <w:b/>
          <w:i/>
          <w:color w:val="1B6B3A"/>
          <w:sz w:val="19"/>
        </w:rPr>
        <w:t xml:space="preserve">↪ Relances : </w:t>
      </w:r>
      <w:r>
        <w:rPr>
          <w:i/>
          <w:color w:val="555555"/>
          <w:sz w:val="19"/>
        </w:rPr>
        <w:t>Qu'est-ce qui attire ? Qu'est-ce qui fait fuir ? Sur quels éléments concrets fondez-vous ce jugement ?</w:t>
      </w:r>
    </w:p>
    <w:p>
      <w:pPr>
        <w:spacing w:after="100"/>
        <w:ind w:left="200"/>
        <w:jc w:val="both"/>
      </w:pPr>
      <w:r>
        <w:rPr>
          <w:b/>
          <w:color w:val="1F3B73"/>
        </w:rPr>
        <w:t xml:space="preserve">Q3. </w:t>
      </w:r>
      <w:r>
        <w:t>Comment évaluez-vous la performance actuelle de la manutention (délais, fiabilité, équipements) ? Quels sont les principaux goulots d'étranglement ?</w:t>
      </w:r>
      <w:r>
        <w:rPr>
          <w:i/>
          <w:color w:val="555555"/>
          <w:sz w:val="18"/>
        </w:rPr>
        <w:t xml:space="preserve">  [QS1/P1]</w:t>
      </w:r>
    </w:p>
    <w:p>
      <w:pPr>
        <w:spacing w:after="140"/>
        <w:ind w:left="520"/>
        <w:jc w:val="both"/>
      </w:pPr>
      <w:r>
        <w:rPr>
          <w:b/>
          <w:i/>
          <w:color w:val="1B6B3A"/>
          <w:sz w:val="19"/>
        </w:rPr>
        <w:t xml:space="preserve">↪ Relances : </w:t>
      </w:r>
      <w:r>
        <w:rPr>
          <w:i/>
          <w:color w:val="555555"/>
          <w:sz w:val="19"/>
        </w:rPr>
        <w:t>Temps moyen de passage d'une marchandise ; pannes et disponibilité des engins ; qualification de la main-d'œuvre.</w:t>
      </w:r>
    </w:p>
    <w:p>
      <w:pPr>
        <w:spacing w:after="100"/>
        <w:ind w:left="200"/>
        <w:jc w:val="both"/>
      </w:pPr>
      <w:r>
        <w:rPr>
          <w:b/>
          <w:color w:val="1F3B73"/>
        </w:rPr>
        <w:t xml:space="preserve">Q4. </w:t>
      </w:r>
      <w:r>
        <w:t>Quels systèmes d'information et outils numériques le port utilise-t-il (suivi des marchandises, facturation, échanges avec les douanes) ? Qu'est-ce qui manque ?</w:t>
      </w:r>
      <w:r>
        <w:rPr>
          <w:i/>
          <w:color w:val="555555"/>
          <w:sz w:val="18"/>
        </w:rPr>
        <w:t xml:space="preserve">  [QS1/P1]</w:t>
      </w:r>
    </w:p>
    <w:p>
      <w:pPr>
        <w:spacing w:after="140"/>
        <w:ind w:left="520"/>
        <w:jc w:val="both"/>
      </w:pPr>
      <w:r>
        <w:rPr>
          <w:b/>
          <w:i/>
          <w:color w:val="1B6B3A"/>
          <w:sz w:val="19"/>
        </w:rPr>
        <w:t xml:space="preserve">↪ Relances : </w:t>
      </w:r>
      <w:r>
        <w:rPr>
          <w:i/>
          <w:color w:val="555555"/>
          <w:sz w:val="19"/>
        </w:rPr>
        <w:t>Guichet unique ; traçabilité ; interconnexion avec Kinshasa ; projets de digitalisation en cours.</w:t>
      </w:r>
    </w:p>
    <w:p>
      <w:pPr>
        <w:spacing w:after="100"/>
        <w:ind w:left="200"/>
        <w:jc w:val="both"/>
      </w:pPr>
      <w:r>
        <w:rPr>
          <w:b/>
          <w:color w:val="1F3B73"/>
        </w:rPr>
        <w:t xml:space="preserve">Q5. </w:t>
      </w:r>
      <w:r>
        <w:t>Comment la structure des coûts du port (redevances, manutention, stationnement) se compare-t-elle, selon vous, à celle des itinéraires concurrents ?</w:t>
      </w:r>
      <w:r>
        <w:rPr>
          <w:i/>
          <w:color w:val="555555"/>
          <w:sz w:val="18"/>
        </w:rPr>
        <w:t xml:space="preserve">  [QS1/P1]</w:t>
      </w:r>
    </w:p>
    <w:p>
      <w:pPr>
        <w:spacing w:after="140"/>
        <w:ind w:left="520"/>
        <w:jc w:val="both"/>
      </w:pPr>
      <w:r>
        <w:rPr>
          <w:b/>
          <w:i/>
          <w:color w:val="1B6B3A"/>
          <w:sz w:val="19"/>
        </w:rPr>
        <w:t xml:space="preserve">↪ Relances : </w:t>
      </w:r>
      <w:r>
        <w:rPr>
          <w:i/>
          <w:color w:val="555555"/>
          <w:sz w:val="19"/>
        </w:rPr>
        <w:t>Transparence tarifaire ; coûts informels éventuels ; poids des coûts dans les décisions des clients.</w:t>
      </w:r>
    </w:p>
    <w:p>
      <w:pPr>
        <w:pStyle w:val="Heading3"/>
      </w:pPr>
      <w:r>
        <w:rPr>
          <w:b/>
          <w:color w:val="1F3B73"/>
          <w:sz w:val="22"/>
        </w:rPr>
        <w:t>Bloc 2 — Intégration logistique (QS2 / P2)</w:t>
      </w:r>
    </w:p>
    <w:p>
      <w:pPr>
        <w:spacing w:after="100"/>
        <w:ind w:left="200"/>
        <w:jc w:val="both"/>
      </w:pPr>
      <w:r>
        <w:rPr>
          <w:b/>
          <w:color w:val="1F3B73"/>
        </w:rPr>
        <w:t xml:space="preserve">Q6. </w:t>
      </w:r>
      <w:r>
        <w:t>Comment le port s'articule-t-il concrètement avec les autres maillons de la chaîne : voie fluviale, route, chemin de fer, port de Pointe-Noire ?</w:t>
      </w:r>
      <w:r>
        <w:rPr>
          <w:i/>
          <w:color w:val="555555"/>
          <w:sz w:val="18"/>
        </w:rPr>
        <w:t xml:space="preserve">  [QS2/P2]</w:t>
      </w:r>
    </w:p>
    <w:p>
      <w:pPr>
        <w:spacing w:after="140"/>
        <w:ind w:left="520"/>
        <w:jc w:val="both"/>
      </w:pPr>
      <w:r>
        <w:rPr>
          <w:b/>
          <w:i/>
          <w:color w:val="1B6B3A"/>
          <w:sz w:val="19"/>
        </w:rPr>
        <w:t xml:space="preserve">↪ Relances : </w:t>
      </w:r>
      <w:r>
        <w:rPr>
          <w:i/>
          <w:color w:val="555555"/>
          <w:sz w:val="19"/>
        </w:rPr>
        <w:t>Ruptures de charge ; coordination des horaires ; état des corridors ; rôle de l'axe Brazzaville–Kinshasa.</w:t>
      </w:r>
    </w:p>
    <w:p>
      <w:pPr>
        <w:spacing w:after="100"/>
        <w:ind w:left="200"/>
        <w:jc w:val="both"/>
      </w:pPr>
      <w:r>
        <w:rPr>
          <w:b/>
          <w:color w:val="1F3B73"/>
        </w:rPr>
        <w:t xml:space="preserve">Q7. </w:t>
      </w:r>
      <w:r>
        <w:t>Diriez-vous que le port est aujourd'hui un maillon structurant des chaînes d'approvisionnement du corridor Congo–RDC–RCA, ou un simple point de passage ? Pourquoi ?</w:t>
      </w:r>
      <w:r>
        <w:rPr>
          <w:i/>
          <w:color w:val="555555"/>
          <w:sz w:val="18"/>
        </w:rPr>
        <w:t xml:space="preserve">  [QS2/P2]</w:t>
      </w:r>
    </w:p>
    <w:p>
      <w:pPr>
        <w:pStyle w:val="Heading3"/>
      </w:pPr>
      <w:r>
        <w:rPr>
          <w:b/>
          <w:color w:val="1F3B73"/>
          <w:sz w:val="22"/>
        </w:rPr>
        <w:t>Bloc 3 — Gouvernance et résilience (QS2 / P2 / EC)</w:t>
      </w:r>
    </w:p>
    <w:p>
      <w:pPr>
        <w:spacing w:after="100"/>
        <w:ind w:left="200"/>
        <w:jc w:val="both"/>
      </w:pPr>
      <w:r>
        <w:rPr>
          <w:b/>
          <w:color w:val="1F3B73"/>
        </w:rPr>
        <w:t xml:space="preserve">Q8. </w:t>
      </w:r>
      <w:r>
        <w:t>Comment se passe la coordination entre le port, les douanes, les ministères et les opérateurs privés ? Pouvez-vous donner un exemple récent de coopération réussie — et un exemple de blocage ?</w:t>
      </w:r>
      <w:r>
        <w:rPr>
          <w:i/>
          <w:color w:val="555555"/>
          <w:sz w:val="18"/>
        </w:rPr>
        <w:t xml:space="preserve">  [QS2/EC]</w:t>
      </w:r>
    </w:p>
    <w:p>
      <w:pPr>
        <w:spacing w:after="100"/>
        <w:ind w:left="200"/>
        <w:jc w:val="both"/>
      </w:pPr>
      <w:r>
        <w:rPr>
          <w:b/>
          <w:color w:val="1F3B73"/>
        </w:rPr>
        <w:t xml:space="preserve">Q9. </w:t>
      </w:r>
      <w:r>
        <w:t>Quel rôle jouent les politiques publiques (nationales, CEMAC, CICOS) dans la capacité du port à se développer ? Le port a-t-il les marges de manœuvre décisionnelles dont il aurait besoin ?</w:t>
      </w:r>
      <w:r>
        <w:rPr>
          <w:i/>
          <w:color w:val="555555"/>
          <w:sz w:val="18"/>
        </w:rPr>
        <w:t xml:space="preserve">  [QS2/EC]</w:t>
      </w:r>
    </w:p>
    <w:p>
      <w:pPr>
        <w:spacing w:after="140"/>
        <w:ind w:left="520"/>
        <w:jc w:val="both"/>
      </w:pPr>
      <w:r>
        <w:rPr>
          <w:b/>
          <w:i/>
          <w:color w:val="1B6B3A"/>
          <w:sz w:val="19"/>
        </w:rPr>
        <w:t xml:space="preserve">↪ Relances : </w:t>
      </w:r>
      <w:r>
        <w:rPr>
          <w:i/>
          <w:color w:val="555555"/>
          <w:sz w:val="19"/>
        </w:rPr>
        <w:t>Autonomie réelle vs tutelle ; investissements décidés ailleurs ; partenariats public-privé.</w:t>
      </w:r>
    </w:p>
    <w:p>
      <w:pPr>
        <w:spacing w:after="100"/>
        <w:ind w:left="200"/>
        <w:jc w:val="both"/>
      </w:pPr>
      <w:r>
        <w:rPr>
          <w:b/>
          <w:color w:val="1F3B73"/>
        </w:rPr>
        <w:t xml:space="preserve">Q10. </w:t>
      </w:r>
      <w:r>
        <w:t>Comment le port a-t-il traversé les dernières perturbations majeures (étiage du fleuve, crise sanitaire, tensions régionales) ? Qu'est-ce qui a été appris ?</w:t>
      </w:r>
      <w:r>
        <w:rPr>
          <w:i/>
          <w:color w:val="555555"/>
          <w:sz w:val="18"/>
        </w:rPr>
        <w:t xml:space="preserve">  [QS2/P2]</w:t>
      </w:r>
    </w:p>
    <w:p>
      <w:pPr>
        <w:pStyle w:val="Heading3"/>
      </w:pPr>
      <w:r>
        <w:rPr>
          <w:b/>
          <w:color w:val="1F3B73"/>
          <w:sz w:val="22"/>
        </w:rPr>
        <w:t>Bloc 4 — Positionnement comparé et clôture</w:t>
      </w:r>
    </w:p>
    <w:p>
      <w:pPr>
        <w:spacing w:after="100"/>
        <w:ind w:left="200"/>
        <w:jc w:val="both"/>
      </w:pPr>
      <w:r>
        <w:rPr>
          <w:b/>
          <w:color w:val="1F3B73"/>
        </w:rPr>
        <w:t xml:space="preserve">Q11. </w:t>
      </w:r>
      <w:r>
        <w:t>Si un grand chargeur hésitait entre passer par Brazzaville ou par un itinéraire concurrent, que lui diriez-vous ? Et que vous répondrait-il, honnêtement ?</w:t>
      </w:r>
      <w:r>
        <w:rPr>
          <w:i/>
          <w:color w:val="555555"/>
          <w:sz w:val="18"/>
        </w:rPr>
        <w:t xml:space="preserve">  [QS1+QS2]</w:t>
      </w:r>
    </w:p>
    <w:p>
      <w:pPr>
        <w:spacing w:after="100"/>
        <w:ind w:left="200"/>
        <w:jc w:val="both"/>
      </w:pPr>
      <w:r>
        <w:rPr>
          <w:b/>
          <w:color w:val="1F3B73"/>
        </w:rPr>
        <w:t xml:space="preserve">Q12. </w:t>
      </w:r>
      <w:r>
        <w:t>Dans dix ans, quel positionnement visez-vous pour le port ? Quelles sont les trois conditions pour y parvenir ?</w:t>
      </w:r>
    </w:p>
    <w:p>
      <w:pPr>
        <w:spacing w:after="100"/>
        <w:ind w:left="200"/>
        <w:jc w:val="both"/>
      </w:pPr>
      <w:r>
        <w:rPr>
          <w:b/>
          <w:color w:val="1F3B73"/>
        </w:rPr>
        <w:t xml:space="preserve">Q13. </w:t>
      </w:r>
      <w:r>
        <w:t>Y a-t-il un sujet important que nous n'avons pas abordé et dont vous souhaiteriez parler ?</w:t>
      </w:r>
    </w:p>
    <w:p>
      <w:pPr>
        <w:pStyle w:val="Heading2"/>
      </w:pPr>
      <w:r>
        <w:rPr>
          <w:b/>
          <w:color w:val="1F3B73"/>
          <w:sz w:val="24"/>
        </w:rPr>
        <w:t>Guide B — Opérateurs de manutention et acconiers</w:t>
      </w:r>
    </w:p>
    <w:p>
      <w:pPr>
        <w:pStyle w:val="Heading3"/>
      </w:pPr>
      <w:r>
        <w:rPr>
          <w:b/>
          <w:color w:val="1F3B73"/>
          <w:sz w:val="22"/>
        </w:rPr>
        <w:t>Bloc 0 — Ouverture</w:t>
      </w:r>
    </w:p>
    <w:p>
      <w:pPr>
        <w:spacing w:after="100"/>
        <w:ind w:left="200"/>
        <w:jc w:val="both"/>
      </w:pPr>
      <w:r>
        <w:rPr>
          <w:b/>
          <w:color w:val="1F3B73"/>
        </w:rPr>
        <w:t xml:space="preserve">Q1. </w:t>
      </w:r>
      <w:r>
        <w:t>Pouvez-vous décrire votre activité, vos effectifs, vos équipements et votre ancienneté sur le port ?</w:t>
      </w:r>
    </w:p>
    <w:p>
      <w:pPr>
        <w:pStyle w:val="Heading3"/>
      </w:pPr>
      <w:r>
        <w:rPr>
          <w:b/>
          <w:color w:val="1F3B73"/>
          <w:sz w:val="22"/>
        </w:rPr>
        <w:t>Bloc 1 — Attractivité (QS1 / P1)</w:t>
      </w:r>
    </w:p>
    <w:p>
      <w:pPr>
        <w:spacing w:after="100"/>
        <w:ind w:left="200"/>
        <w:jc w:val="both"/>
      </w:pPr>
      <w:r>
        <w:rPr>
          <w:b/>
          <w:color w:val="1F3B73"/>
        </w:rPr>
        <w:t xml:space="preserve">Q2. </w:t>
      </w:r>
      <w:r>
        <w:t>Décrivez-moi le parcours type d'une marchandise entre l'accostage et la sortie du port. Où sont les pertes de temps ?</w:t>
      </w:r>
      <w:r>
        <w:rPr>
          <w:i/>
          <w:color w:val="555555"/>
          <w:sz w:val="18"/>
        </w:rPr>
        <w:t xml:space="preserve">  [QS1/P1]</w:t>
      </w:r>
    </w:p>
    <w:p>
      <w:pPr>
        <w:spacing w:after="140"/>
        <w:ind w:left="520"/>
        <w:jc w:val="both"/>
      </w:pPr>
      <w:r>
        <w:rPr>
          <w:b/>
          <w:i/>
          <w:color w:val="1B6B3A"/>
          <w:sz w:val="19"/>
        </w:rPr>
        <w:t xml:space="preserve">↪ Relances : </w:t>
      </w:r>
      <w:r>
        <w:rPr>
          <w:i/>
          <w:color w:val="555555"/>
          <w:sz w:val="19"/>
        </w:rPr>
        <w:t>Étapes ; délais réels vs délais affichés ; variabilité selon les périodes.</w:t>
      </w:r>
    </w:p>
    <w:p>
      <w:pPr>
        <w:spacing w:after="100"/>
        <w:ind w:left="200"/>
        <w:jc w:val="both"/>
      </w:pPr>
      <w:r>
        <w:rPr>
          <w:b/>
          <w:color w:val="1F3B73"/>
        </w:rPr>
        <w:t xml:space="preserve">Q3. </w:t>
      </w:r>
      <w:r>
        <w:t>Quels sont vos principaux problèmes d'équipement et d'infrastructure pour manutentionner efficacement ?</w:t>
      </w:r>
      <w:r>
        <w:rPr>
          <w:i/>
          <w:color w:val="555555"/>
          <w:sz w:val="18"/>
        </w:rPr>
        <w:t xml:space="preserve">  [QS1/P1]</w:t>
      </w:r>
    </w:p>
    <w:p>
      <w:pPr>
        <w:spacing w:after="140"/>
        <w:ind w:left="520"/>
        <w:jc w:val="both"/>
      </w:pPr>
      <w:r>
        <w:rPr>
          <w:b/>
          <w:i/>
          <w:color w:val="1B6B3A"/>
          <w:sz w:val="19"/>
        </w:rPr>
        <w:t xml:space="preserve">↪ Relances : </w:t>
      </w:r>
      <w:r>
        <w:rPr>
          <w:i/>
          <w:color w:val="555555"/>
          <w:sz w:val="19"/>
        </w:rPr>
        <w:t>Grues, engins, quais, magasins ; maintenance ; électricité ; profondeur et accostage.</w:t>
      </w:r>
    </w:p>
    <w:p>
      <w:pPr>
        <w:spacing w:after="100"/>
        <w:ind w:left="200"/>
        <w:jc w:val="both"/>
      </w:pPr>
      <w:r>
        <w:rPr>
          <w:b/>
          <w:color w:val="1F3B73"/>
        </w:rPr>
        <w:t xml:space="preserve">Q4. </w:t>
      </w:r>
      <w:r>
        <w:t>Utilisez-vous des outils numériques dans vos opérations (planification, suivi, facturation) ? Qu'est-ce qui se fait encore sur papier ?</w:t>
      </w:r>
      <w:r>
        <w:rPr>
          <w:i/>
          <w:color w:val="555555"/>
          <w:sz w:val="18"/>
        </w:rPr>
        <w:t xml:space="preserve">  [QS1/P1]</w:t>
      </w:r>
    </w:p>
    <w:p>
      <w:pPr>
        <w:spacing w:after="100"/>
        <w:ind w:left="200"/>
        <w:jc w:val="both"/>
      </w:pPr>
      <w:r>
        <w:rPr>
          <w:b/>
          <w:color w:val="1F3B73"/>
        </w:rPr>
        <w:t xml:space="preserve">Q5. </w:t>
      </w:r>
      <w:r>
        <w:t>Comment se forment les coûts de manutention facturés aux clients ? Qu'est-ce qui les ferait baisser ?</w:t>
      </w:r>
      <w:r>
        <w:rPr>
          <w:i/>
          <w:color w:val="555555"/>
          <w:sz w:val="18"/>
        </w:rPr>
        <w:t xml:space="preserve">  [QS1/P1]</w:t>
      </w:r>
    </w:p>
    <w:p>
      <w:pPr>
        <w:spacing w:after="100"/>
        <w:ind w:left="200"/>
        <w:jc w:val="both"/>
      </w:pPr>
      <w:r>
        <w:rPr>
          <w:b/>
          <w:color w:val="1F3B73"/>
        </w:rPr>
        <w:t xml:space="preserve">Q6. </w:t>
      </w:r>
      <w:r>
        <w:t>Qu'est-ce qui, dans votre travail quotidien, fait qu'un client revient — ou ne revient pas ?</w:t>
      </w:r>
      <w:r>
        <w:rPr>
          <w:i/>
          <w:color w:val="555555"/>
          <w:sz w:val="18"/>
        </w:rPr>
        <w:t xml:space="preserve">  [QS1/P1]</w:t>
      </w:r>
    </w:p>
    <w:p>
      <w:pPr>
        <w:pStyle w:val="Heading3"/>
      </w:pPr>
      <w:r>
        <w:rPr>
          <w:b/>
          <w:color w:val="1F3B73"/>
          <w:sz w:val="22"/>
        </w:rPr>
        <w:t>Bloc 2 — Intégration logistique (QS2 / P2)</w:t>
      </w:r>
    </w:p>
    <w:p>
      <w:pPr>
        <w:spacing w:after="100"/>
        <w:ind w:left="200"/>
        <w:jc w:val="both"/>
      </w:pPr>
      <w:r>
        <w:rPr>
          <w:b/>
          <w:color w:val="1F3B73"/>
        </w:rPr>
        <w:t xml:space="preserve">Q7. </w:t>
      </w:r>
      <w:r>
        <w:t>Comment se passe la coordination avec les transporteurs (barges, camions, train) en amont et en aval de vos opérations ?</w:t>
      </w:r>
      <w:r>
        <w:rPr>
          <w:i/>
          <w:color w:val="555555"/>
          <w:sz w:val="18"/>
        </w:rPr>
        <w:t xml:space="preserve">  [QS2/P2]</w:t>
      </w:r>
    </w:p>
    <w:p>
      <w:pPr>
        <w:spacing w:after="140"/>
        <w:ind w:left="520"/>
        <w:jc w:val="both"/>
      </w:pPr>
      <w:r>
        <w:rPr>
          <w:b/>
          <w:i/>
          <w:color w:val="1B6B3A"/>
          <w:sz w:val="19"/>
        </w:rPr>
        <w:t xml:space="preserve">↪ Relances : </w:t>
      </w:r>
      <w:r>
        <w:rPr>
          <w:i/>
          <w:color w:val="555555"/>
          <w:sz w:val="19"/>
        </w:rPr>
        <w:t>Attentes de camions ; files ; informations partagées ou non.</w:t>
      </w:r>
    </w:p>
    <w:p>
      <w:pPr>
        <w:pStyle w:val="Heading3"/>
      </w:pPr>
      <w:r>
        <w:rPr>
          <w:b/>
          <w:color w:val="1F3B73"/>
          <w:sz w:val="22"/>
        </w:rPr>
        <w:t>Bloc 3 — Gouvernance (QS2 / EC)</w:t>
      </w:r>
    </w:p>
    <w:p>
      <w:pPr>
        <w:spacing w:after="100"/>
        <w:ind w:left="200"/>
        <w:jc w:val="both"/>
      </w:pPr>
      <w:r>
        <w:rPr>
          <w:b/>
          <w:color w:val="1F3B73"/>
        </w:rPr>
        <w:t xml:space="preserve">Q8. </w:t>
      </w:r>
      <w:r>
        <w:t>Comment décririez-vous vos relations avec l'autorité portuaire et les douanes ? Qu'est-ce qui faciliterait votre travail ?</w:t>
      </w:r>
      <w:r>
        <w:rPr>
          <w:i/>
          <w:color w:val="555555"/>
          <w:sz w:val="18"/>
        </w:rPr>
        <w:t xml:space="preserve">  [QS2/EC]</w:t>
      </w:r>
    </w:p>
    <w:p>
      <w:pPr>
        <w:pStyle w:val="Heading3"/>
      </w:pPr>
      <w:r>
        <w:rPr>
          <w:b/>
          <w:color w:val="1F3B73"/>
          <w:sz w:val="22"/>
        </w:rPr>
        <w:t>Bloc 4 — Clôture</w:t>
      </w:r>
    </w:p>
    <w:p>
      <w:pPr>
        <w:spacing w:after="100"/>
        <w:ind w:left="200"/>
        <w:jc w:val="both"/>
      </w:pPr>
      <w:r>
        <w:rPr>
          <w:b/>
          <w:color w:val="1F3B73"/>
        </w:rPr>
        <w:t xml:space="preserve">Q9. </w:t>
      </w:r>
      <w:r>
        <w:t>Si vous compariez Brazzaville aux autres plateformes que vous connaissez, quels sont ses deux forces et ses deux faiblesses principales ?</w:t>
      </w:r>
      <w:r>
        <w:rPr>
          <w:i/>
          <w:color w:val="555555"/>
          <w:sz w:val="18"/>
        </w:rPr>
        <w:t xml:space="preserve">  [QS1+QS2]</w:t>
      </w:r>
    </w:p>
    <w:p>
      <w:pPr>
        <w:spacing w:after="100"/>
        <w:ind w:left="200"/>
        <w:jc w:val="both"/>
      </w:pPr>
      <w:r>
        <w:rPr>
          <w:b/>
          <w:color w:val="1F3B73"/>
        </w:rPr>
        <w:t xml:space="preserve">Q10. </w:t>
      </w:r>
      <w:r>
        <w:t>Un sujet que nous n'avons pas abordé ?</w:t>
      </w:r>
    </w:p>
    <w:p>
      <w:pPr>
        <w:pStyle w:val="Heading2"/>
      </w:pPr>
      <w:r>
        <w:rPr>
          <w:b/>
          <w:color w:val="1F3B73"/>
          <w:sz w:val="24"/>
        </w:rPr>
        <w:t>Guide C — Chargeurs, transitaires et commissionnaires (usagers)</w:t>
      </w:r>
    </w:p>
    <w:p>
      <w:pPr>
        <w:spacing w:after="120"/>
        <w:jc w:val="both"/>
      </w:pPr>
      <w:r>
        <w:rPr>
          <w:b w:val="0"/>
          <w:i/>
          <w:color w:val="555555"/>
          <w:sz w:val="20"/>
        </w:rPr>
        <w:t>Catégorie centrale : c'est la perception des usagers qui définit l'attractivité (Brooks, 2011 ; Brooks et Pallis, 2012). Cible la plus nombreuse de l'échantillon.</w:t>
      </w:r>
    </w:p>
    <w:p>
      <w:pPr>
        <w:pStyle w:val="Heading3"/>
      </w:pPr>
      <w:r>
        <w:rPr>
          <w:b/>
          <w:color w:val="1F3B73"/>
          <w:sz w:val="22"/>
        </w:rPr>
        <w:t>Bloc 0 — Ouverture</w:t>
      </w:r>
    </w:p>
    <w:p>
      <w:pPr>
        <w:spacing w:after="100"/>
        <w:ind w:left="200"/>
        <w:jc w:val="both"/>
      </w:pPr>
      <w:r>
        <w:rPr>
          <w:b/>
          <w:color w:val="1F3B73"/>
        </w:rPr>
        <w:t xml:space="preserve">Q1. </w:t>
      </w:r>
      <w:r>
        <w:t>Pouvez-vous décrire votre activité et les flux que vous faites transiter par Brazzaville (nature, volumes, fréquence, origines/destinations) ?</w:t>
      </w:r>
    </w:p>
    <w:p>
      <w:pPr>
        <w:pStyle w:val="Heading3"/>
      </w:pPr>
      <w:r>
        <w:rPr>
          <w:b/>
          <w:color w:val="1F3B73"/>
          <w:sz w:val="22"/>
        </w:rPr>
        <w:t>Bloc 1 — Attractivité (QS1 / P1)</w:t>
      </w:r>
    </w:p>
    <w:p>
      <w:pPr>
        <w:spacing w:after="100"/>
        <w:ind w:left="200"/>
        <w:jc w:val="both"/>
      </w:pPr>
      <w:r>
        <w:rPr>
          <w:b/>
          <w:color w:val="1F3B73"/>
        </w:rPr>
        <w:t xml:space="preserve">Q2. </w:t>
      </w:r>
      <w:r>
        <w:t>Pourquoi passez-vous par le Port de Brazzaville plutôt que par un autre itinéraire ? Racontez-moi la dernière fois où vous avez comparé les options.</w:t>
      </w:r>
      <w:r>
        <w:rPr>
          <w:i/>
          <w:color w:val="555555"/>
          <w:sz w:val="18"/>
        </w:rPr>
        <w:t xml:space="preserve">  [QS1/P1]</w:t>
      </w:r>
    </w:p>
    <w:p>
      <w:pPr>
        <w:spacing w:after="140"/>
        <w:ind w:left="520"/>
        <w:jc w:val="both"/>
      </w:pPr>
      <w:r>
        <w:rPr>
          <w:b/>
          <w:i/>
          <w:color w:val="1B6B3A"/>
          <w:sz w:val="19"/>
        </w:rPr>
        <w:t xml:space="preserve">↪ Relances : </w:t>
      </w:r>
      <w:r>
        <w:rPr>
          <w:i/>
          <w:color w:val="555555"/>
          <w:sz w:val="19"/>
        </w:rPr>
        <w:t>Critères de choix hiérarchisés : coût ? délai ? fiabilité ? sécurité ? relations ? habitude ?</w:t>
      </w:r>
    </w:p>
    <w:p>
      <w:pPr>
        <w:spacing w:after="100"/>
        <w:ind w:left="200"/>
        <w:jc w:val="both"/>
      </w:pPr>
      <w:r>
        <w:rPr>
          <w:b/>
          <w:color w:val="1F3B73"/>
        </w:rPr>
        <w:t xml:space="preserve">Q3. </w:t>
      </w:r>
      <w:r>
        <w:t>Racontez-moi votre dernière expédition : qu'est-ce qui s'est bien passé, qu'est-ce qui s'est mal passé ?</w:t>
      </w:r>
      <w:r>
        <w:rPr>
          <w:i/>
          <w:color w:val="555555"/>
          <w:sz w:val="18"/>
        </w:rPr>
        <w:t xml:space="preserve">  [QS1/P1]</w:t>
      </w:r>
    </w:p>
    <w:p>
      <w:pPr>
        <w:spacing w:after="140"/>
        <w:ind w:left="520"/>
        <w:jc w:val="both"/>
      </w:pPr>
      <w:r>
        <w:rPr>
          <w:b/>
          <w:i/>
          <w:color w:val="1B6B3A"/>
          <w:sz w:val="19"/>
        </w:rPr>
        <w:t xml:space="preserve">↪ Relances : </w:t>
      </w:r>
      <w:r>
        <w:rPr>
          <w:i/>
          <w:color w:val="555555"/>
          <w:sz w:val="19"/>
        </w:rPr>
        <w:t>Méthode de l'incident critique — chercher les faits précis, dates, durées, surcoûts.</w:t>
      </w:r>
    </w:p>
    <w:p>
      <w:pPr>
        <w:spacing w:after="100"/>
        <w:ind w:left="200"/>
        <w:jc w:val="both"/>
      </w:pPr>
      <w:r>
        <w:rPr>
          <w:b/>
          <w:color w:val="1F3B73"/>
        </w:rPr>
        <w:t xml:space="preserve">Q4. </w:t>
      </w:r>
      <w:r>
        <w:t>Comment jugez-vous la manutention de vos marchandises (délais, casse, vols, traçabilité) ?</w:t>
      </w:r>
      <w:r>
        <w:rPr>
          <w:i/>
          <w:color w:val="555555"/>
          <w:sz w:val="18"/>
        </w:rPr>
        <w:t xml:space="preserve">  [QS1/P1]</w:t>
      </w:r>
    </w:p>
    <w:p>
      <w:pPr>
        <w:spacing w:after="100"/>
        <w:ind w:left="200"/>
        <w:jc w:val="both"/>
      </w:pPr>
      <w:r>
        <w:rPr>
          <w:b/>
          <w:color w:val="1F3B73"/>
        </w:rPr>
        <w:t xml:space="preserve">Q5. </w:t>
      </w:r>
      <w:r>
        <w:t>Quelles informations recevez-vous sur vos marchandises pendant le passage portuaire, et par quel canal ? Qu'aimeriez-vous pouvoir suivre en ligne ?</w:t>
      </w:r>
      <w:r>
        <w:rPr>
          <w:i/>
          <w:color w:val="555555"/>
          <w:sz w:val="18"/>
        </w:rPr>
        <w:t xml:space="preserve">  [QS1/P1]</w:t>
      </w:r>
    </w:p>
    <w:p>
      <w:pPr>
        <w:spacing w:after="100"/>
        <w:ind w:left="200"/>
        <w:jc w:val="both"/>
      </w:pPr>
      <w:r>
        <w:rPr>
          <w:b/>
          <w:color w:val="1F3B73"/>
        </w:rPr>
        <w:t xml:space="preserve">Q6. </w:t>
      </w:r>
      <w:r>
        <w:t>Pouvez-vous décomposer ce que vous coûte réellement un passage par Brazzaville ? Quelle part vous semble excessive ou imprévisible ?</w:t>
      </w:r>
      <w:r>
        <w:rPr>
          <w:i/>
          <w:color w:val="555555"/>
          <w:sz w:val="18"/>
        </w:rPr>
        <w:t xml:space="preserve">  [QS1/P1]</w:t>
      </w:r>
    </w:p>
    <w:p>
      <w:pPr>
        <w:spacing w:after="140"/>
        <w:ind w:left="520"/>
        <w:jc w:val="both"/>
      </w:pPr>
      <w:r>
        <w:rPr>
          <w:b/>
          <w:i/>
          <w:color w:val="1B6B3A"/>
          <w:sz w:val="19"/>
        </w:rPr>
        <w:t xml:space="preserve">↪ Relances : </w:t>
      </w:r>
      <w:r>
        <w:rPr>
          <w:i/>
          <w:color w:val="555555"/>
          <w:sz w:val="19"/>
        </w:rPr>
        <w:t>Coûts officiels vs coûts totaux ; prévisibilité ; comparaison chiffrée avec l'itinéraire alternatif.</w:t>
      </w:r>
    </w:p>
    <w:p>
      <w:pPr>
        <w:pStyle w:val="Heading3"/>
      </w:pPr>
      <w:r>
        <w:rPr>
          <w:b/>
          <w:color w:val="1F3B73"/>
          <w:sz w:val="22"/>
        </w:rPr>
        <w:t>Bloc 2 — Intégration logistique (QS2 / P2)</w:t>
      </w:r>
    </w:p>
    <w:p>
      <w:pPr>
        <w:spacing w:after="100"/>
        <w:ind w:left="200"/>
        <w:jc w:val="both"/>
      </w:pPr>
      <w:r>
        <w:rPr>
          <w:b/>
          <w:color w:val="1F3B73"/>
        </w:rPr>
        <w:t xml:space="preserve">Q7. </w:t>
      </w:r>
      <w:r>
        <w:t>Une fois la marchandise sortie du port, comment se passe la suite du trajet ? Les maillons s'enchaînent-ils bien ?</w:t>
      </w:r>
      <w:r>
        <w:rPr>
          <w:i/>
          <w:color w:val="555555"/>
          <w:sz w:val="18"/>
        </w:rPr>
        <w:t xml:space="preserve">  [QS2/P2]</w:t>
      </w:r>
    </w:p>
    <w:p>
      <w:pPr>
        <w:spacing w:after="100"/>
        <w:ind w:left="200"/>
        <w:jc w:val="both"/>
      </w:pPr>
      <w:r>
        <w:rPr>
          <w:b/>
          <w:color w:val="1F3B73"/>
        </w:rPr>
        <w:t xml:space="preserve">Q8. </w:t>
      </w:r>
      <w:r>
        <w:t>Que faudrait-il pour que vous augmentiez les volumes que vous faites passer par Brazzaville ?</w:t>
      </w:r>
      <w:r>
        <w:rPr>
          <w:i/>
          <w:color w:val="555555"/>
          <w:sz w:val="18"/>
        </w:rPr>
        <w:t xml:space="preserve">  [QS2/P2]</w:t>
      </w:r>
    </w:p>
    <w:p>
      <w:pPr>
        <w:pStyle w:val="Heading3"/>
      </w:pPr>
      <w:r>
        <w:rPr>
          <w:b/>
          <w:color w:val="1F3B73"/>
          <w:sz w:val="22"/>
        </w:rPr>
        <w:t>Bloc 3 — Gouvernance (QS2 / EC)</w:t>
      </w:r>
    </w:p>
    <w:p>
      <w:pPr>
        <w:spacing w:after="100"/>
        <w:ind w:left="200"/>
        <w:jc w:val="both"/>
      </w:pPr>
      <w:r>
        <w:rPr>
          <w:b/>
          <w:color w:val="1F3B73"/>
        </w:rPr>
        <w:t xml:space="preserve">Q9. </w:t>
      </w:r>
      <w:r>
        <w:t>Quand vous avez un problème au port, à qui vous adressez-vous, et comment cela se résout-il ?</w:t>
      </w:r>
      <w:r>
        <w:rPr>
          <w:i/>
          <w:color w:val="555555"/>
          <w:sz w:val="18"/>
        </w:rPr>
        <w:t xml:space="preserve">  [QS2/EC]</w:t>
      </w:r>
    </w:p>
    <w:p>
      <w:pPr>
        <w:spacing w:after="100"/>
        <w:ind w:left="200"/>
        <w:jc w:val="both"/>
      </w:pPr>
      <w:r>
        <w:rPr>
          <w:b/>
          <w:color w:val="1F3B73"/>
        </w:rPr>
        <w:t xml:space="preserve">Q10. </w:t>
      </w:r>
      <w:r>
        <w:t>Selon vous, qu'est-ce qui relève du port lui-même, et qu'est-ce qui relève de l'État ou des administrations, dans ce qui marche et ce qui ne marche pas ?</w:t>
      </w:r>
      <w:r>
        <w:rPr>
          <w:i/>
          <w:color w:val="555555"/>
          <w:sz w:val="18"/>
        </w:rPr>
        <w:t xml:space="preserve">  [EC]</w:t>
      </w:r>
    </w:p>
    <w:p>
      <w:pPr>
        <w:spacing w:after="140"/>
        <w:ind w:left="520"/>
        <w:jc w:val="both"/>
      </w:pPr>
      <w:r>
        <w:rPr>
          <w:b/>
          <w:i/>
          <w:color w:val="1B6B3A"/>
          <w:sz w:val="19"/>
        </w:rPr>
        <w:t xml:space="preserve">↪ Relances : </w:t>
      </w:r>
      <w:r>
        <w:rPr>
          <w:i/>
          <w:color w:val="555555"/>
          <w:sz w:val="19"/>
        </w:rPr>
        <w:t>Question clé pour départager P0 de l'explication concurrente — laisser le répondant attribuer lui-même les responsabilités.</w:t>
      </w:r>
    </w:p>
    <w:p>
      <w:pPr>
        <w:pStyle w:val="Heading3"/>
      </w:pPr>
      <w:r>
        <w:rPr>
          <w:b/>
          <w:color w:val="1F3B73"/>
          <w:sz w:val="22"/>
        </w:rPr>
        <w:t>Bloc 4 — Clôture</w:t>
      </w:r>
    </w:p>
    <w:p>
      <w:pPr>
        <w:spacing w:after="100"/>
        <w:ind w:left="200"/>
        <w:jc w:val="both"/>
      </w:pPr>
      <w:r>
        <w:rPr>
          <w:b/>
          <w:color w:val="1F3B73"/>
        </w:rPr>
        <w:t xml:space="preserve">Q11. </w:t>
      </w:r>
      <w:r>
        <w:t>Recommanderiez-vous Brazzaville à un confrère ? Qu'est-ce que vous lui diriez exactement ?</w:t>
      </w:r>
      <w:r>
        <w:rPr>
          <w:i/>
          <w:color w:val="555555"/>
          <w:sz w:val="18"/>
        </w:rPr>
        <w:t xml:space="preserve">  [QS1+QS2]</w:t>
      </w:r>
    </w:p>
    <w:p>
      <w:pPr>
        <w:spacing w:after="100"/>
        <w:ind w:left="200"/>
        <w:jc w:val="both"/>
      </w:pPr>
      <w:r>
        <w:rPr>
          <w:b/>
          <w:color w:val="1F3B73"/>
        </w:rPr>
        <w:t xml:space="preserve">Q12. </w:t>
      </w:r>
      <w:r>
        <w:t>Un sujet que nous n'avons pas abordé ?</w:t>
      </w:r>
    </w:p>
    <w:p>
      <w:pPr>
        <w:pStyle w:val="Heading2"/>
      </w:pPr>
      <w:r>
        <w:rPr>
          <w:b/>
          <w:color w:val="1F3B73"/>
          <w:sz w:val="24"/>
        </w:rPr>
        <w:t>Guide D — Transporteurs et armateurs fluviaux</w:t>
      </w:r>
    </w:p>
    <w:p>
      <w:pPr>
        <w:pStyle w:val="Heading3"/>
      </w:pPr>
      <w:r>
        <w:rPr>
          <w:b/>
          <w:color w:val="1F3B73"/>
          <w:sz w:val="22"/>
        </w:rPr>
        <w:t>Bloc 0 — Ouverture</w:t>
      </w:r>
    </w:p>
    <w:p>
      <w:pPr>
        <w:spacing w:after="100"/>
        <w:ind w:left="200"/>
        <w:jc w:val="both"/>
      </w:pPr>
      <w:r>
        <w:rPr>
          <w:b/>
          <w:color w:val="1F3B73"/>
        </w:rPr>
        <w:t xml:space="preserve">Q1. </w:t>
      </w:r>
      <w:r>
        <w:t>Pouvez-vous décrire votre activité de transport, votre flotte/parc et les lignes ou axes que vous exploitez ?</w:t>
      </w:r>
    </w:p>
    <w:p>
      <w:pPr>
        <w:pStyle w:val="Heading3"/>
      </w:pPr>
      <w:r>
        <w:rPr>
          <w:b/>
          <w:color w:val="1F3B73"/>
          <w:sz w:val="22"/>
        </w:rPr>
        <w:t>Bloc 1 — Attractivité (QS1 / P1)</w:t>
      </w:r>
    </w:p>
    <w:p>
      <w:pPr>
        <w:spacing w:after="100"/>
        <w:ind w:left="200"/>
        <w:jc w:val="both"/>
      </w:pPr>
      <w:r>
        <w:rPr>
          <w:b/>
          <w:color w:val="1F3B73"/>
        </w:rPr>
        <w:t xml:space="preserve">Q2. </w:t>
      </w:r>
      <w:r>
        <w:t>Qu'est-ce qui fait, pour un transporteur, qu'un port est « bon » à toucher ? Comment Brazzaville se situe-t-il sur ces critères ?</w:t>
      </w:r>
      <w:r>
        <w:rPr>
          <w:i/>
          <w:color w:val="555555"/>
          <w:sz w:val="18"/>
        </w:rPr>
        <w:t xml:space="preserve">  [QS1/P1]</w:t>
      </w:r>
    </w:p>
    <w:p>
      <w:pPr>
        <w:spacing w:after="140"/>
        <w:ind w:left="520"/>
        <w:jc w:val="both"/>
      </w:pPr>
      <w:r>
        <w:rPr>
          <w:b/>
          <w:i/>
          <w:color w:val="1B6B3A"/>
          <w:sz w:val="19"/>
        </w:rPr>
        <w:t xml:space="preserve">↪ Relances : </w:t>
      </w:r>
      <w:r>
        <w:rPr>
          <w:i/>
          <w:color w:val="555555"/>
          <w:sz w:val="19"/>
        </w:rPr>
        <w:t>Temps d'attente à quai ; coûts d'escale ; sécurité ; disponibilité de fret retour.</w:t>
      </w:r>
    </w:p>
    <w:p>
      <w:pPr>
        <w:spacing w:after="100"/>
        <w:ind w:left="200"/>
        <w:jc w:val="both"/>
      </w:pPr>
      <w:r>
        <w:rPr>
          <w:b/>
          <w:color w:val="1F3B73"/>
        </w:rPr>
        <w:t xml:space="preserve">Q3. </w:t>
      </w:r>
      <w:r>
        <w:t>Comment se passent vos escales à Brazzaville : durée d'attente, priorités d'accostage, coûts, formalités ?</w:t>
      </w:r>
      <w:r>
        <w:rPr>
          <w:i/>
          <w:color w:val="555555"/>
          <w:sz w:val="18"/>
        </w:rPr>
        <w:t xml:space="preserve">  [QS1/P1]</w:t>
      </w:r>
    </w:p>
    <w:p>
      <w:pPr>
        <w:spacing w:after="100"/>
        <w:ind w:left="200"/>
        <w:jc w:val="both"/>
      </w:pPr>
      <w:r>
        <w:rPr>
          <w:b/>
          <w:color w:val="1F3B73"/>
        </w:rPr>
        <w:t xml:space="preserve">Q4. </w:t>
      </w:r>
      <w:r>
        <w:t>Échangez-vous des informations avec le port avant et pendant l'escale (annonces, créneaux, documents dématérialisés) ?</w:t>
      </w:r>
      <w:r>
        <w:rPr>
          <w:i/>
          <w:color w:val="555555"/>
          <w:sz w:val="18"/>
        </w:rPr>
        <w:t xml:space="preserve">  [QS1/P1]</w:t>
      </w:r>
    </w:p>
    <w:p>
      <w:pPr>
        <w:pStyle w:val="Heading3"/>
      </w:pPr>
      <w:r>
        <w:rPr>
          <w:b/>
          <w:color w:val="1F3B73"/>
          <w:sz w:val="22"/>
        </w:rPr>
        <w:t>Bloc 2 — Intégration logistique (QS2 / P2)</w:t>
      </w:r>
    </w:p>
    <w:p>
      <w:pPr>
        <w:spacing w:after="100"/>
        <w:ind w:left="200"/>
        <w:jc w:val="both"/>
      </w:pPr>
      <w:r>
        <w:rPr>
          <w:b/>
          <w:color w:val="1F3B73"/>
        </w:rPr>
        <w:t xml:space="preserve">Q5. </w:t>
      </w:r>
      <w:r>
        <w:t>Comment jugez-vous la navigabilité du fleuve et son balisage, et quel impact cela a-t-il sur la fiabilité de vos rotations ?</w:t>
      </w:r>
      <w:r>
        <w:rPr>
          <w:i/>
          <w:color w:val="555555"/>
          <w:sz w:val="18"/>
        </w:rPr>
        <w:t xml:space="preserve">  [QS2/P2]</w:t>
      </w:r>
    </w:p>
    <w:p>
      <w:pPr>
        <w:spacing w:after="140"/>
        <w:ind w:left="520"/>
        <w:jc w:val="both"/>
      </w:pPr>
      <w:r>
        <w:rPr>
          <w:b/>
          <w:i/>
          <w:color w:val="1B6B3A"/>
          <w:sz w:val="19"/>
        </w:rPr>
        <w:t xml:space="preserve">↪ Relances : </w:t>
      </w:r>
      <w:r>
        <w:rPr>
          <w:i/>
          <w:color w:val="555555"/>
          <w:sz w:val="19"/>
        </w:rPr>
        <w:t>Saisonnalité / étiage ; dragage ; incidents ; assurances.</w:t>
      </w:r>
    </w:p>
    <w:p>
      <w:pPr>
        <w:spacing w:after="100"/>
        <w:ind w:left="200"/>
        <w:jc w:val="both"/>
      </w:pPr>
      <w:r>
        <w:rPr>
          <w:b/>
          <w:color w:val="1F3B73"/>
        </w:rPr>
        <w:t xml:space="preserve">Q6. </w:t>
      </w:r>
      <w:r>
        <w:t>Comment vos opérations s'articulent-elles avec les autres modes (route, rail) et avec le port de Kinshasa en face ?</w:t>
      </w:r>
      <w:r>
        <w:rPr>
          <w:i/>
          <w:color w:val="555555"/>
          <w:sz w:val="18"/>
        </w:rPr>
        <w:t xml:space="preserve">  [QS2/P2]</w:t>
      </w:r>
    </w:p>
    <w:p>
      <w:pPr>
        <w:spacing w:after="100"/>
        <w:ind w:left="200"/>
        <w:jc w:val="both"/>
      </w:pPr>
      <w:r>
        <w:rPr>
          <w:b/>
          <w:color w:val="1F3B73"/>
        </w:rPr>
        <w:t xml:space="preserve">Q7. </w:t>
      </w:r>
      <w:r>
        <w:t>Le corridor Brazzaville–Bangui / Brazzaville–Kinshasa fonctionne-t-il comme un vrai corridor organisé, ou comme une suite de tronçons ? Pourquoi ?</w:t>
      </w:r>
      <w:r>
        <w:rPr>
          <w:i/>
          <w:color w:val="555555"/>
          <w:sz w:val="18"/>
        </w:rPr>
        <w:t xml:space="preserve">  [QS2/P2]</w:t>
      </w:r>
    </w:p>
    <w:p>
      <w:pPr>
        <w:pStyle w:val="Heading3"/>
      </w:pPr>
      <w:r>
        <w:rPr>
          <w:b/>
          <w:color w:val="1F3B73"/>
          <w:sz w:val="22"/>
        </w:rPr>
        <w:t>Bloc 3 — Gouvernance (QS2 / EC)</w:t>
      </w:r>
    </w:p>
    <w:p>
      <w:pPr>
        <w:spacing w:after="100"/>
        <w:ind w:left="200"/>
        <w:jc w:val="both"/>
      </w:pPr>
      <w:r>
        <w:rPr>
          <w:b/>
          <w:color w:val="1F3B73"/>
        </w:rPr>
        <w:t xml:space="preserve">Q8. </w:t>
      </w:r>
      <w:r>
        <w:t>Quelles administrations rencontrez-vous le long du fleuve et au port, et comment cela affecte-t-il vos coûts et délais ?</w:t>
      </w:r>
      <w:r>
        <w:rPr>
          <w:i/>
          <w:color w:val="555555"/>
          <w:sz w:val="18"/>
        </w:rPr>
        <w:t xml:space="preserve">  [QS2/EC]</w:t>
      </w:r>
    </w:p>
    <w:p>
      <w:pPr>
        <w:spacing w:after="100"/>
        <w:ind w:left="200"/>
        <w:jc w:val="both"/>
      </w:pPr>
      <w:r>
        <w:rPr>
          <w:b/>
          <w:color w:val="1F3B73"/>
        </w:rPr>
        <w:t xml:space="preserve">Q9. </w:t>
      </w:r>
      <w:r>
        <w:t>Qu'est-ce qui devrait changer en priorité — au port, ou en dehors du port — pour développer le trafic fluvial ?</w:t>
      </w:r>
      <w:r>
        <w:rPr>
          <w:i/>
          <w:color w:val="555555"/>
          <w:sz w:val="18"/>
        </w:rPr>
        <w:t xml:space="preserve">  [EC]</w:t>
      </w:r>
    </w:p>
    <w:p>
      <w:pPr>
        <w:pStyle w:val="Heading3"/>
      </w:pPr>
      <w:r>
        <w:rPr>
          <w:b/>
          <w:color w:val="1F3B73"/>
          <w:sz w:val="22"/>
        </w:rPr>
        <w:t>Bloc 4 — Clôture</w:t>
      </w:r>
    </w:p>
    <w:p>
      <w:pPr>
        <w:spacing w:after="100"/>
        <w:ind w:left="200"/>
        <w:jc w:val="both"/>
      </w:pPr>
      <w:r>
        <w:rPr>
          <w:b/>
          <w:color w:val="1F3B73"/>
        </w:rPr>
        <w:t xml:space="preserve">Q10. </w:t>
      </w:r>
      <w:r>
        <w:t>Si les conditions s'amélioraient, augmenteriez-vous vos rotations sur Brazzaville ? Qu'est-ce qui déclencherait cette décision ?</w:t>
      </w:r>
      <w:r>
        <w:rPr>
          <w:i/>
          <w:color w:val="555555"/>
          <w:sz w:val="18"/>
        </w:rPr>
        <w:t xml:space="preserve">  [QS1+QS2]</w:t>
      </w:r>
    </w:p>
    <w:p>
      <w:pPr>
        <w:spacing w:after="100"/>
        <w:ind w:left="200"/>
        <w:jc w:val="both"/>
      </w:pPr>
      <w:r>
        <w:rPr>
          <w:b/>
          <w:color w:val="1F3B73"/>
        </w:rPr>
        <w:t xml:space="preserve">Q11. </w:t>
      </w:r>
      <w:r>
        <w:t>Un sujet que nous n'avons pas abordé ?</w:t>
      </w:r>
    </w:p>
    <w:p>
      <w:pPr>
        <w:pStyle w:val="Heading2"/>
      </w:pPr>
      <w:r>
        <w:rPr>
          <w:b/>
          <w:color w:val="1F3B73"/>
          <w:sz w:val="24"/>
        </w:rPr>
        <w:t>Guide E — Institutions et régulation (douanes, ministères, GUOT, CICOS, collectivités)</w:t>
      </w:r>
    </w:p>
    <w:p>
      <w:pPr>
        <w:pStyle w:val="Heading3"/>
      </w:pPr>
      <w:r>
        <w:rPr>
          <w:b/>
          <w:color w:val="1F3B73"/>
          <w:sz w:val="22"/>
        </w:rPr>
        <w:t>Bloc 0 — Ouverture</w:t>
      </w:r>
    </w:p>
    <w:p>
      <w:pPr>
        <w:spacing w:after="100"/>
        <w:ind w:left="200"/>
        <w:jc w:val="both"/>
      </w:pPr>
      <w:r>
        <w:rPr>
          <w:b/>
          <w:color w:val="1F3B73"/>
        </w:rPr>
        <w:t xml:space="preserve">Q1. </w:t>
      </w:r>
      <w:r>
        <w:t>Pouvez-vous décrire le rôle de votre institution vis-à-vis du port et des flux qui y transitent ?</w:t>
      </w:r>
    </w:p>
    <w:p>
      <w:pPr>
        <w:pStyle w:val="Heading3"/>
      </w:pPr>
      <w:r>
        <w:rPr>
          <w:b/>
          <w:color w:val="1F3B73"/>
          <w:sz w:val="22"/>
        </w:rPr>
        <w:t>Bloc 1 — Attractivité (QS1 / P1)</w:t>
      </w:r>
    </w:p>
    <w:p>
      <w:pPr>
        <w:spacing w:after="100"/>
        <w:ind w:left="200"/>
        <w:jc w:val="both"/>
      </w:pPr>
      <w:r>
        <w:rPr>
          <w:b/>
          <w:color w:val="1F3B73"/>
        </w:rPr>
        <w:t xml:space="preserve">Q2. </w:t>
      </w:r>
      <w:r>
        <w:t>De votre point de vue institutionnel, qu'est-ce qui rend aujourd'hui le Port de Brazzaville attractif ou non pour les opérateurs économiques ?</w:t>
      </w:r>
      <w:r>
        <w:rPr>
          <w:i/>
          <w:color w:val="555555"/>
          <w:sz w:val="18"/>
        </w:rPr>
        <w:t xml:space="preserve">  [QS1/P1]</w:t>
      </w:r>
    </w:p>
    <w:p>
      <w:pPr>
        <w:spacing w:after="100"/>
        <w:ind w:left="200"/>
        <w:jc w:val="both"/>
      </w:pPr>
      <w:r>
        <w:rPr>
          <w:b/>
          <w:color w:val="1F3B73"/>
        </w:rPr>
        <w:t xml:space="preserve">Q3. </w:t>
      </w:r>
      <w:r>
        <w:t>Où en est la dématérialisation des procédures (douane, guichet unique) ? Qu'est-ce qui bloque encore ?</w:t>
      </w:r>
      <w:r>
        <w:rPr>
          <w:i/>
          <w:color w:val="555555"/>
          <w:sz w:val="18"/>
        </w:rPr>
        <w:t xml:space="preserve">  [QS1/P1]</w:t>
      </w:r>
    </w:p>
    <w:p>
      <w:pPr>
        <w:spacing w:after="140"/>
        <w:ind w:left="520"/>
        <w:jc w:val="both"/>
      </w:pPr>
      <w:r>
        <w:rPr>
          <w:b/>
          <w:i/>
          <w:color w:val="1B6B3A"/>
          <w:sz w:val="19"/>
        </w:rPr>
        <w:t xml:space="preserve">↪ Relances : </w:t>
      </w:r>
      <w:r>
        <w:rPr>
          <w:i/>
          <w:color w:val="555555"/>
          <w:sz w:val="19"/>
        </w:rPr>
        <w:t>Interconnexions entre systèmes ; délais de dédouanement ; statistiques disponibles.</w:t>
      </w:r>
    </w:p>
    <w:p>
      <w:pPr>
        <w:pStyle w:val="Heading3"/>
      </w:pPr>
      <w:r>
        <w:rPr>
          <w:b/>
          <w:color w:val="1F3B73"/>
          <w:sz w:val="22"/>
        </w:rPr>
        <w:t>Bloc 2 — Intégration logistique (QS2 / P2)</w:t>
      </w:r>
    </w:p>
    <w:p>
      <w:pPr>
        <w:spacing w:after="100"/>
        <w:ind w:left="200"/>
        <w:jc w:val="both"/>
      </w:pPr>
      <w:r>
        <w:rPr>
          <w:b/>
          <w:color w:val="1F3B73"/>
        </w:rPr>
        <w:t xml:space="preserve">Q4. </w:t>
      </w:r>
      <w:r>
        <w:t>Comment votre institution contribue-t-elle à la fluidité du corridor Congo–RDC–RCA ? Quels sont les points durs identifiés ?</w:t>
      </w:r>
      <w:r>
        <w:rPr>
          <w:i/>
          <w:color w:val="555555"/>
          <w:sz w:val="18"/>
        </w:rPr>
        <w:t xml:space="preserve">  [QS2/P2]</w:t>
      </w:r>
    </w:p>
    <w:p>
      <w:pPr>
        <w:spacing w:after="100"/>
        <w:ind w:left="200"/>
        <w:jc w:val="both"/>
      </w:pPr>
      <w:r>
        <w:rPr>
          <w:b/>
          <w:color w:val="1F3B73"/>
        </w:rPr>
        <w:t xml:space="preserve">Q5. </w:t>
      </w:r>
      <w:r>
        <w:t>Existe-t-il des mécanismes formels de coordination entre les acteurs du corridor (comités, accords bilatéraux, harmonisation) ? Fonctionnent-ils ?</w:t>
      </w:r>
      <w:r>
        <w:rPr>
          <w:i/>
          <w:color w:val="555555"/>
          <w:sz w:val="18"/>
        </w:rPr>
        <w:t xml:space="preserve">  [QS2/P2]</w:t>
      </w:r>
    </w:p>
    <w:p>
      <w:pPr>
        <w:pStyle w:val="Heading3"/>
      </w:pPr>
      <w:r>
        <w:rPr>
          <w:b/>
          <w:color w:val="1F3B73"/>
          <w:sz w:val="22"/>
        </w:rPr>
        <w:t>Bloc 3 — Gouvernance et politiques publiques (QS2 / EC)</w:t>
      </w:r>
    </w:p>
    <w:p>
      <w:pPr>
        <w:spacing w:after="100"/>
        <w:ind w:left="200"/>
        <w:jc w:val="both"/>
      </w:pPr>
      <w:r>
        <w:rPr>
          <w:b/>
          <w:color w:val="1F3B73"/>
        </w:rPr>
        <w:t xml:space="preserve">Q6. </w:t>
      </w:r>
      <w:r>
        <w:t>Comment décririez-vous la gouvernance d'ensemble du port : qui décide de quoi, et cette répartition est-elle efficace ?</w:t>
      </w:r>
      <w:r>
        <w:rPr>
          <w:i/>
          <w:color w:val="555555"/>
          <w:sz w:val="18"/>
        </w:rPr>
        <w:t xml:space="preserve">  [QS2/EC]</w:t>
      </w:r>
    </w:p>
    <w:p>
      <w:pPr>
        <w:spacing w:after="100"/>
        <w:ind w:left="200"/>
        <w:jc w:val="both"/>
      </w:pPr>
      <w:r>
        <w:rPr>
          <w:b/>
          <w:color w:val="1F3B73"/>
        </w:rPr>
        <w:t xml:space="preserve">Q7. </w:t>
      </w:r>
      <w:r>
        <w:t>Quelles politiques publiques récentes ou en cours (investissements, réformes, projets régionaux comme le projet Banque mondiale sur les voies navigables) vont transformer la donne ? Avec quelles conditions de réussite ?</w:t>
      </w:r>
      <w:r>
        <w:rPr>
          <w:i/>
          <w:color w:val="555555"/>
          <w:sz w:val="18"/>
        </w:rPr>
        <w:t xml:space="preserve">  [EC]</w:t>
      </w:r>
    </w:p>
    <w:p>
      <w:pPr>
        <w:spacing w:after="140"/>
        <w:ind w:left="520"/>
        <w:jc w:val="both"/>
      </w:pPr>
      <w:r>
        <w:rPr>
          <w:b/>
          <w:i/>
          <w:color w:val="1B6B3A"/>
          <w:sz w:val="19"/>
        </w:rPr>
        <w:t xml:space="preserve">↪ Relances : </w:t>
      </w:r>
      <w:r>
        <w:rPr>
          <w:i/>
          <w:color w:val="555555"/>
          <w:sz w:val="19"/>
        </w:rPr>
        <w:t>Question clé pour l'explication concurrente — le positionnement dépend-il d'abord des politiques publiques ?</w:t>
      </w:r>
    </w:p>
    <w:p>
      <w:pPr>
        <w:spacing w:after="100"/>
        <w:ind w:left="200"/>
        <w:jc w:val="both"/>
      </w:pPr>
      <w:r>
        <w:rPr>
          <w:b/>
          <w:color w:val="1F3B73"/>
        </w:rPr>
        <w:t xml:space="preserve">Q8. </w:t>
      </w:r>
      <w:r>
        <w:t>En cas de choc majeur (étiage sévère, crise régionale), quels dispositifs permettent d'assurer la continuité des flux ?</w:t>
      </w:r>
      <w:r>
        <w:rPr>
          <w:i/>
          <w:color w:val="555555"/>
          <w:sz w:val="18"/>
        </w:rPr>
        <w:t xml:space="preserve">  [QS2/P2]</w:t>
      </w:r>
    </w:p>
    <w:p>
      <w:pPr>
        <w:pStyle w:val="Heading3"/>
      </w:pPr>
      <w:r>
        <w:rPr>
          <w:b/>
          <w:color w:val="1F3B73"/>
          <w:sz w:val="22"/>
        </w:rPr>
        <w:t>Bloc 4 — Clôture</w:t>
      </w:r>
    </w:p>
    <w:p>
      <w:pPr>
        <w:spacing w:after="100"/>
        <w:ind w:left="200"/>
        <w:jc w:val="both"/>
      </w:pPr>
      <w:r>
        <w:rPr>
          <w:b/>
          <w:color w:val="1F3B73"/>
        </w:rPr>
        <w:t xml:space="preserve">Q9. </w:t>
      </w:r>
      <w:r>
        <w:t>Quelle est, selon vous, la responsabilité respective du port lui-même et de l'environnement institutionnel dans sa position actuelle ?</w:t>
      </w:r>
      <w:r>
        <w:rPr>
          <w:i/>
          <w:color w:val="555555"/>
          <w:sz w:val="18"/>
        </w:rPr>
        <w:t xml:space="preserve">  [EC]</w:t>
      </w:r>
    </w:p>
    <w:p>
      <w:pPr>
        <w:spacing w:after="100"/>
        <w:ind w:left="200"/>
        <w:jc w:val="both"/>
      </w:pPr>
      <w:r>
        <w:rPr>
          <w:b/>
          <w:color w:val="1F3B73"/>
        </w:rPr>
        <w:t xml:space="preserve">Q10. </w:t>
      </w:r>
      <w:r>
        <w:t>Un sujet que nous n'avons pas abordé ?</w:t>
      </w:r>
    </w:p>
    <w:p/>
    <w:p>
      <w:pPr>
        <w:pStyle w:val="Heading1"/>
      </w:pPr>
      <w:r>
        <w:rPr>
          <w:b/>
          <w:color w:val="1F3B73"/>
          <w:sz w:val="28"/>
        </w:rPr>
        <w:t>IV. Matrice de correspondance questions d'entretien ↔ questions de recherche</w:t>
      </w:r>
    </w:p>
    <w:p>
      <w:pPr>
        <w:spacing w:after="120"/>
        <w:jc w:val="both"/>
      </w:pPr>
      <w:r>
        <w:rPr>
          <w:b w:val="0"/>
          <w:i w:val="0"/>
          <w:color w:val="555555"/>
          <w:sz w:val="20"/>
        </w:rPr>
        <w:t>Cette matrice, à joindre en annexe de la thèse, démontre au jury que chaque proposition est instruite par plusieurs sources — condition de la triangulation (Denzin, 1978).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73"/>
          </w:tcPr>
          <w:p>
            <w:r/>
            <w:r>
              <w:rPr>
                <w:b/>
                <w:color w:val="FFFFFF"/>
                <w:sz w:val="18"/>
              </w:rPr>
              <w:t>Objet instruit</w:t>
            </w:r>
          </w:p>
        </w:tc>
        <w:tc>
          <w:tcPr>
            <w:tcW w:type="dxa" w:w="2160"/>
            <w:shd w:val="clear" w:color="auto" w:fill="1F3B73"/>
          </w:tcPr>
          <w:p>
            <w:r/>
            <w:r>
              <w:rPr>
                <w:b/>
                <w:color w:val="FFFFFF"/>
                <w:sz w:val="18"/>
              </w:rPr>
              <w:t>Guide A (port)</w:t>
            </w:r>
          </w:p>
        </w:tc>
        <w:tc>
          <w:tcPr>
            <w:tcW w:type="dxa" w:w="2160"/>
            <w:shd w:val="clear" w:color="auto" w:fill="1F3B73"/>
          </w:tcPr>
          <w:p>
            <w:r/>
            <w:r>
              <w:rPr>
                <w:b/>
                <w:color w:val="FFFFFF"/>
                <w:sz w:val="18"/>
              </w:rPr>
              <w:t>Guides B–C–D (opérateurs/usagers)</w:t>
            </w:r>
          </w:p>
        </w:tc>
        <w:tc>
          <w:tcPr>
            <w:tcW w:type="dxa" w:w="2160"/>
            <w:shd w:val="clear" w:color="auto" w:fill="1F3B73"/>
          </w:tcPr>
          <w:p>
            <w:r/>
            <w:r>
              <w:rPr>
                <w:b/>
                <w:color w:val="FFFFFF"/>
                <w:sz w:val="18"/>
              </w:rPr>
              <w:t>Guide E (institutions)</w:t>
            </w:r>
          </w:p>
        </w:tc>
      </w:tr>
      <w:tr>
        <w:tc>
          <w:tcPr>
            <w:tcW w:type="dxa" w:w="2160"/>
          </w:tcPr>
          <w:p>
            <w:r/>
            <w:r>
              <w:rPr>
                <w:b/>
                <w:color w:val="1F3B73"/>
                <w:sz w:val="18"/>
              </w:rPr>
              <w:t>QS1 / P1 — manutention</w:t>
            </w:r>
          </w:p>
        </w:tc>
        <w:tc>
          <w:tcPr>
            <w:tcW w:type="dxa" w:w="2160"/>
          </w:tcPr>
          <w:p>
            <w:r/>
            <w:r>
              <w:rPr>
                <w:sz w:val="18"/>
              </w:rPr>
              <w:t>Q3</w:t>
            </w:r>
          </w:p>
        </w:tc>
        <w:tc>
          <w:tcPr>
            <w:tcW w:type="dxa" w:w="2160"/>
          </w:tcPr>
          <w:p>
            <w:r/>
            <w:r>
              <w:rPr>
                <w:sz w:val="18"/>
              </w:rPr>
              <w:t>B: Q2-Q3, Q6 ; C: Q3-Q4 ; D: Q2-Q3</w:t>
            </w:r>
          </w:p>
        </w:tc>
        <w:tc>
          <w:tcPr>
            <w:tcW w:type="dxa" w:w="2160"/>
          </w:tcPr>
          <w:p>
            <w:r/>
            <w:r>
              <w:rPr>
                <w:sz w:val="18"/>
              </w:rPr>
              <w:t>Q2</w:t>
            </w:r>
          </w:p>
        </w:tc>
      </w:tr>
      <w:tr>
        <w:tc>
          <w:tcPr>
            <w:tcW w:type="dxa" w:w="2160"/>
          </w:tcPr>
          <w:p>
            <w:r/>
            <w:r>
              <w:rPr>
                <w:b/>
                <w:color w:val="1F3B73"/>
                <w:sz w:val="18"/>
              </w:rPr>
              <w:t>QS1 / P1 — TIC / information</w:t>
            </w:r>
          </w:p>
        </w:tc>
        <w:tc>
          <w:tcPr>
            <w:tcW w:type="dxa" w:w="2160"/>
          </w:tcPr>
          <w:p>
            <w:r/>
            <w:r>
              <w:rPr>
                <w:sz w:val="18"/>
              </w:rPr>
              <w:t>Q4</w:t>
            </w:r>
          </w:p>
        </w:tc>
        <w:tc>
          <w:tcPr>
            <w:tcW w:type="dxa" w:w="2160"/>
          </w:tcPr>
          <w:p>
            <w:r/>
            <w:r>
              <w:rPr>
                <w:sz w:val="18"/>
              </w:rPr>
              <w:t>B: Q4 ; C: Q5 ; D: Q4</w:t>
            </w:r>
          </w:p>
        </w:tc>
        <w:tc>
          <w:tcPr>
            <w:tcW w:type="dxa" w:w="2160"/>
          </w:tcPr>
          <w:p>
            <w:r/>
            <w:r>
              <w:rPr>
                <w:sz w:val="18"/>
              </w:rPr>
              <w:t>Q3</w:t>
            </w:r>
          </w:p>
        </w:tc>
      </w:tr>
      <w:tr>
        <w:tc>
          <w:tcPr>
            <w:tcW w:type="dxa" w:w="2160"/>
          </w:tcPr>
          <w:p>
            <w:r/>
            <w:r>
              <w:rPr>
                <w:b/>
                <w:color w:val="1F3B73"/>
                <w:sz w:val="18"/>
              </w:rPr>
              <w:t>QS1 / P1 — coûts</w:t>
            </w:r>
          </w:p>
        </w:tc>
        <w:tc>
          <w:tcPr>
            <w:tcW w:type="dxa" w:w="2160"/>
          </w:tcPr>
          <w:p>
            <w:r/>
            <w:r>
              <w:rPr>
                <w:sz w:val="18"/>
              </w:rPr>
              <w:t>Q5</w:t>
            </w:r>
          </w:p>
        </w:tc>
        <w:tc>
          <w:tcPr>
            <w:tcW w:type="dxa" w:w="2160"/>
          </w:tcPr>
          <w:p>
            <w:r/>
            <w:r>
              <w:rPr>
                <w:sz w:val="18"/>
              </w:rPr>
              <w:t>B: Q5 ; C: Q6 ; D: Q2-Q3</w:t>
            </w:r>
          </w:p>
        </w:tc>
        <w:tc>
          <w:tcPr>
            <w:tcW w:type="dxa" w:w="2160"/>
          </w:tcPr>
          <w:p>
            <w:r/>
            <w:r>
              <w:rPr>
                <w:sz w:val="18"/>
              </w:rPr>
              <w:t>Q2</w:t>
            </w:r>
          </w:p>
        </w:tc>
      </w:tr>
      <w:tr>
        <w:tc>
          <w:tcPr>
            <w:tcW w:type="dxa" w:w="2160"/>
          </w:tcPr>
          <w:p>
            <w:r/>
            <w:r>
              <w:rPr>
                <w:b/>
                <w:color w:val="1F3B73"/>
                <w:sz w:val="18"/>
              </w:rPr>
              <w:t>QS2 / P2 — intégration intermodale</w:t>
            </w:r>
          </w:p>
        </w:tc>
        <w:tc>
          <w:tcPr>
            <w:tcW w:type="dxa" w:w="2160"/>
          </w:tcPr>
          <w:p>
            <w:r/>
            <w:r>
              <w:rPr>
                <w:sz w:val="18"/>
              </w:rPr>
              <w:t>Q6-Q7</w:t>
            </w:r>
          </w:p>
        </w:tc>
        <w:tc>
          <w:tcPr>
            <w:tcW w:type="dxa" w:w="2160"/>
          </w:tcPr>
          <w:p>
            <w:r/>
            <w:r>
              <w:rPr>
                <w:sz w:val="18"/>
              </w:rPr>
              <w:t>B: Q7 ; C: Q7-Q8 ; D: Q5-Q7</w:t>
            </w:r>
          </w:p>
        </w:tc>
        <w:tc>
          <w:tcPr>
            <w:tcW w:type="dxa" w:w="2160"/>
          </w:tcPr>
          <w:p>
            <w:r/>
            <w:r>
              <w:rPr>
                <w:sz w:val="18"/>
              </w:rPr>
              <w:t>Q4-Q5</w:t>
            </w:r>
          </w:p>
        </w:tc>
      </w:tr>
      <w:tr>
        <w:tc>
          <w:tcPr>
            <w:tcW w:type="dxa" w:w="2160"/>
          </w:tcPr>
          <w:p>
            <w:r/>
            <w:r>
              <w:rPr>
                <w:b/>
                <w:color w:val="1F3B73"/>
                <w:sz w:val="18"/>
              </w:rPr>
              <w:t>QS2 / P2 — gouvernance / résilience</w:t>
            </w:r>
          </w:p>
        </w:tc>
        <w:tc>
          <w:tcPr>
            <w:tcW w:type="dxa" w:w="2160"/>
          </w:tcPr>
          <w:p>
            <w:r/>
            <w:r>
              <w:rPr>
                <w:sz w:val="18"/>
              </w:rPr>
              <w:t>Q8-Q10</w:t>
            </w:r>
          </w:p>
        </w:tc>
        <w:tc>
          <w:tcPr>
            <w:tcW w:type="dxa" w:w="2160"/>
          </w:tcPr>
          <w:p>
            <w:r/>
            <w:r>
              <w:rPr>
                <w:sz w:val="18"/>
              </w:rPr>
              <w:t>B: Q8 ; C: Q9 ; D: Q8</w:t>
            </w:r>
          </w:p>
        </w:tc>
        <w:tc>
          <w:tcPr>
            <w:tcW w:type="dxa" w:w="2160"/>
          </w:tcPr>
          <w:p>
            <w:r/>
            <w:r>
              <w:rPr>
                <w:sz w:val="18"/>
              </w:rPr>
              <w:t>Q6, Q8</w:t>
            </w:r>
          </w:p>
        </w:tc>
      </w:tr>
      <w:tr>
        <w:tc>
          <w:tcPr>
            <w:tcW w:type="dxa" w:w="2160"/>
          </w:tcPr>
          <w:p>
            <w:r/>
            <w:r>
              <w:rPr>
                <w:b/>
                <w:color w:val="1F3B73"/>
                <w:sz w:val="18"/>
              </w:rPr>
              <w:t>Explication concurrente (EC)</w:t>
            </w:r>
          </w:p>
        </w:tc>
        <w:tc>
          <w:tcPr>
            <w:tcW w:type="dxa" w:w="2160"/>
          </w:tcPr>
          <w:p>
            <w:r/>
            <w:r>
              <w:rPr>
                <w:sz w:val="18"/>
              </w:rPr>
              <w:t>Q9</w:t>
            </w:r>
          </w:p>
        </w:tc>
        <w:tc>
          <w:tcPr>
            <w:tcW w:type="dxa" w:w="2160"/>
          </w:tcPr>
          <w:p>
            <w:r/>
            <w:r>
              <w:rPr>
                <w:sz w:val="18"/>
              </w:rPr>
              <w:t>C: Q10 ; D: Q9</w:t>
            </w:r>
          </w:p>
        </w:tc>
        <w:tc>
          <w:tcPr>
            <w:tcW w:type="dxa" w:w="2160"/>
          </w:tcPr>
          <w:p>
            <w:r/>
            <w:r>
              <w:rPr>
                <w:sz w:val="18"/>
              </w:rPr>
              <w:t>Q7, Q9</w:t>
            </w:r>
          </w:p>
        </w:tc>
      </w:tr>
      <w:tr>
        <w:tc>
          <w:tcPr>
            <w:tcW w:type="dxa" w:w="2160"/>
          </w:tcPr>
          <w:p>
            <w:r/>
            <w:r>
              <w:rPr>
                <w:b/>
                <w:color w:val="1F3B73"/>
                <w:sz w:val="18"/>
              </w:rPr>
              <w:t>Positionnement comparé</w:t>
            </w:r>
          </w:p>
        </w:tc>
        <w:tc>
          <w:tcPr>
            <w:tcW w:type="dxa" w:w="2160"/>
          </w:tcPr>
          <w:p>
            <w:r/>
            <w:r>
              <w:rPr>
                <w:sz w:val="18"/>
              </w:rPr>
              <w:t>Q11-Q12</w:t>
            </w:r>
          </w:p>
        </w:tc>
        <w:tc>
          <w:tcPr>
            <w:tcW w:type="dxa" w:w="2160"/>
          </w:tcPr>
          <w:p>
            <w:r/>
            <w:r>
              <w:rPr>
                <w:sz w:val="18"/>
              </w:rPr>
              <w:t>B: Q9 ; C: Q11 ; D: Q10</w:t>
            </w:r>
          </w:p>
        </w:tc>
        <w:tc>
          <w:tcPr>
            <w:tcW w:type="dxa" w:w="2160"/>
          </w:tcPr>
          <w:p>
            <w:r/>
            <w:r>
              <w:rPr>
                <w:sz w:val="18"/>
              </w:rPr>
              <w:t>—</w:t>
            </w:r>
          </w:p>
        </w:tc>
      </w:tr>
    </w:tbl>
    <w:p/>
    <w:p>
      <w:pPr>
        <w:pStyle w:val="Heading1"/>
      </w:pPr>
      <w:r>
        <w:rPr>
          <w:b/>
          <w:color w:val="1F3B73"/>
          <w:sz w:val="28"/>
        </w:rPr>
        <w:t>V. Précautions déontologiques et bonnes pratiques de passation</w:t>
      </w:r>
    </w:p>
    <w:p>
      <w:pPr>
        <w:pStyle w:val="ListBullet"/>
        <w:jc w:val="both"/>
      </w:pPr>
      <w:r>
        <w:rPr>
          <w:b/>
        </w:rPr>
        <w:t xml:space="preserve">Consentement éclairé : </w:t>
      </w:r>
      <w:r>
        <w:t>faire signer un formulaire précisant l'objet de la recherche, la confidentialité, l'anonymisation, le droit de retrait et l'usage strictement académique des données.</w:t>
      </w:r>
    </w:p>
    <w:p>
      <w:pPr>
        <w:pStyle w:val="ListBullet"/>
        <w:jc w:val="both"/>
      </w:pPr>
      <w:r>
        <w:rPr>
          <w:b/>
        </w:rPr>
        <w:t xml:space="preserve">Questions sensibles : </w:t>
      </w:r>
      <w:r>
        <w:t>certaines questions (coûts informels, blocages administratifs) sont sensibles ; les poser en fin de bloc, sur un ton factuel, et garantir explicitement l'anonymat. Ne jamais demander de mise en cause nominative.</w:t>
      </w:r>
    </w:p>
    <w:p>
      <w:pPr>
        <w:pStyle w:val="ListBullet"/>
        <w:jc w:val="both"/>
      </w:pPr>
      <w:r>
        <w:rPr>
          <w:b/>
        </w:rPr>
        <w:t xml:space="preserve">Technique de passation : </w:t>
      </w:r>
      <w:r>
        <w:t>privilégier les questions ouvertes et les récits d'expérience (« racontez-moi la dernière fois où… ») plutôt que les opinions générales ; relancer sur les faits (dates, durées, montants).</w:t>
      </w:r>
    </w:p>
    <w:p>
      <w:pPr>
        <w:pStyle w:val="ListBullet"/>
        <w:jc w:val="both"/>
      </w:pPr>
      <w:r>
        <w:rPr>
          <w:b/>
        </w:rPr>
        <w:t xml:space="preserve">Retranscription : </w:t>
      </w:r>
      <w:r>
        <w:t>retranscrire intégralement sous 72 heures ; consigner dans un journal de bord les conditions de l'entretien (lieu, climat, interruptions) pour contextualiser le codage.</w:t>
      </w:r>
    </w:p>
    <w:p>
      <w:pPr>
        <w:pStyle w:val="ListBullet"/>
        <w:jc w:val="both"/>
      </w:pPr>
      <w:r>
        <w:rPr>
          <w:b/>
        </w:rPr>
        <w:t xml:space="preserve">Validation : </w:t>
      </w:r>
      <w:r>
        <w:t>après retranscription, proposer au répondant de valider son verbatim (member checking, Lincoln et Guba, 1985) — renforce la crédibilité des résultats.</w:t>
      </w:r>
    </w:p>
    <w:p/>
    <w:p>
      <w:pPr>
        <w:pBdr>
          <w:bottom w:val="single" w:sz="6" w:space="1" w:color="1F3B73"/>
        </w:pBdr>
      </w:pPr>
    </w:p>
    <w:p>
      <w:pPr>
        <w:spacing w:after="120"/>
        <w:jc w:val="both"/>
      </w:pPr>
      <w:r>
        <w:rPr>
          <w:b w:val="0"/>
          <w:i/>
          <w:color w:val="555555"/>
          <w:sz w:val="18"/>
        </w:rPr>
        <w:t>Références méthodologiques citées : Glaser &amp; Strauss (1967) ; Denzin (1978) ; Lincoln &amp; Guba (1985) ; Guest, Bunce &amp; Johnson (2006) ; Romelaer (2005) ; Creswell (2013) ; Saunders &amp; Townsend (2016) ; Yin (2018) ; Braun &amp; Clarke (2006) ; Miles &amp; Huberman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