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2"/>
          <w:szCs w:val="2"/>
        </w:rPr>
        <w:t xml:space="preserve"> </w:t>
      </w:r>
    </w:p>
    <w:p>
      <w:pPr>
        <w:spacing w:after="0" w:before="300" w:line="340"/>
        <w:jc w:val="center"/>
      </w:pPr>
      <w:r>
        <w:rPr>
          <w:rFonts w:ascii="Calibri" w:cs="Calibri" w:eastAsia="Microsoft YaHei"/>
          <w:b/>
          <w:bCs/>
          <w:i w:val="false"/>
          <w:iCs w:val="false"/>
          <w:color w:val="1B2A4A"/>
          <w:spacing w:val="60"/>
          <w:sz w:val="36"/>
          <w:szCs w:val="36"/>
        </w:rPr>
        <w:t xml:space="preserve">CHARGÉ DE GROWTH MARKETING</w:t>
      </w:r>
    </w:p>
    <w:p>
      <w:pPr>
        <w:spacing w:after="40" w:before="0" w:line="340"/>
        <w:jc w:val="center"/>
      </w:pPr>
      <w:r>
        <w:rPr>
          <w:rFonts w:ascii="Calibri" w:cs="Calibri" w:eastAsia="Microsoft YaHei"/>
          <w:b/>
          <w:bCs/>
          <w:i w:val="false"/>
          <w:iCs w:val="false"/>
          <w:color w:val="1B2A4A"/>
          <w:spacing w:val="60"/>
          <w:sz w:val="36"/>
          <w:szCs w:val="36"/>
        </w:rPr>
        <w:t xml:space="preserve">&amp; PROSPECTION</w:t>
      </w:r>
    </w:p>
    <w:p>
      <w:pPr>
        <w:spacing w:after="60" w:before="60"/>
        <w:jc w:val="center"/>
      </w:pPr>
      <w:r>
        <w:rPr>
          <w:rFonts w:ascii="Calibri" w:cs="Calibri" w:eastAsia="Microsoft YaHei"/>
          <w:b w:val="false"/>
          <w:bCs w:val="false"/>
          <w:i w:val="false"/>
          <w:iCs w:val="false"/>
          <w:color w:val="C9A84C"/>
          <w:sz w:val="14"/>
          <w:szCs w:val="14"/>
        </w:rPr>
        <w:t xml:space="preserve">━━━━━━━━━━━━━━━━━━━━━━━━━━</w:t>
      </w:r>
    </w:p>
    <w:p>
      <w:pPr>
        <w:spacing w:after="0" w:before="40" w:line="300"/>
        <w:jc w:val="center"/>
      </w:pPr>
      <w:r>
        <w:rPr>
          <w:rFonts w:ascii="Calibri" w:cs="Calibri" w:eastAsia="Microsoft YaHei"/>
          <w:b/>
          <w:bCs/>
          <w:i w:val="false"/>
          <w:iCs w:val="false"/>
          <w:color w:val="2D3436"/>
          <w:spacing w:val="140"/>
          <w:sz w:val="26"/>
          <w:szCs w:val="26"/>
        </w:rPr>
        <w:t xml:space="preserve">ADOYI GADO MIFID</w:t>
      </w:r>
    </w:p>
    <w:p>
      <w:pPr>
        <w:spacing w:after="0" w:before="80" w:line="264"/>
        <w:jc w:val="center"/>
      </w:pPr>
      <w:r>
        <w:rPr>
          <w:rFonts w:ascii="Calibri" w:cs="Calibri" w:eastAsia="Microsoft YaHei"/>
          <w:b w:val="false"/>
          <w:bCs w:val="false"/>
          <w:i w:val="false"/>
          <w:iCs w:val="false"/>
          <w:color w:val="666666"/>
          <w:sz w:val="17"/>
          <w:szCs w:val="17"/>
        </w:rPr>
        <w:t xml:space="preserve">adoyimufid@gmail.com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C9A84C"/>
          <w:sz w:val="14"/>
          <w:szCs w:val="14"/>
        </w:rPr>
        <w:t xml:space="preserve">   |   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666666"/>
          <w:sz w:val="17"/>
          <w:szCs w:val="17"/>
        </w:rPr>
        <w:t xml:space="preserve">+228 91144385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C9A84C"/>
          <w:sz w:val="14"/>
          <w:szCs w:val="14"/>
        </w:rPr>
        <w:t xml:space="preserve">   |   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666666"/>
          <w:sz w:val="17"/>
          <w:szCs w:val="17"/>
        </w:rPr>
        <w:t xml:space="preserve">Lomé, Togo</w:t>
      </w:r>
    </w:p>
    <w:p>
      <w:pPr>
        <w:spacing w:after="0" w:before="20" w:line="264"/>
        <w:jc w:val="center"/>
      </w:pPr>
      <w:hyperlink w:history="1" r:id="rId6rjdkjfkor6ac9lwjp7ta">
        <w:r>
          <w:rPr>
            <w:rFonts w:ascii="Calibri" w:cs="Calibri" w:eastAsia="Microsoft YaHei"/>
            <w:b w:val="false"/>
            <w:bCs w:val="false"/>
            <w:i w:val="false"/>
            <w:iCs w:val="false"/>
            <w:color w:val="1B2A4A"/>
            <w:sz w:val="17"/>
            <w:szCs w:val="17"/>
            <w:u w:val="single" w:color="C9A84C"/>
          </w:rPr>
          <w:t xml:space="preserve">linkedin.com/in/adoyimifid</w:t>
        </w:r>
      </w:hyperlink>
    </w:p>
    <w:p>
      <w:pPr>
        <w:spacing w:after="0" w:before="120"/>
        <w:jc w:val="center"/>
      </w:pP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2"/>
          <w:szCs w:val="2"/>
        </w:rPr>
        <w:t xml:space="preserve"> </w:t>
      </w:r>
    </w:p>
    <w:p>
      <w:pPr>
        <w:spacing w:after="0" w:before="200" w:line="276"/>
        <w:jc w:val="center"/>
      </w:pPr>
      <w:r>
        <w:rPr>
          <w:rFonts w:ascii="Calibri" w:cs="Calibri" w:eastAsia="Microsoft YaHei"/>
          <w:b/>
          <w:bCs/>
          <w:color w:val="1B2A4A"/>
          <w:spacing w:val="100"/>
          <w:sz w:val="22"/>
          <w:szCs w:val="22"/>
        </w:rPr>
        <w:t xml:space="preserve">PROFIL</w:t>
      </w:r>
    </w:p>
    <w:p>
      <w:pPr>
        <w:spacing w:after="140" w:before="60"/>
        <w:jc w:val="center"/>
      </w:pPr>
      <w:r>
        <w:rPr>
          <w:rFonts w:ascii="Calibri" w:cs="Calibri" w:eastAsia="Microsoft YaHei"/>
          <w:b w:val="false"/>
          <w:bCs w:val="false"/>
          <w:i w:val="false"/>
          <w:iCs w:val="false"/>
          <w:color w:val="C9A84C"/>
          <w:sz w:val="20"/>
          <w:szCs w:val="20"/>
        </w:rPr>
        <w:t xml:space="preserve">—  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C9A84C"/>
          <w:sz w:val="14"/>
          <w:szCs w:val="14"/>
        </w:rPr>
        <w:t xml:space="preserve">◆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C9A84C"/>
          <w:sz w:val="20"/>
          <w:szCs w:val="20"/>
        </w:rPr>
        <w:t xml:space="preserve">  —</w:t>
      </w:r>
    </w:p>
    <w:p>
      <w:pPr>
        <w:spacing w:after="40" w:before="0" w:line="280"/>
        <w:jc w:val="center"/>
      </w:pPr>
      <w:r>
        <w:rPr>
          <w:rFonts w:ascii="Calibri" w:cs="Calibri" w:eastAsia="Microsoft YaHei"/>
          <w:b w:val="false"/>
          <w:bCs w:val="false"/>
          <w:i/>
          <w:iCs/>
          <w:color w:val="333333"/>
          <w:sz w:val="19"/>
          <w:szCs w:val="19"/>
        </w:rPr>
        <w:t xml:space="preserve">Spécialiste de l'acquisition et du développement commercial avec plus de 3 ans d'expérience en environnement à forte croissance (startup, réseaux internationaux). Expert dans la traduction d'objectifs stratégiques en campagnes d'acquisition percutantes (0 → 800+ utilisateurs) et en prospection B2B. Au cours de mes expériences AIESEC, j'ai réussi à mobiliser plus de 3 000 000 FCFA en sponsoring pour des activités de jeunes. Doté d'une forte autonomie et orienté données.</w:t>
      </w:r>
    </w:p>
    <w:p>
      <w:pPr>
        <w:spacing w:after="0" w:before="200" w:line="276"/>
        <w:jc w:val="center"/>
      </w:pPr>
      <w:r>
        <w:rPr>
          <w:rFonts w:ascii="Calibri" w:cs="Calibri" w:eastAsia="Microsoft YaHei"/>
          <w:b/>
          <w:bCs/>
          <w:color w:val="1B2A4A"/>
          <w:spacing w:val="100"/>
          <w:sz w:val="22"/>
          <w:szCs w:val="22"/>
        </w:rPr>
        <w:t xml:space="preserve">EXPÉRIENCE PROFESSIONNELLE</w:t>
      </w:r>
    </w:p>
    <w:p>
      <w:pPr>
        <w:spacing w:after="140" w:before="60"/>
        <w:jc w:val="center"/>
      </w:pPr>
      <w:r>
        <w:rPr>
          <w:rFonts w:ascii="Calibri" w:cs="Calibri" w:eastAsia="Microsoft YaHei"/>
          <w:b w:val="false"/>
          <w:bCs w:val="false"/>
          <w:i w:val="false"/>
          <w:iCs w:val="false"/>
          <w:color w:val="C9A84C"/>
          <w:sz w:val="20"/>
          <w:szCs w:val="20"/>
        </w:rPr>
        <w:t xml:space="preserve">—  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C9A84C"/>
          <w:sz w:val="14"/>
          <w:szCs w:val="14"/>
        </w:rPr>
        <w:t xml:space="preserve">◆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C9A84C"/>
          <w:sz w:val="20"/>
          <w:szCs w:val="20"/>
        </w:rPr>
        <w:t xml:space="preserve">  —</w:t>
      </w:r>
    </w:p>
    <w:p>
      <w:pPr>
        <w:tabs>
          <w:tab w:val="right" w:pos="5900"/>
        </w:tabs>
        <w:spacing w:after="0" w:before="100" w:line="276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1B2A4A"/>
          <w:sz w:val="21"/>
          <w:szCs w:val="21"/>
        </w:rPr>
        <w:t xml:space="preserve">AIESEC Alumni Middle East &amp; Africa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	</w:t>
      </w:r>
      <w:r>
        <w:rPr>
          <w:rFonts w:ascii="Calibri" w:cs="Calibri" w:eastAsia="Microsoft YaHei"/>
          <w:b w:val="false"/>
          <w:bCs w:val="false"/>
          <w:i/>
          <w:iCs/>
          <w:color w:val="666666"/>
          <w:sz w:val="17"/>
          <w:szCs w:val="17"/>
        </w:rPr>
        <w:t xml:space="preserve">Déc. 2025 – Présent</w:t>
      </w:r>
    </w:p>
    <w:p>
      <w:pPr>
        <w:spacing w:after="40" w:before="20" w:line="264"/>
        <w:jc w:val="left"/>
      </w:pPr>
      <w:r>
        <w:rPr>
          <w:rFonts w:ascii="Calibri" w:cs="Calibri" w:eastAsia="Microsoft YaHei"/>
          <w:b/>
          <w:bCs/>
          <w:i/>
          <w:iCs/>
          <w:color w:val="C9A84C"/>
          <w:sz w:val="19"/>
          <w:szCs w:val="19"/>
        </w:rPr>
        <w:t xml:space="preserve">Vice-Président Marketing</w:t>
      </w:r>
      <w:r>
        <w:rPr>
          <w:rFonts w:ascii="Calibri" w:cs="Calibri" w:eastAsia="Microsoft YaHei"/>
          <w:b w:val="false"/>
          <w:bCs w:val="false"/>
          <w:i/>
          <w:iCs/>
          <w:color w:val="666666"/>
          <w:sz w:val="17"/>
          <w:szCs w:val="17"/>
        </w:rPr>
        <w:t xml:space="preserve">  |  À distance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Pilotage stratégique du marketing pour 20+ comités nationaux en Afrique et au Moyen-Orient, couvrant une communauté de plusieurs milliers d'alumni.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Conception et déploiement de campagnes de marque multi-pays (LinkedIn, Meta, newsletters) pour renforcer la visibilité internationale.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Mise en place d'un cadre d'analyse data-driven avec tableaux de bord KPIs (engagement, reach, conversion) pour orienter les décisions stratégiques.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Collaboration transversale avec les VP Legal, Finance et Membership pour aligner la communication sur les objectifs de croissance.</w:t>
      </w:r>
    </w:p>
    <w:p>
      <w:pPr>
        <w:tabs>
          <w:tab w:val="right" w:pos="5900"/>
        </w:tabs>
        <w:spacing w:after="0" w:before="100" w:line="276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1B2A4A"/>
          <w:sz w:val="21"/>
          <w:szCs w:val="21"/>
        </w:rPr>
        <w:t xml:space="preserve">SLSC 2025 – ATLOG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	</w:t>
      </w:r>
      <w:r>
        <w:rPr>
          <w:rFonts w:ascii="Calibri" w:cs="Calibri" w:eastAsia="Microsoft YaHei"/>
          <w:b w:val="false"/>
          <w:bCs w:val="false"/>
          <w:i/>
          <w:iCs/>
          <w:color w:val="666666"/>
          <w:sz w:val="17"/>
          <w:szCs w:val="17"/>
        </w:rPr>
        <w:t xml:space="preserve">Nov. 2025 – Jan. 2026</w:t>
      </w:r>
    </w:p>
    <w:p>
      <w:pPr>
        <w:spacing w:after="40" w:before="20" w:line="264"/>
        <w:jc w:val="left"/>
      </w:pPr>
      <w:r>
        <w:rPr>
          <w:rFonts w:ascii="Calibri" w:cs="Calibri" w:eastAsia="Microsoft YaHei"/>
          <w:b/>
          <w:bCs/>
          <w:i/>
          <w:iCs/>
          <w:color w:val="C9A84C"/>
          <w:sz w:val="19"/>
          <w:szCs w:val="19"/>
        </w:rPr>
        <w:t xml:space="preserve">Head of Communication &amp; Media (Pilotage Campagne d'Acquisition)</w:t>
      </w:r>
      <w:r>
        <w:rPr>
          <w:rFonts w:ascii="Calibri" w:cs="Calibri" w:eastAsia="Microsoft YaHei"/>
          <w:b w:val="false"/>
          <w:bCs w:val="false"/>
          <w:i/>
          <w:iCs/>
          <w:color w:val="666666"/>
          <w:sz w:val="17"/>
          <w:szCs w:val="17"/>
        </w:rPr>
        <w:t xml:space="preserve">  |  Lomé, Togo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Direction d'une campagne d'acquisition multi-canal (Social Media, WhatsApp Marketing, événementiel terrain) avec suivi rigoureux des KPIs pour la Semaine de la Logistique et de la Supply Chain.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Conception du chatbot d'inscription et création de l'avatar conversationnel (Rachelle) pour humaniser le parcours utilisateur.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De 0 à 800+ participants B2C inscrits en 8 semaines ; +5 900% de croissance LinkedIn (10 → 600+ abonnés) ; x9 l'engagement Facebook.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Pilotage d'une équipe créative de 10 personnes (designers, vidéastes, community manager) avec ligne éditoriale cohérente.</w:t>
      </w:r>
    </w:p>
    <w:p>
      <w:pPr>
        <w:tabs>
          <w:tab w:val="right" w:pos="5900"/>
        </w:tabs>
        <w:spacing w:after="0" w:before="100" w:line="276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1B2A4A"/>
          <w:sz w:val="21"/>
          <w:szCs w:val="21"/>
        </w:rPr>
        <w:t xml:space="preserve">StayingBee (Startup)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	</w:t>
      </w:r>
      <w:r>
        <w:rPr>
          <w:rFonts w:ascii="Calibri" w:cs="Calibri" w:eastAsia="Microsoft YaHei"/>
          <w:b w:val="false"/>
          <w:bCs w:val="false"/>
          <w:i/>
          <w:iCs/>
          <w:color w:val="666666"/>
          <w:sz w:val="17"/>
          <w:szCs w:val="17"/>
        </w:rPr>
        <w:t xml:space="preserve">Févr. 2026 – Mai 2026</w:t>
      </w:r>
    </w:p>
    <w:p>
      <w:pPr>
        <w:spacing w:after="40" w:before="20" w:line="264"/>
        <w:jc w:val="left"/>
      </w:pPr>
      <w:r>
        <w:rPr>
          <w:rFonts w:ascii="Calibri" w:cs="Calibri" w:eastAsia="Microsoft YaHei"/>
          <w:b/>
          <w:bCs/>
          <w:i/>
          <w:iCs/>
          <w:color w:val="C9A84C"/>
          <w:sz w:val="19"/>
          <w:szCs w:val="19"/>
        </w:rPr>
        <w:t xml:space="preserve">Regional Growth &amp; Market Development Lead</w:t>
      </w:r>
      <w:r>
        <w:rPr>
          <w:rFonts w:ascii="Calibri" w:cs="Calibri" w:eastAsia="Microsoft YaHei"/>
          <w:b w:val="false"/>
          <w:bCs w:val="false"/>
          <w:i/>
          <w:iCs/>
          <w:color w:val="666666"/>
          <w:sz w:val="17"/>
          <w:szCs w:val="17"/>
        </w:rPr>
        <w:t xml:space="preserve">  |  À distance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Activation de la croissance de StayingBee au sein de la communauté AIESEC (Afrique subsaharienne, Afrique de l'Est, puis France).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Membre de l'équipe mondiale des 5 Beekeepers sur 5 continents, réseau AIESEC existant.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+2 000 contacts outbound (Dripify), +500 connexions, +200 conversations, +100 appels, +40 utilisateurs onboardés.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Conversion d'un réseau existant en adoption concrète d'une plateforme communautaire.</w:t>
      </w:r>
    </w:p>
    <w:p>
      <w:pPr>
        <w:tabs>
          <w:tab w:val="right" w:pos="5900"/>
        </w:tabs>
        <w:spacing w:after="0" w:before="100" w:line="276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1B2A4A"/>
          <w:sz w:val="21"/>
          <w:szCs w:val="21"/>
        </w:rPr>
        <w:t xml:space="preserve">AIESEC au Togo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	</w:t>
      </w:r>
      <w:r>
        <w:rPr>
          <w:rFonts w:ascii="Calibri" w:cs="Calibri" w:eastAsia="Microsoft YaHei"/>
          <w:b w:val="false"/>
          <w:bCs w:val="false"/>
          <w:i/>
          <w:iCs/>
          <w:color w:val="666666"/>
          <w:sz w:val="17"/>
          <w:szCs w:val="17"/>
        </w:rPr>
        <w:t xml:space="preserve">Juil. 2023 – Juin 2025</w:t>
      </w:r>
    </w:p>
    <w:p>
      <w:pPr>
        <w:spacing w:after="40" w:before="20" w:line="264"/>
        <w:jc w:val="left"/>
      </w:pPr>
      <w:r>
        <w:rPr>
          <w:rFonts w:ascii="Calibri" w:cs="Calibri" w:eastAsia="Microsoft YaHei"/>
          <w:b/>
          <w:bCs/>
          <w:i/>
          <w:iCs/>
          <w:color w:val="C9A84C"/>
          <w:sz w:val="19"/>
          <w:szCs w:val="19"/>
        </w:rPr>
        <w:t xml:space="preserve">Country Director</w:t>
      </w:r>
      <w:r>
        <w:rPr>
          <w:rFonts w:ascii="Calibri" w:cs="Calibri" w:eastAsia="Microsoft YaHei"/>
          <w:b w:val="false"/>
          <w:bCs w:val="false"/>
          <w:i/>
          <w:iCs/>
          <w:color w:val="666666"/>
          <w:sz w:val="17"/>
          <w:szCs w:val="17"/>
        </w:rPr>
        <w:t xml:space="preserve">  |  Lomé, Togo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Direction générale : pilotage stratégique, supervision de 4 départements, coordination des opérations nationales pendant 2 mandats consécutifs.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Prospection B2B avec PIA, PNUD, CCI-Togo, GIZ, Moov Africa, Ambassade de l'Inde, ATLOG, Impact Hub Cotonou.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Organisation de 4 séminaires nationaux (~100 jeunes d'Afrique de l'Ouest chacun) et co-organisation du West Africa Connecting Seminar.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Mobilisation de plus de 3 000 000 FCFA en sponsoring et partenariats.</w:t>
      </w:r>
    </w:p>
    <w:p>
      <w:pPr>
        <w:tabs>
          <w:tab w:val="right" w:pos="5900"/>
        </w:tabs>
        <w:spacing w:after="0" w:before="100" w:line="276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1B2A4A"/>
          <w:sz w:val="21"/>
          <w:szCs w:val="21"/>
        </w:rPr>
        <w:t xml:space="preserve">AIESEC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	</w:t>
      </w:r>
      <w:r>
        <w:rPr>
          <w:rFonts w:ascii="Calibri" w:cs="Calibri" w:eastAsia="Microsoft YaHei"/>
          <w:b w:val="false"/>
          <w:bCs w:val="false"/>
          <w:i/>
          <w:iCs/>
          <w:color w:val="666666"/>
          <w:sz w:val="17"/>
          <w:szCs w:val="17"/>
        </w:rPr>
        <w:t xml:space="preserve">Févr. 2021 – Jan. 2023</w:t>
      </w:r>
    </w:p>
    <w:p>
      <w:pPr>
        <w:spacing w:after="40" w:before="20" w:line="264"/>
        <w:jc w:val="left"/>
      </w:pPr>
      <w:r>
        <w:rPr>
          <w:rFonts w:ascii="Calibri" w:cs="Calibri" w:eastAsia="Microsoft YaHei"/>
          <w:b/>
          <w:bCs/>
          <w:i/>
          <w:iCs/>
          <w:color w:val="C9A84C"/>
          <w:sz w:val="19"/>
          <w:szCs w:val="19"/>
        </w:rPr>
        <w:t xml:space="preserve">Business Development Lead</w:t>
      </w:r>
      <w:r>
        <w:rPr>
          <w:rFonts w:ascii="Calibri" w:cs="Calibri" w:eastAsia="Microsoft YaHei"/>
          <w:b w:val="false"/>
          <w:bCs w:val="false"/>
          <w:i/>
          <w:iCs/>
          <w:color w:val="666666"/>
          <w:sz w:val="17"/>
          <w:szCs w:val="17"/>
        </w:rPr>
        <w:t xml:space="preserve">  |  Kara, Togo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Prospection commerciale et négociation de contrats de sponsoring avec entreprises et institutions de la région de Kara.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Conception et exécution de campagnes ayant mobilisé 500+ participants à travers 3 éditions d'événements locaux.</w:t>
      </w:r>
    </w:p>
    <w:p>
      <w:pPr>
        <w:spacing w:after="15" w:before="15" w:line="264"/>
        <w:ind w:left="220" w:hanging="180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C9A84C"/>
          <w:sz w:val="14"/>
          <w:szCs w:val="14"/>
        </w:rPr>
        <w:t xml:space="preserve">▸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 Contribution à la mobilisation de 3 000 000+ FCFA en sponsoring cumulé via diversification des sources.</w:t>
      </w:r>
    </w:p>
    <w:p>
      <w:pPr>
        <w:spacing w:after="0" w:before="200" w:line="276"/>
        <w:jc w:val="center"/>
      </w:pPr>
      <w:r>
        <w:rPr>
          <w:rFonts w:ascii="Calibri" w:cs="Calibri" w:eastAsia="Microsoft YaHei"/>
          <w:b/>
          <w:bCs/>
          <w:color w:val="1B2A4A"/>
          <w:spacing w:val="100"/>
          <w:sz w:val="22"/>
          <w:szCs w:val="22"/>
        </w:rPr>
        <w:t xml:space="preserve">FORMATION</w:t>
      </w:r>
    </w:p>
    <w:p>
      <w:pPr>
        <w:spacing w:after="140" w:before="60"/>
        <w:jc w:val="center"/>
      </w:pPr>
      <w:r>
        <w:rPr>
          <w:rFonts w:ascii="Calibri" w:cs="Calibri" w:eastAsia="Microsoft YaHei"/>
          <w:b w:val="false"/>
          <w:bCs w:val="false"/>
          <w:i w:val="false"/>
          <w:iCs w:val="false"/>
          <w:color w:val="C9A84C"/>
          <w:sz w:val="20"/>
          <w:szCs w:val="20"/>
        </w:rPr>
        <w:t xml:space="preserve">—  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C9A84C"/>
          <w:sz w:val="14"/>
          <w:szCs w:val="14"/>
        </w:rPr>
        <w:t xml:space="preserve">◆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C9A84C"/>
          <w:sz w:val="20"/>
          <w:szCs w:val="20"/>
        </w:rPr>
        <w:t xml:space="preserve">  —</w:t>
      </w:r>
    </w:p>
    <w:p>
      <w:pPr>
        <w:spacing w:after="0" w:before="60" w:line="276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1B2A4A"/>
          <w:sz w:val="20"/>
          <w:szCs w:val="20"/>
        </w:rPr>
        <w:t xml:space="preserve">Certification en l'Entreprenariat des Jeunes</w:t>
      </w:r>
    </w:p>
    <w:p>
      <w:pPr>
        <w:spacing w:after="60" w:before="10" w:line="264"/>
        <w:jc w:val="left"/>
      </w:pPr>
      <w:r>
        <w:rPr>
          <w:rFonts w:ascii="Calibri" w:cs="Calibri" w:eastAsia="Microsoft YaHei"/>
          <w:b w:val="false"/>
          <w:bCs w:val="false"/>
          <w:i/>
          <w:iCs/>
          <w:color w:val="C9A84C"/>
          <w:sz w:val="18"/>
          <w:szCs w:val="18"/>
        </w:rPr>
        <w:t xml:space="preserve">Organisation Internationale de la Francophonie (OIF)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	</w:t>
      </w:r>
      <w:r>
        <w:rPr>
          <w:rFonts w:ascii="Calibri" w:cs="Calibri" w:eastAsia="Microsoft YaHei"/>
          <w:b w:val="false"/>
          <w:bCs w:val="false"/>
          <w:i/>
          <w:iCs/>
          <w:color w:val="666666"/>
          <w:sz w:val="17"/>
          <w:szCs w:val="17"/>
        </w:rPr>
        <w:t xml:space="preserve">2023</w:t>
      </w:r>
    </w:p>
    <w:p>
      <w:pPr>
        <w:spacing w:after="0" w:before="40" w:line="276"/>
        <w:jc w:val="left"/>
      </w:pPr>
      <w:r>
        <w:rPr>
          <w:rFonts w:ascii="Calibri" w:cs="Calibri" w:eastAsia="Microsoft YaHei"/>
          <w:b/>
          <w:bCs/>
          <w:i w:val="false"/>
          <w:iCs w:val="false"/>
          <w:color w:val="1B2A4A"/>
          <w:sz w:val="20"/>
          <w:szCs w:val="20"/>
        </w:rPr>
        <w:t xml:space="preserve">Licence Professionnelle | Gestion des Activités Commerciales</w:t>
      </w:r>
    </w:p>
    <w:p>
      <w:pPr>
        <w:spacing w:after="60" w:before="10" w:line="264"/>
        <w:jc w:val="left"/>
      </w:pPr>
      <w:r>
        <w:rPr>
          <w:rFonts w:ascii="Calibri" w:cs="Calibri" w:eastAsia="Microsoft YaHei"/>
          <w:b w:val="false"/>
          <w:bCs w:val="false"/>
          <w:i/>
          <w:iCs/>
          <w:color w:val="C9A84C"/>
          <w:sz w:val="18"/>
          <w:szCs w:val="18"/>
        </w:rPr>
        <w:t xml:space="preserve">Université de Kara</w:t>
      </w: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	</w:t>
      </w:r>
      <w:r>
        <w:rPr>
          <w:rFonts w:ascii="Calibri" w:cs="Calibri" w:eastAsia="Microsoft YaHei"/>
          <w:b w:val="false"/>
          <w:bCs w:val="false"/>
          <w:i/>
          <w:iCs/>
          <w:color w:val="666666"/>
          <w:sz w:val="17"/>
          <w:szCs w:val="17"/>
        </w:rPr>
        <w:t xml:space="preserve">2023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100"/>
              <w:right w:type="dxa" w:w="200"/>
            </w:tcMar>
            <w:vAlign w:val="top"/>
          </w:tcPr>
          <w:p>
            <w:pPr>
              <w:spacing w:after="100" w:before="0" w:line="276"/>
              <w:jc w:val="center"/>
            </w:pPr>
            <w:r>
              <w:rPr>
                <w:rFonts w:ascii="Calibri" w:cs="Calibri" w:eastAsia="Microsoft YaHei"/>
                <w:b/>
                <w:bCs/>
                <w:i w:val="false"/>
                <w:iCs w:val="false"/>
                <w:color w:val="1B2A4A"/>
                <w:spacing w:val="80"/>
                <w:sz w:val="20"/>
                <w:szCs w:val="20"/>
              </w:rPr>
              <w:t xml:space="preserve">COMPÉTENCES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C9A84C"/>
                <w:sz w:val="12"/>
                <w:szCs w:val="12"/>
              </w:rPr>
              <w:t xml:space="preserve">— ◆ —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2D3436"/>
                <w:sz w:val="18"/>
                <w:szCs w:val="18"/>
              </w:rPr>
              <w:t xml:space="preserve">Prospection B2B &amp; Dripify</w:t>
            </w: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   </w:t>
            </w: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C9A84C"/>
                <w:sz w:val="11"/>
                <w:szCs w:val="11"/>
              </w:rPr>
              <w:t xml:space="preserve">●●●●●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2D3436"/>
                <w:sz w:val="18"/>
                <w:szCs w:val="18"/>
              </w:rPr>
              <w:t xml:space="preserve">Campagnes Acquisition (Meta, LinkedIn)</w:t>
            </w: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   </w:t>
            </w: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C9A84C"/>
                <w:sz w:val="11"/>
                <w:szCs w:val="11"/>
              </w:rPr>
              <w:t xml:space="preserve">●●●●●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2D3436"/>
                <w:sz w:val="18"/>
                <w:szCs w:val="18"/>
              </w:rPr>
              <w:t xml:space="preserve">Email Marketing &amp; Segmentation</w:t>
            </w: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   </w:t>
            </w: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C9A84C"/>
                <w:sz w:val="11"/>
                <w:szCs w:val="11"/>
              </w:rPr>
              <w:t xml:space="preserve">●●●●○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2D3436"/>
                <w:sz w:val="18"/>
                <w:szCs w:val="18"/>
              </w:rPr>
              <w:t xml:space="preserve">Growth Organique &amp; Social Selling</w:t>
            </w: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   </w:t>
            </w: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C9A84C"/>
                <w:sz w:val="11"/>
                <w:szCs w:val="11"/>
              </w:rPr>
              <w:t xml:space="preserve">●●●●●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2D3436"/>
                <w:sz w:val="18"/>
                <w:szCs w:val="18"/>
              </w:rPr>
              <w:t xml:space="preserve">Analyse de Données &amp; KPIs</w:t>
            </w: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   </w:t>
            </w: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C9A84C"/>
                <w:sz w:val="11"/>
                <w:szCs w:val="11"/>
              </w:rPr>
              <w:t xml:space="preserve">●●●●○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2D3436"/>
                <w:sz w:val="18"/>
                <w:szCs w:val="18"/>
              </w:rPr>
              <w:t xml:space="preserve">Test &amp; Learn</w:t>
            </w: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   </w:t>
            </w: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C9A84C"/>
                <w:sz w:val="11"/>
                <w:szCs w:val="11"/>
              </w:rPr>
              <w:t xml:space="preserve">●●●●○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2D3436"/>
                <w:sz w:val="18"/>
                <w:szCs w:val="18"/>
              </w:rPr>
              <w:t xml:space="preserve">HubSpot &amp; Apify (bases)</w:t>
            </w: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   </w:t>
            </w: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C9A84C"/>
                <w:sz w:val="11"/>
                <w:szCs w:val="11"/>
              </w:rPr>
              <w:t xml:space="preserve">●●●○○</w:t>
            </w:r>
          </w:p>
          <w:p>
            <w:pPr>
              <w:spacing w:after="80" w:before="140" w:line="276"/>
              <w:jc w:val="center"/>
            </w:pPr>
            <w:r>
              <w:rPr>
                <w:rFonts w:ascii="Calibri" w:cs="Calibri" w:eastAsia="Microsoft YaHei"/>
                <w:b/>
                <w:bCs/>
                <w:i w:val="false"/>
                <w:iCs w:val="false"/>
                <w:color w:val="1B2A4A"/>
                <w:spacing w:val="60"/>
                <w:sz w:val="18"/>
                <w:szCs w:val="18"/>
              </w:rPr>
              <w:t xml:space="preserve">SOFT SKILLS</w:t>
            </w:r>
          </w:p>
          <w:p>
            <w:pPr>
              <w:spacing w:after="80" w:before="0" w:line="264"/>
              <w:jc w:val="center"/>
            </w:pPr>
            <w:r>
              <w:rPr>
                <w:rFonts w:ascii="Calibri" w:cs="Calibri" w:eastAsia="Microsoft YaHei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Autonomie  ·  Orientation Résultats  ·  Adaptabilité Agile</w:t>
            </w:r>
          </w:p>
          <w:p>
            <w:pPr>
              <w:spacing w:after="80" w:before="0" w:line="264"/>
              <w:jc w:val="center"/>
            </w:pPr>
            <w:r>
              <w:rPr>
                <w:rFonts w:ascii="Calibri" w:cs="Calibri" w:eastAsia="Microsoft YaHei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Décision Data-Driven  ·  Communication Interculturelle</w:t>
            </w:r>
          </w:p>
          <w:p>
            <w:pPr>
              <w:spacing w:after="80" w:before="100" w:line="276"/>
              <w:jc w:val="center"/>
            </w:pPr>
            <w:r>
              <w:rPr>
                <w:rFonts w:ascii="Calibri" w:cs="Calibri" w:eastAsia="Microsoft YaHei"/>
                <w:b/>
                <w:bCs/>
                <w:i w:val="false"/>
                <w:iCs w:val="false"/>
                <w:color w:val="1B2A4A"/>
                <w:spacing w:val="60"/>
                <w:sz w:val="18"/>
                <w:szCs w:val="18"/>
              </w:rPr>
              <w:t xml:space="preserve">LANGUES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C9A84C"/>
                <w:sz w:val="12"/>
                <w:szCs w:val="12"/>
              </w:rPr>
              <w:t xml:space="preserve">— ◆ —</w:t>
            </w:r>
          </w:p>
          <w:p>
            <w:pPr>
              <w:spacing w:after="30" w:before="30" w:line="264"/>
              <w:jc w:val="center"/>
            </w:pP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Français : Courant</w:t>
            </w:r>
          </w:p>
          <w:p>
            <w:pPr>
              <w:spacing w:after="30" w:before="30" w:line="264"/>
              <w:jc w:val="center"/>
            </w:pP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Anglais : Intermédiaire avancé</w:t>
            </w:r>
          </w:p>
          <w:p>
            <w:pPr>
              <w:spacing w:after="30" w:before="30" w:line="264"/>
              <w:jc w:val="center"/>
            </w:pP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Éwé / Mina : Intermédiaire</w:t>
            </w:r>
          </w:p>
        </w:tc>
        <w:tc>
          <w:tcPr>
            <w:tcW w:type="pct" w:w="40%"/>
            <w:tcBorders>
              <w:top w:val="none" w:color="FFFFFF" w:sz="0"/>
              <w:left w:val="single" w:color="C9A84C" w:sz="2" w:space="8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00"/>
              <w:right w:type="dxa" w:w="100"/>
            </w:tcMar>
            <w:vAlign w:val="top"/>
          </w:tcPr>
          <w:p>
            <w:pPr>
              <w:spacing w:after="100" w:before="0" w:line="276"/>
              <w:jc w:val="center"/>
            </w:pPr>
            <w:r>
              <w:rPr>
                <w:rFonts w:ascii="Calibri" w:cs="Calibri" w:eastAsia="Microsoft YaHei"/>
                <w:b/>
                <w:bCs/>
                <w:i w:val="false"/>
                <w:iCs w:val="false"/>
                <w:color w:val="1B2A4A"/>
                <w:spacing w:val="80"/>
                <w:sz w:val="20"/>
                <w:szCs w:val="20"/>
              </w:rPr>
              <w:t xml:space="preserve">RÉFÉRENCES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Microsoft YaHei"/>
                <w:b w:val="false"/>
                <w:bCs w:val="false"/>
                <w:i w:val="false"/>
                <w:iCs w:val="false"/>
                <w:color w:val="C9A84C"/>
                <w:sz w:val="12"/>
                <w:szCs w:val="12"/>
              </w:rPr>
              <w:t xml:space="preserve">— ◆ —</w:t>
            </w:r>
          </w:p>
          <w:p>
            <w:pPr>
              <w:spacing w:after="0" w:before="80" w:line="264"/>
              <w:jc w:val="center"/>
            </w:pPr>
            <w:r>
              <w:rPr>
                <w:rFonts w:ascii="Calibri" w:cs="Calibri" w:eastAsia="Microsoft YaHei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Silvere ATSOU</w:t>
            </w:r>
          </w:p>
          <w:p>
            <w:pPr>
              <w:spacing w:after="0" w:before="10" w:line="240"/>
              <w:jc w:val="center"/>
            </w:pPr>
            <w:r>
              <w:rPr>
                <w:rFonts w:ascii="Calibri" w:cs="Calibri" w:eastAsia="Microsoft YaHe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Président, AIESEC Alumni MEA</w:t>
            </w:r>
          </w:p>
          <w:p>
            <w:pPr>
              <w:spacing w:after="20" w:before="10" w:line="240"/>
              <w:jc w:val="center"/>
            </w:pPr>
            <w:hyperlink w:history="1" r:id="rIda1vtyxjldztx57guiijtd">
              <w:r>
                <w:rPr>
                  <w:rFonts w:ascii="Calibri" w:cs="Calibri" w:eastAsia="Microsoft YaHei"/>
                  <w:b w:val="false"/>
                  <w:bCs w:val="false"/>
                  <w:i w:val="false"/>
                  <w:iCs w:val="false"/>
                  <w:color w:val="1B2A4A"/>
                  <w:sz w:val="16"/>
                  <w:szCs w:val="16"/>
                  <w:u w:val="single" w:color="C9A84C"/>
                </w:rPr>
                <w:t xml:space="preserve">Profil LinkedIn</w:t>
              </w:r>
            </w:hyperlink>
          </w:p>
          <w:p>
            <w:pPr>
              <w:spacing w:after="0" w:before="80" w:line="264"/>
              <w:jc w:val="center"/>
            </w:pPr>
            <w:r>
              <w:rPr>
                <w:rFonts w:ascii="Calibri" w:cs="Calibri" w:eastAsia="Microsoft YaHei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Patricia MICHELENA PMP</w:t>
            </w:r>
          </w:p>
          <w:p>
            <w:pPr>
              <w:spacing w:after="0" w:before="10" w:line="240"/>
              <w:jc w:val="center"/>
            </w:pPr>
            <w:r>
              <w:rPr>
                <w:rFonts w:ascii="Calibri" w:cs="Calibri" w:eastAsia="Microsoft YaHe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Co-fondatrice, StayingBee</w:t>
            </w:r>
          </w:p>
          <w:p>
            <w:pPr>
              <w:spacing w:after="20" w:before="10" w:line="240"/>
              <w:jc w:val="center"/>
            </w:pPr>
            <w:hyperlink w:history="1" r:id="rId23xitdo9nyvg3qrorhnkd">
              <w:r>
                <w:rPr>
                  <w:rFonts w:ascii="Calibri" w:cs="Calibri" w:eastAsia="Microsoft YaHei"/>
                  <w:b w:val="false"/>
                  <w:bCs w:val="false"/>
                  <w:i w:val="false"/>
                  <w:iCs w:val="false"/>
                  <w:color w:val="1B2A4A"/>
                  <w:sz w:val="16"/>
                  <w:szCs w:val="16"/>
                  <w:u w:val="single" w:color="C9A84C"/>
                </w:rPr>
                <w:t xml:space="preserve">Profil LinkedIn</w:t>
              </w:r>
            </w:hyperlink>
          </w:p>
          <w:p>
            <w:pPr>
              <w:spacing w:after="0" w:before="80" w:line="264"/>
              <w:jc w:val="center"/>
            </w:pPr>
            <w:r>
              <w:rPr>
                <w:rFonts w:ascii="Calibri" w:cs="Calibri" w:eastAsia="Microsoft YaHei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Napo FARE</w:t>
            </w:r>
          </w:p>
          <w:p>
            <w:pPr>
              <w:spacing w:after="0" w:before="10" w:line="240"/>
              <w:jc w:val="center"/>
            </w:pPr>
            <w:r>
              <w:rPr>
                <w:rFonts w:ascii="Calibri" w:cs="Calibri" w:eastAsia="Microsoft YaHe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PIA (Plateforme Industrielle d'Adétikopé)</w:t>
            </w:r>
          </w:p>
          <w:p>
            <w:pPr>
              <w:spacing w:after="20" w:before="10" w:line="240"/>
              <w:jc w:val="center"/>
            </w:pPr>
            <w:hyperlink w:history="1" r:id="rIdqps4yygmfqnxoe5yoq-js">
              <w:r>
                <w:rPr>
                  <w:rFonts w:ascii="Calibri" w:cs="Calibri" w:eastAsia="Microsoft YaHei"/>
                  <w:b w:val="false"/>
                  <w:bCs w:val="false"/>
                  <w:i w:val="false"/>
                  <w:iCs w:val="false"/>
                  <w:color w:val="1B2A4A"/>
                  <w:sz w:val="16"/>
                  <w:szCs w:val="16"/>
                  <w:u w:val="single" w:color="C9A84C"/>
                </w:rPr>
                <w:t xml:space="preserve">Profil LinkedIn</w:t>
              </w:r>
            </w:hyperlink>
          </w:p>
        </w:tc>
      </w:tr>
    </w:tbl>
    <w:p>
      <w:pPr>
        <w:spacing w:after="0" w:before="0"/>
        <w:jc w:val="center"/>
      </w:pPr>
      <w:r>
        <w:rPr>
          <w:rFonts w:ascii="Calibri" w:cs="Calibri" w:eastAsia="Microsoft YaHei"/>
          <w:b w:val="false"/>
          <w:bCs w:val="false"/>
          <w:i w:val="false"/>
          <w:iCs w:val="false"/>
          <w:color w:val="333333"/>
          <w:sz w:val="2"/>
          <w:szCs w:val="2"/>
        </w:rPr>
        <w:t xml:space="preserve"> </w:t>
      </w:r>
    </w:p>
    <w:sectPr>
      <w:pgSz w:w="11906" w:h="16838" w:orient="portrait"/>
      <w:pgMar w:top="0" w:right="720" w:bottom="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/>
        <w:color w:val="333333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rjdkjfkor6ac9lwjp7ta" Type="http://schemas.openxmlformats.org/officeDocument/2006/relationships/hyperlink" Target="https://www.linkedin.com/in/adoyimifid" TargetMode="External"/><Relationship Id="rIda1vtyxjldztx57guiijtd" Type="http://schemas.openxmlformats.org/officeDocument/2006/relationships/hyperlink" Target="https://www.linkedin.com/in/silvere-atsou-41397090/" TargetMode="External"/><Relationship Id="rId23xitdo9nyvg3qrorhnkd" Type="http://schemas.openxmlformats.org/officeDocument/2006/relationships/hyperlink" Target="https://www.linkedin.com/in/patriciamichelena/" TargetMode="External"/><Relationship Id="rIdqps4yygmfqnxoe5yoq-js" Type="http://schemas.openxmlformats.org/officeDocument/2006/relationships/hyperlink" Target="https://www.linkedin.com/in/napo-fare-315b1820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2026-06-28T02:07:27.885Z</dcterms:created>
  <dcterms:modified xsi:type="dcterms:W3CDTF">2026-06-28T02:07:27.885Z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