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 xml:space="preserve">Elektroniki i </w:t>
            </w:r>
            <w:commentRangeStart w:id="3"/>
            <w:r>
              <w:t xml:space="preserve">Technik </w:t>
            </w:r>
            <w:commentRangeEnd w:id="3"/>
            <w:r w:rsidR="00F52BEC">
              <w:rPr>
                <w:rStyle w:val="Odwoaniedokomentarza"/>
              </w:rPr>
              <w:commentReference w:id="3"/>
            </w:r>
            <w:r>
              <w:t>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4"/>
      <w:r w:rsidRPr="00B31198">
        <w:rPr>
          <w:sz w:val="32"/>
          <w:szCs w:val="32"/>
        </w:rPr>
        <w:t>Adrian Wiśniewski</w:t>
      </w:r>
      <w:commentRangeEnd w:id="4"/>
      <w:r w:rsidR="00343F6C">
        <w:rPr>
          <w:rStyle w:val="Odwoaniedokomentarza"/>
        </w:rPr>
        <w:commentReference w:id="4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5"/>
      <w:r w:rsidRPr="005D3F1D">
        <w:t>komponentami usług i konfiguracją</w:t>
      </w:r>
      <w:r>
        <w:t xml:space="preserve"> </w:t>
      </w:r>
      <w:commentRangeEnd w:id="5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5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6" w:name="_Toc297898863"/>
            <w:r>
              <w:t>Podpis przewodniczącego</w:t>
            </w:r>
            <w:bookmarkEnd w:id="6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7" w:name="_Toc297898864"/>
            <w:r>
              <w:t>Komisji Egzaminu Dyplomowego</w:t>
            </w:r>
            <w:bookmarkEnd w:id="7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8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321513" w:rsidP="00321513">
      <w:r>
        <w:t>Rok później podjąłem pracę w firmie</w:t>
      </w:r>
      <w:r w:rsidR="00B1197F">
        <w:t xml:space="preserve"> Psiloc </w:t>
      </w:r>
      <w:r w:rsidR="006E6DD9">
        <w:t>Sp.</w:t>
      </w:r>
      <w:r w:rsidR="00B1197F">
        <w:t> </w:t>
      </w:r>
      <w:r w:rsidR="006E6DD9">
        <w:t>z</w:t>
      </w:r>
      <w:r w:rsidR="00B1197F">
        <w:t> </w:t>
      </w:r>
      <w:r w:rsidR="006E6DD9">
        <w:t>o.</w:t>
      </w:r>
      <w:r w:rsidR="00B1197F">
        <w:t> o.</w:t>
      </w:r>
      <w:r>
        <w:t>, gdzie</w:t>
      </w:r>
      <w:r w:rsidR="003E447F">
        <w:t xml:space="preserve"> </w:t>
      </w:r>
      <w:r>
        <w:t xml:space="preserve">pracując </w:t>
      </w:r>
      <w:r w:rsidR="000F4ACC">
        <w:t>jako</w:t>
      </w:r>
      <w:r>
        <w:t xml:space="preserve"> programist</w:t>
      </w:r>
      <w:r w:rsidR="009556C2">
        <w:t>a</w:t>
      </w:r>
      <w:r>
        <w:t xml:space="preserve"> aplikacji internetowych tworzyłem interfejs </w:t>
      </w:r>
      <w:r w:rsidR="003E447F">
        <w:t>aplikacj</w:t>
      </w:r>
      <w:r>
        <w:t>i Locatik.</w:t>
      </w:r>
      <w:r w:rsidR="00B1197F">
        <w:t xml:space="preserve"> </w:t>
      </w:r>
      <w:r>
        <w:t xml:space="preserve">Po ukończeniu tego projektu </w:t>
      </w:r>
      <w:r w:rsidR="00580897">
        <w:t xml:space="preserve">w 2008 r. </w:t>
      </w:r>
      <w:r w:rsidR="00FD1E9C">
        <w:t xml:space="preserve">przez kilka lat </w:t>
      </w:r>
      <w:r w:rsidR="000F4ACC">
        <w:t>wykonywałem zlecenia</w:t>
      </w:r>
      <w:r>
        <w:t xml:space="preserve"> dotycząc</w:t>
      </w:r>
      <w:r w:rsidR="000F4ACC">
        <w:t>e</w:t>
      </w:r>
      <w:r>
        <w:t xml:space="preserve"> aplikacji mobilnych i internetowych.</w:t>
      </w:r>
      <w:r w:rsidR="00B1197F">
        <w:t xml:space="preserve"> </w:t>
      </w:r>
      <w:r w:rsidR="000F4ACC">
        <w:t>W okresie tym tworzyłem oprogramowanie</w:t>
      </w:r>
      <w:r>
        <w:t xml:space="preserve"> </w:t>
      </w:r>
      <w:r w:rsidR="00B1197F">
        <w:t xml:space="preserve">dla </w:t>
      </w:r>
      <w:r w:rsidR="000F4ACC">
        <w:t>marek</w:t>
      </w:r>
      <w:r w:rsidR="00B1197F">
        <w:t xml:space="preserve"> takich jak McDonald’s,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w firmie </w:t>
      </w:r>
      <w:r w:rsidR="000F4ACC">
        <w:t xml:space="preserve">tworzącej gry komputerowe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  <w:r w:rsidR="000F4ACC">
        <w:t xml:space="preserve"> na stanowisku programisty </w:t>
      </w:r>
      <w:proofErr w:type="spellStart"/>
      <w:r w:rsidR="000F4ACC">
        <w:t>gameplay’u</w:t>
      </w:r>
      <w:proofErr w:type="spellEnd"/>
      <w:r w:rsidR="000F4ACC">
        <w:t>.</w:t>
      </w:r>
    </w:p>
    <w:p w:rsidR="006E6DD9" w:rsidRDefault="00B1197F" w:rsidP="000F4ACC">
      <w:r>
        <w:t>Ponadto</w:t>
      </w:r>
      <w:r w:rsidR="000F4ACC">
        <w:t xml:space="preserve"> od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</w:t>
      </w:r>
      <w:r w:rsidR="000F4ACC">
        <w:t>o</w:t>
      </w:r>
      <w:r w:rsidR="000F4ACC">
        <w:t>ła Naukowego Twórców Gier Komputerowych 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8041F2" w:rsidRDefault="008041F2" w:rsidP="00321513">
      <w:pPr>
        <w:ind w:firstLine="0"/>
      </w:pP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9" w:name="_Toc297898865"/>
      <w:r>
        <w:t xml:space="preserve">Złożył egzamin dyplomowy dn. </w:t>
      </w:r>
      <w:r>
        <w:tab/>
        <w:t xml:space="preserve"> 2011 r.</w:t>
      </w:r>
      <w:bookmarkEnd w:id="9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6"/>
      <w:r>
        <w:t>Z wynikiem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7"/>
      <w:r>
        <w:t>Ogólny wynik studiów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2" w:name="_Toc297898868"/>
      <w:r>
        <w:t>Dodatkowe wnioski i uwagi Komisji</w:t>
      </w:r>
      <w:bookmarkEnd w:id="12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63663D" w:rsidP="00C926EC">
      <w:pPr>
        <w:pStyle w:val="Pierwszyakapit"/>
      </w:pPr>
      <w:r>
        <w:t>I</w:t>
      </w:r>
      <w:r w:rsidR="00644A55">
        <w:t xml:space="preserve">mplementacja </w:t>
      </w:r>
      <w:r>
        <w:t xml:space="preserve">i przedstawienie </w:t>
      </w:r>
      <w:r w:rsidR="00644A55">
        <w:t>systemu</w:t>
      </w:r>
      <w:r w:rsidR="00E353DD">
        <w:t xml:space="preserve"> Service </w:t>
      </w:r>
      <w:proofErr w:type="spellStart"/>
      <w:r w:rsidR="00E353DD">
        <w:t>Desk</w:t>
      </w:r>
      <w:proofErr w:type="spellEnd"/>
      <w:r w:rsidR="00644A55">
        <w:t xml:space="preserve"> wspierającego</w:t>
      </w:r>
      <w:r>
        <w:t xml:space="preserve"> wybrane procesy</w:t>
      </w:r>
      <w:r w:rsidR="00644A55">
        <w:t xml:space="preserve"> ITIL</w:t>
      </w:r>
      <w:r w:rsidR="00E353DD">
        <w:t>. ITIL to obecnie najpopularniejsza metodyka zarządzania infrastrukturą informatyczną prze</w:t>
      </w:r>
      <w:r w:rsidR="00E353DD">
        <w:t>d</w:t>
      </w:r>
      <w:r w:rsidR="00E353DD">
        <w:t>siębiorstwa, zorientowana na zarządzanie usługami i należąca do rodziny ITSM. Praca zawi</w:t>
      </w:r>
      <w:r w:rsidR="00E353DD">
        <w:t>e</w:t>
      </w:r>
      <w:r w:rsidR="00E353DD">
        <w:t>ra opis jej struktury i wszystkich procesów, ze szczególnym naciskiem położonym na sch</w:t>
      </w:r>
      <w:r w:rsidR="00E353DD">
        <w:t>a</w:t>
      </w:r>
      <w:r w:rsidR="00E353DD">
        <w:t xml:space="preserve">rakteryzowanie zarządzania komponentami usług i konfiguracją </w:t>
      </w:r>
      <w:r w:rsidR="00C926EC">
        <w:t>oraz</w:t>
      </w:r>
      <w:r w:rsidR="00E353DD"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 xml:space="preserve">osiada moduły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 w:rsidR="00E353DD">
        <w:t xml:space="preserve"> </w:t>
      </w:r>
      <w:r w:rsidR="00C926EC">
        <w:t>zast</w:t>
      </w:r>
      <w:r w:rsidR="00C926EC">
        <w:t>o</w:t>
      </w:r>
      <w:r w:rsidR="00C926EC">
        <w:t xml:space="preserve">sowania przedstawiono </w:t>
      </w:r>
      <w:r w:rsidR="00BC201F">
        <w:t>na przykładzie opisanej firmy</w:t>
      </w:r>
      <w:r w:rsidR="00C926EC">
        <w:t>. Praca omawia wszystkie etapy p</w:t>
      </w:r>
      <w:r w:rsidR="00C926EC">
        <w:t>o</w:t>
      </w:r>
      <w:r w:rsidR="00C926EC">
        <w:t>wstawania</w:t>
      </w:r>
      <w:r w:rsidR="00BC201F">
        <w:t xml:space="preserve"> systemu od </w:t>
      </w:r>
      <w:r w:rsidR="006A0539">
        <w:t>analizy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</w:t>
      </w:r>
      <w:r w:rsidR="00BC201F">
        <w:t>d</w:t>
      </w:r>
      <w:r w:rsidR="00BC201F">
        <w:t>to jest</w:t>
      </w:r>
      <w:r w:rsidR="00E353DD">
        <w:t xml:space="preserve"> uzupełnieniem i kontynuacją pracy inżynierskiej Piotra Kalańskiego.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Pr="00644A55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Implementation and presentation of a Service Desk system supporting selected ITIL proces</w:t>
      </w:r>
      <w:r>
        <w:rPr>
          <w:lang w:val="en-US"/>
        </w:rPr>
        <w:t>s</w:t>
      </w:r>
      <w:r>
        <w:rPr>
          <w:lang w:val="en-US"/>
        </w:rPr>
        <w:t>es. 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 xml:space="preserve">is service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 xml:space="preserve">scribes all stages of development: requirement analysis, design, implementation and tests. Moreover it’s complementary to engineer thesis written by </w:t>
      </w:r>
      <w:proofErr w:type="spellStart"/>
      <w:r w:rsidR="006A0539">
        <w:rPr>
          <w:lang w:val="en-US"/>
        </w:rPr>
        <w:t>Piotr</w:t>
      </w:r>
      <w:proofErr w:type="spellEnd"/>
      <w:r w:rsidR="006A0539">
        <w:rPr>
          <w:lang w:val="en-US"/>
        </w:rPr>
        <w:t xml:space="preserve"> </w:t>
      </w:r>
      <w:proofErr w:type="spellStart"/>
      <w:r w:rsidR="006A0539">
        <w:rPr>
          <w:lang w:val="en-US"/>
        </w:rPr>
        <w:t>Kalański</w:t>
      </w:r>
      <w:proofErr w:type="spellEnd"/>
      <w:r w:rsidR="006A0539">
        <w:rPr>
          <w:lang w:val="en-US"/>
        </w:rPr>
        <w:t>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820CBB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641855" w:history="1">
            <w:r w:rsidR="00820CBB" w:rsidRPr="00F858C9">
              <w:rPr>
                <w:rStyle w:val="Hipercze"/>
                <w:noProof/>
              </w:rPr>
              <w:t>Rozdział 1. Wstęp</w:t>
            </w:r>
            <w:r w:rsidR="00820CBB">
              <w:rPr>
                <w:noProof/>
                <w:webHidden/>
              </w:rPr>
              <w:tab/>
            </w:r>
            <w:r w:rsidR="00820CBB">
              <w:rPr>
                <w:noProof/>
                <w:webHidden/>
              </w:rPr>
              <w:fldChar w:fldCharType="begin"/>
            </w:r>
            <w:r w:rsidR="00820CBB">
              <w:rPr>
                <w:noProof/>
                <w:webHidden/>
              </w:rPr>
              <w:instrText xml:space="preserve"> PAGEREF _Toc299641855 \h </w:instrText>
            </w:r>
            <w:r w:rsidR="00820CBB">
              <w:rPr>
                <w:noProof/>
                <w:webHidden/>
              </w:rPr>
            </w:r>
            <w:r w:rsidR="00820CBB">
              <w:rPr>
                <w:noProof/>
                <w:webHidden/>
              </w:rPr>
              <w:fldChar w:fldCharType="separate"/>
            </w:r>
            <w:r w:rsidR="00820CBB">
              <w:rPr>
                <w:noProof/>
                <w:webHidden/>
              </w:rPr>
              <w:t>6</w:t>
            </w:r>
            <w:r w:rsidR="00820CBB"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6" w:history="1">
            <w:r w:rsidRPr="00F858C9">
              <w:rPr>
                <w:rStyle w:val="Hipercze"/>
              </w:rPr>
              <w:t>1.1.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Cel pracy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7" w:history="1">
            <w:r w:rsidRPr="00F858C9">
              <w:rPr>
                <w:rStyle w:val="Hipercze"/>
              </w:rPr>
              <w:t>1.2.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Motywacja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8" w:history="1">
            <w:r w:rsidRPr="00F858C9">
              <w:rPr>
                <w:rStyle w:val="Hipercze"/>
              </w:rPr>
              <w:t>1.3.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Zakres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59" w:history="1">
            <w:r w:rsidRPr="00F858C9">
              <w:rPr>
                <w:rStyle w:val="Hipercze"/>
              </w:rPr>
              <w:t>1.4.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Układ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60" w:history="1">
            <w:r w:rsidRPr="00F858C9">
              <w:rPr>
                <w:rStyle w:val="Hipercze"/>
                <w:noProof/>
              </w:rPr>
              <w:t>Rozdział 2.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61" w:history="1">
            <w:r w:rsidRPr="00F858C9">
              <w:rPr>
                <w:rStyle w:val="Hipercze"/>
              </w:rPr>
              <w:t>2.1.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Pojęcia podstawowe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2" w:history="1">
            <w:r w:rsidRPr="00F858C9">
              <w:rPr>
                <w:rStyle w:val="Hipercze"/>
                <w:noProof/>
              </w:rPr>
              <w:t>2.1.1.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Usługa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3" w:history="1">
            <w:r w:rsidRPr="00F858C9">
              <w:rPr>
                <w:rStyle w:val="Hipercze"/>
                <w:noProof/>
              </w:rPr>
              <w:t>2.1.2.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Zarządzanie usługami IT (ITSM)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4" w:history="1">
            <w:r w:rsidRPr="00F858C9">
              <w:rPr>
                <w:rStyle w:val="Hipercze"/>
                <w:noProof/>
              </w:rPr>
              <w:t>2.1.3.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5" w:history="1">
            <w:r w:rsidRPr="00F858C9">
              <w:rPr>
                <w:rStyle w:val="Hipercze"/>
                <w:noProof/>
              </w:rPr>
              <w:t>2.1.4.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Funkcja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6" w:history="1">
            <w:r w:rsidRPr="00F858C9">
              <w:rPr>
                <w:rStyle w:val="Hipercze"/>
                <w:noProof/>
              </w:rPr>
              <w:t>2.1.5.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67" w:history="1">
            <w:r w:rsidRPr="00F858C9">
              <w:rPr>
                <w:rStyle w:val="Hipercze"/>
              </w:rPr>
              <w:t>2.2.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8" w:history="1">
            <w:r w:rsidRPr="00F858C9">
              <w:rPr>
                <w:rStyle w:val="Hipercze"/>
                <w:noProof/>
              </w:rPr>
              <w:t>2.2.1.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Wersja pierwsza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69" w:history="1">
            <w:r w:rsidRPr="00F858C9">
              <w:rPr>
                <w:rStyle w:val="Hipercze"/>
                <w:noProof/>
              </w:rPr>
              <w:t>2.2.2.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Wersja druga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0" w:history="1">
            <w:r w:rsidRPr="00F858C9">
              <w:rPr>
                <w:rStyle w:val="Hipercze"/>
                <w:noProof/>
              </w:rPr>
              <w:t>2.2.3.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Wersja trzecia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71" w:history="1">
            <w:r w:rsidRPr="00F858C9">
              <w:rPr>
                <w:rStyle w:val="Hipercze"/>
              </w:rPr>
              <w:t>2.3.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Struktura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2" w:history="1">
            <w:r w:rsidRPr="00F858C9">
              <w:rPr>
                <w:rStyle w:val="Hipercze"/>
                <w:noProof/>
              </w:rPr>
              <w:t>2.3.1.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 xml:space="preserve">Strategia usług (Service </w:t>
            </w:r>
            <w:r w:rsidRPr="00F858C9">
              <w:rPr>
                <w:rStyle w:val="Hipercze"/>
                <w:noProof/>
                <w:lang w:val="en-US"/>
              </w:rPr>
              <w:t>Strategy</w:t>
            </w:r>
            <w:r w:rsidRPr="00F858C9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3" w:history="1">
            <w:r w:rsidRPr="00F858C9">
              <w:rPr>
                <w:rStyle w:val="Hipercze"/>
                <w:noProof/>
                <w:lang w:val="en-US"/>
              </w:rPr>
              <w:t>2.3.2.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Projektowanie</w:t>
            </w:r>
            <w:r w:rsidRPr="00F858C9">
              <w:rPr>
                <w:rStyle w:val="Hipercze"/>
                <w:noProof/>
                <w:lang w:val="en-US"/>
              </w:rPr>
              <w:t xml:space="preserve"> </w:t>
            </w:r>
            <w:r w:rsidRPr="00F858C9">
              <w:rPr>
                <w:rStyle w:val="Hipercze"/>
                <w:noProof/>
              </w:rPr>
              <w:t>usług</w:t>
            </w:r>
            <w:r w:rsidRPr="00F858C9">
              <w:rPr>
                <w:rStyle w:val="Hipercze"/>
                <w:noProof/>
                <w:lang w:val="en-US"/>
              </w:rPr>
              <w:t xml:space="preserve"> (Service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4" w:history="1">
            <w:r w:rsidRPr="00F858C9">
              <w:rPr>
                <w:rStyle w:val="Hipercze"/>
                <w:noProof/>
              </w:rPr>
              <w:t>2.3.3.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Przekazanie usług (Service Transition)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5" w:history="1">
            <w:r w:rsidRPr="00F858C9">
              <w:rPr>
                <w:rStyle w:val="Hipercze"/>
                <w:noProof/>
              </w:rPr>
              <w:t>2.3.4.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Eksploatacja usług (Service Operation)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6" w:history="1">
            <w:r w:rsidRPr="00F858C9">
              <w:rPr>
                <w:rStyle w:val="Hipercze"/>
                <w:noProof/>
              </w:rPr>
              <w:t>2.3.5.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Ustawiczne doskonalenie usług (Continual Service Improvement)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77" w:history="1">
            <w:r w:rsidRPr="00F858C9">
              <w:rPr>
                <w:rStyle w:val="Hipercze"/>
              </w:rPr>
              <w:t>2.4.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Wyszczególnione procesy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8" w:history="1">
            <w:r w:rsidRPr="00F858C9">
              <w:rPr>
                <w:rStyle w:val="Hipercze"/>
                <w:noProof/>
              </w:rPr>
              <w:t>2.4.1.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Zarządzanie komponentami usług i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79" w:history="1">
            <w:r w:rsidRPr="00F858C9">
              <w:rPr>
                <w:rStyle w:val="Hipercze"/>
                <w:noProof/>
              </w:rPr>
              <w:t>2.4.2.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Zarządzanie</w:t>
            </w:r>
            <w:r w:rsidRPr="00F858C9">
              <w:rPr>
                <w:rStyle w:val="Hipercze"/>
                <w:noProof/>
                <w:lang w:val="en-US"/>
              </w:rPr>
              <w:t xml:space="preserve"> </w:t>
            </w:r>
            <w:r w:rsidRPr="00F858C9">
              <w:rPr>
                <w:rStyle w:val="Hipercze"/>
                <w:noProof/>
              </w:rPr>
              <w:t>zmianą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0" w:history="1">
            <w:r w:rsidRPr="00F858C9">
              <w:rPr>
                <w:rStyle w:val="Hipercze"/>
              </w:rPr>
              <w:t>2.5.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Inne metodyki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81" w:history="1">
            <w:r w:rsidRPr="00F858C9">
              <w:rPr>
                <w:rStyle w:val="Hipercze"/>
                <w:noProof/>
              </w:rPr>
              <w:t>Rozdział 3. Firma RedHost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2" w:history="1">
            <w:r w:rsidRPr="00F858C9">
              <w:rPr>
                <w:rStyle w:val="Hipercze"/>
              </w:rPr>
              <w:t>3.1.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Charakterystyka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3" w:history="1">
            <w:r w:rsidRPr="00F858C9">
              <w:rPr>
                <w:rStyle w:val="Hipercze"/>
              </w:rPr>
              <w:t>3.2.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Wprowadzenie zarządzania konfiguracją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4" w:history="1">
            <w:r w:rsidRPr="00F858C9">
              <w:rPr>
                <w:rStyle w:val="Hipercze"/>
                <w:noProof/>
              </w:rPr>
              <w:t>3.2.1.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Plan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5" w:history="1">
            <w:r w:rsidRPr="00F858C9">
              <w:rPr>
                <w:rStyle w:val="Hipercze"/>
                <w:noProof/>
              </w:rPr>
              <w:t>3.2.2.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Model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86" w:history="1">
            <w:r w:rsidRPr="00F858C9">
              <w:rPr>
                <w:rStyle w:val="Hipercze"/>
              </w:rPr>
              <w:t>3.3.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Wprowadzenie zarządzania zmianą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7" w:history="1">
            <w:r w:rsidRPr="00F858C9">
              <w:rPr>
                <w:rStyle w:val="Hipercze"/>
                <w:noProof/>
              </w:rPr>
              <w:t>3.3.1.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Plan zarządzania zmianą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641888" w:history="1">
            <w:r w:rsidRPr="00F858C9">
              <w:rPr>
                <w:rStyle w:val="Hipercze"/>
                <w:noProof/>
              </w:rPr>
              <w:t>3.3.2.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Model zmiany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89" w:history="1">
            <w:r w:rsidRPr="00F858C9">
              <w:rPr>
                <w:rStyle w:val="Hipercze"/>
                <w:noProof/>
              </w:rPr>
              <w:t>Rozdział 4.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0" w:history="1">
            <w:r w:rsidRPr="00F858C9">
              <w:rPr>
                <w:rStyle w:val="Hipercze"/>
              </w:rPr>
              <w:t>4.1.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Technologia (TECH)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1" w:history="1">
            <w:r w:rsidRPr="00F858C9">
              <w:rPr>
                <w:rStyle w:val="Hipercze"/>
              </w:rPr>
              <w:t>4.2.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Architektura (ARCH)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2" w:history="1">
            <w:r w:rsidRPr="00F858C9">
              <w:rPr>
                <w:rStyle w:val="Hipercze"/>
              </w:rPr>
              <w:t>4.3.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Moduł zarządzania konfiguracją (KONF)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3" w:history="1">
            <w:r w:rsidRPr="00F858C9">
              <w:rPr>
                <w:rStyle w:val="Hipercze"/>
              </w:rPr>
              <w:t>4.4.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Moduł zarządzania zmianą (ZMIA)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2"/>
            <w:rPr>
              <w:rFonts w:asciiTheme="minorHAnsi" w:hAnsiTheme="minorHAnsi"/>
              <w:sz w:val="22"/>
            </w:rPr>
          </w:pPr>
          <w:hyperlink w:anchor="_Toc299641894" w:history="1">
            <w:r w:rsidRPr="00F858C9">
              <w:rPr>
                <w:rStyle w:val="Hipercze"/>
              </w:rPr>
              <w:t>4.5.</w:t>
            </w:r>
            <w:r>
              <w:rPr>
                <w:rFonts w:asciiTheme="minorHAnsi" w:hAnsiTheme="minorHAnsi"/>
                <w:sz w:val="22"/>
              </w:rPr>
              <w:tab/>
            </w:r>
            <w:r w:rsidRPr="00F858C9">
              <w:rPr>
                <w:rStyle w:val="Hipercze"/>
              </w:rPr>
              <w:t>Rdzeń systemu (CORE)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5" w:history="1">
            <w:r w:rsidRPr="00F858C9">
              <w:rPr>
                <w:rStyle w:val="Hipercze"/>
                <w:noProof/>
              </w:rPr>
              <w:t>Rozdział 5.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6" w:history="1">
            <w:r w:rsidRPr="00F858C9">
              <w:rPr>
                <w:rStyle w:val="Hipercze"/>
                <w:noProof/>
              </w:rPr>
              <w:t>Rozdział 6.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7" w:history="1">
            <w:r w:rsidRPr="00F858C9">
              <w:rPr>
                <w:rStyle w:val="Hipercze"/>
                <w:noProof/>
              </w:rPr>
              <w:t>Rozdział 7. Użytkowanie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8" w:history="1">
            <w:r w:rsidRPr="00F858C9">
              <w:rPr>
                <w:rStyle w:val="Hipercze"/>
                <w:noProof/>
              </w:rPr>
              <w:t>Rozdział 8. Użytkowanie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899" w:history="1">
            <w:r w:rsidRPr="00F858C9">
              <w:rPr>
                <w:rStyle w:val="Hipercze"/>
                <w:noProof/>
              </w:rPr>
              <w:t>Rozdział 9. Testy i ocena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641900" w:history="1">
            <w:r w:rsidRPr="00F858C9">
              <w:rPr>
                <w:rStyle w:val="Hipercze"/>
                <w:noProof/>
              </w:rPr>
              <w:t>Rozdział 10.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1" w:history="1">
            <w:r w:rsidRPr="00F858C9">
              <w:rPr>
                <w:rStyle w:val="Hipercze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641902" w:history="1">
            <w:r w:rsidRPr="00F858C9">
              <w:rPr>
                <w:rStyle w:val="Hipercze"/>
                <w:noProof/>
              </w:rPr>
              <w:t>Dodatek A.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F858C9">
              <w:rPr>
                <w:rStyle w:val="Hipercze"/>
                <w:noProof/>
              </w:rPr>
              <w:t>Zawartość płyty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_Toc299641902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CBB" w:rsidRDefault="00820CBB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3" w:history="1">
            <w:r w:rsidRPr="00F858C9">
              <w:rPr>
                <w:rStyle w:val="Hipercze"/>
              </w:rPr>
              <w:t>Wykaz skrótów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4" w:history="1">
            <w:r w:rsidRPr="00F858C9">
              <w:rPr>
                <w:rStyle w:val="Hipercze"/>
              </w:rPr>
              <w:t>Spis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820CBB" w:rsidRDefault="00820CBB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641905" w:history="1">
            <w:r w:rsidRPr="00F858C9">
              <w:rPr>
                <w:rStyle w:val="Hipercze"/>
              </w:rPr>
              <w:t>Spis ilustracji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_Toc299641905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3" w:name="_Toc299641855"/>
      <w:r w:rsidRPr="00E9002B">
        <w:lastRenderedPageBreak/>
        <w:t>Wstęp</w:t>
      </w:r>
      <w:bookmarkEnd w:id="13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4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4"/>
      <w:r w:rsidR="00A248BF">
        <w:rPr>
          <w:rStyle w:val="Odwoaniedokomentarza"/>
        </w:rPr>
        <w:commentReference w:id="14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5"/>
      <w:r w:rsidR="008A266F">
        <w:t>Usług</w:t>
      </w:r>
      <w:r w:rsidR="00F45D1F">
        <w:t xml:space="preserve">ą IT nazywamy </w:t>
      </w:r>
      <w:commentRangeEnd w:id="15"/>
      <w:r w:rsidR="004702D8">
        <w:rPr>
          <w:rStyle w:val="Odwoaniedokomentarza"/>
        </w:rPr>
        <w:commentReference w:id="15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6"/>
      <w:r w:rsidR="004702D8">
        <w:t xml:space="preserve">definicja ta </w:t>
      </w:r>
      <w:r w:rsidR="00AA32A0">
        <w:t xml:space="preserve">ma </w:t>
      </w:r>
      <w:commentRangeEnd w:id="16"/>
      <w:r w:rsidR="00A77113">
        <w:rPr>
          <w:rStyle w:val="Odwoaniedokomentarza"/>
        </w:rPr>
        <w:commentReference w:id="16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zarz</w:t>
      </w:r>
      <w:r w:rsidR="00E83555">
        <w:t>ą</w:t>
      </w:r>
      <w:r w:rsidR="00E83555">
        <w:t xml:space="preserve">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niezale</w:t>
      </w:r>
      <w:r w:rsidR="00F53861">
        <w:t>ż</w:t>
      </w:r>
      <w:r w:rsidR="00F53861">
        <w:t>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>wym</w:t>
      </w:r>
      <w:r w:rsidR="00E062B7">
        <w:t>a</w:t>
      </w:r>
      <w:r w:rsidR="00E062B7">
        <w:t xml:space="preserve">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>i</w:t>
      </w:r>
      <w:r w:rsidR="00D80D7C">
        <w:t>n</w:t>
      </w:r>
      <w:r w:rsidR="00D80D7C">
        <w:t xml:space="preserve">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7"/>
      <w:r w:rsidR="00381BB1">
        <w:t xml:space="preserve">Bez wątpienia obecnie najbardziej popularną </w:t>
      </w:r>
      <w:commentRangeEnd w:id="17"/>
      <w:r w:rsidR="00783500">
        <w:rPr>
          <w:rStyle w:val="Odwoaniedokomentarza"/>
        </w:rPr>
        <w:commentReference w:id="17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8"/>
      <w:r w:rsidR="00D35835">
        <w:t xml:space="preserve">znane </w:t>
      </w:r>
      <w:commentRangeEnd w:id="18"/>
      <w:r w:rsidR="00A20C5B">
        <w:rPr>
          <w:rStyle w:val="Odwoaniedokomentarza"/>
        </w:rPr>
        <w:commentReference w:id="18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19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19"/>
      <w:proofErr w:type="spellEnd"/>
      <w:r w:rsidR="004653EF">
        <w:rPr>
          <w:rStyle w:val="Odwoaniedokomentarza"/>
        </w:rPr>
        <w:commentReference w:id="19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</w:t>
      </w:r>
      <w:r w:rsidR="005F1688">
        <w:t>e</w:t>
      </w:r>
      <w:r w:rsidR="005F1688">
        <w:t>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</w:t>
      </w:r>
      <w:r w:rsidR="00BE3A34">
        <w:t>o</w:t>
      </w:r>
      <w:r w:rsidR="00BE3A34">
        <w:t>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</w:t>
      </w:r>
      <w:r w:rsidR="00DF4327">
        <w:t>o</w:t>
      </w:r>
      <w:r w:rsidR="00DF4327">
        <w:t>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</w:t>
      </w:r>
      <w:r w:rsidR="0061127F">
        <w:t>n</w:t>
      </w:r>
      <w:r w:rsidR="0061127F">
        <w:t>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0" w:name="_Toc299641856"/>
      <w:r>
        <w:t xml:space="preserve">Cel </w:t>
      </w:r>
      <w:r w:rsidR="00E87300">
        <w:t>p</w:t>
      </w:r>
      <w:r>
        <w:t>racy</w:t>
      </w:r>
      <w:bookmarkEnd w:id="20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1" w:name="_Toc299641857"/>
      <w:r>
        <w:t>Motywacja</w:t>
      </w:r>
      <w:bookmarkEnd w:id="21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2" w:name="_Toc299641858"/>
      <w:r>
        <w:lastRenderedPageBreak/>
        <w:t>Zakres</w:t>
      </w:r>
      <w:bookmarkEnd w:id="22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3"/>
      <w:r w:rsidR="00A3652A">
        <w:t>dyplomanta</w:t>
      </w:r>
      <w:commentRangeEnd w:id="23"/>
      <w:r w:rsidR="00A3652A">
        <w:rPr>
          <w:rStyle w:val="Odwoaniedokomentarza"/>
        </w:rPr>
        <w:commentReference w:id="23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najwa</w:t>
      </w:r>
      <w:r w:rsidR="00105C70">
        <w:t>ż</w:t>
      </w:r>
      <w:r w:rsidR="00105C70">
        <w:t>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4"/>
      <w:r w:rsidR="00DB0216">
        <w:t xml:space="preserve">utora </w:t>
      </w:r>
      <w:commentRangeEnd w:id="24"/>
      <w:r w:rsidR="00DB0216">
        <w:rPr>
          <w:rStyle w:val="Odwoaniedokomentarza"/>
        </w:rPr>
        <w:commentReference w:id="24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5" w:name="_Toc299641859"/>
      <w:r>
        <w:t>Układ</w:t>
      </w:r>
      <w:bookmarkEnd w:id="25"/>
    </w:p>
    <w:p w:rsidR="00C32730" w:rsidRDefault="00E31322" w:rsidP="00B43787">
      <w:pPr>
        <w:pStyle w:val="Pierwszyakapit"/>
      </w:pPr>
      <w:commentRangeStart w:id="26"/>
      <w:r>
        <w:t xml:space="preserve">Rozdział drugi </w:t>
      </w:r>
      <w:r w:rsidR="008F5F0F">
        <w:t xml:space="preserve">opisuje </w:t>
      </w:r>
      <w:r w:rsidR="00B43787">
        <w:t>kodeks postępowania</w:t>
      </w:r>
      <w:r w:rsidR="008F5F0F">
        <w:t xml:space="preserve"> ITIL </w:t>
      </w:r>
      <w:commentRangeEnd w:id="26"/>
      <w:r w:rsidR="00226B02">
        <w:rPr>
          <w:rStyle w:val="Odwoaniedokomentarza"/>
        </w:rPr>
        <w:commentReference w:id="26"/>
      </w:r>
      <w:r w:rsidR="008F5F0F">
        <w:t>z</w:t>
      </w:r>
      <w:r w:rsidR="00B43787">
        <w:t>e</w:t>
      </w:r>
      <w:r w:rsidR="008F5F0F">
        <w:t xml:space="preserve"> szczególnym uwzględnieniem zarządz</w:t>
      </w:r>
      <w:r w:rsidR="008F5F0F">
        <w:t>a</w:t>
      </w:r>
      <w:r w:rsidR="008F5F0F">
        <w:t>ni konfiguracją i zmianą.</w:t>
      </w:r>
      <w:r w:rsidR="00B17FC5">
        <w:t xml:space="preserve"> W rozdziale trzecim przedstawiono profil przykładowej fi</w:t>
      </w:r>
      <w:r w:rsidR="00B17FC5">
        <w:t>r</w:t>
      </w:r>
      <w:r w:rsidR="00B17FC5">
        <w:t xml:space="preserve">my, </w:t>
      </w:r>
      <w:r w:rsidR="00673807">
        <w:t xml:space="preserve">która zamierza </w:t>
      </w:r>
      <w:r w:rsidR="00B43787">
        <w:t xml:space="preserve">wprowadzić </w:t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</w:t>
      </w:r>
      <w:r w:rsidR="00847355">
        <w:t>m</w:t>
      </w:r>
      <w:r w:rsidR="00847355">
        <w:t>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>zastosowania systemu po jego wdroż</w:t>
      </w:r>
      <w:r w:rsidR="006C26D0">
        <w:t>e</w:t>
      </w:r>
      <w:r w:rsidR="006C26D0">
        <w:t xml:space="preserve">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  <w:r w:rsidR="00B43787">
        <w:t xml:space="preserve"> </w:t>
      </w:r>
      <w:r w:rsidR="00B43787" w:rsidRPr="00EF2CC8">
        <w:t>Wszystkie</w:t>
      </w:r>
      <w:r w:rsidR="00B43787">
        <w:t xml:space="preserve"> nazwy związane z ITIL występujące w tej pracy zostały przetłumaczone zgo</w:t>
      </w:r>
      <w:r w:rsidR="00B43787">
        <w:t>d</w:t>
      </w:r>
      <w:r w:rsidR="00B43787">
        <w:t>nie z oficjalnym słownikiem wydanym przez OGC</w:t>
      </w:r>
      <w:r w:rsidR="00B43787">
        <w:rPr>
          <w:rStyle w:val="Odwoanieprzypisudolnego"/>
        </w:rPr>
        <w:footnoteReference w:id="3"/>
      </w:r>
      <w:r w:rsidR="00B43787">
        <w:t>.</w:t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7" w:name="_Toc299641860"/>
      <w:r>
        <w:lastRenderedPageBreak/>
        <w:t>ITIL</w:t>
      </w:r>
      <w:bookmarkEnd w:id="27"/>
    </w:p>
    <w:p w:rsidR="00B2619E" w:rsidRDefault="00BD3502" w:rsidP="00B2619E">
      <w:pPr>
        <w:pStyle w:val="Pierwszyakapit"/>
      </w:pPr>
      <w:r w:rsidRPr="005B2513">
        <w:t xml:space="preserve">Information Technology </w:t>
      </w:r>
      <w:proofErr w:type="spellStart"/>
      <w:r w:rsidRPr="008169D1">
        <w:t>Infrastructure</w:t>
      </w:r>
      <w:proofErr w:type="spellEnd"/>
      <w:r w:rsidRPr="005B2513">
        <w:t xml:space="preserve"> Library to </w:t>
      </w:r>
      <w:r w:rsidR="005B2513" w:rsidRPr="00BD3502">
        <w:t xml:space="preserve">kodeks </w:t>
      </w:r>
      <w:r w:rsidR="008169D1">
        <w:t>postępowania</w:t>
      </w:r>
      <w:r w:rsidR="005B2513">
        <w:t xml:space="preserve"> </w:t>
      </w:r>
      <w:r w:rsidR="008169D1">
        <w:t>pomagający w</w:t>
      </w:r>
      <w:r w:rsidR="005B2513">
        <w:t xml:space="preserve"> zarz</w:t>
      </w:r>
      <w:r w:rsidR="005B2513">
        <w:t>ą</w:t>
      </w:r>
      <w:r w:rsidR="005B2513">
        <w:t>dza</w:t>
      </w:r>
      <w:r w:rsidR="008169D1">
        <w:t>niu infrastrukturą informatyczną</w:t>
      </w:r>
      <w:r w:rsidR="00B2619E">
        <w:t xml:space="preserve"> w firmie</w:t>
      </w:r>
      <w:r w:rsidR="005B2513">
        <w:t>.</w:t>
      </w:r>
      <w:r w:rsidR="008169D1">
        <w:t xml:space="preserve"> Może być stosowany zarówno w samodzie</w:t>
      </w:r>
      <w:r w:rsidR="008169D1">
        <w:t>l</w:t>
      </w:r>
      <w:r w:rsidR="008169D1">
        <w:t xml:space="preserve">nych przedsiębiorstwach IT, jak i wewnętrznych działach informatycznych niezależnie od branży. </w:t>
      </w:r>
      <w:r w:rsidR="00B2619E">
        <w:t>Postrzega infrastrukturę informatyczną z perspektywy użytkownika i określa wszys</w:t>
      </w:r>
      <w:r w:rsidR="00B2619E">
        <w:t>t</w:t>
      </w:r>
      <w:r w:rsidR="008E74E4">
        <w:t>kie świadczenia IT mianem usług</w:t>
      </w:r>
      <w:r w:rsidR="00B2619E">
        <w:t>. Tym samym wpisuje się w dziedzinę metodyk zarządzania usługami IT (ITSM), w</w:t>
      </w:r>
      <w:r w:rsidR="008E74E4">
        <w:t xml:space="preserve"> ramach</w:t>
      </w:r>
      <w:r w:rsidR="00B2619E">
        <w:t xml:space="preserve"> której bez wątpienia jest najpopularniejszym opracowaniem.</w:t>
      </w:r>
      <w:r w:rsidR="008E74E4">
        <w:t xml:space="preserve"> Używają go tysiące firm na całym świecie zarówno z sektora prywatnego, jak i rządowego. Swoją popularność zawdzięcza temu, że stanowi zbiór sprawdzonych i najlepszych praktyk, napotkanych do tej pory w biznesie. ITIL nie narzuca sztywnych wytycznych. </w:t>
      </w:r>
      <w:r w:rsidR="001666DA">
        <w:t>Należy go o</w:t>
      </w:r>
      <w:r w:rsidR="001666DA">
        <w:t>d</w:t>
      </w:r>
      <w:r w:rsidR="001666DA">
        <w:t>czytywać jako zbiór porad i wskazówek, które w razie potrzeby mogą być dostosowane do specyficznych potrzeb i możliwości.</w:t>
      </w:r>
    </w:p>
    <w:p w:rsidR="0059526C" w:rsidRDefault="0059526C" w:rsidP="0059526C">
      <w:r>
        <w:t>Najmniejszą częścią ITIL są pojedyncze czynności wykonywane przez pracowników IT. Czynności są łączone w powiązane grupy, a te z kolei w procesy odpowiadające za w</w:t>
      </w:r>
      <w:r>
        <w:t>y</w:t>
      </w:r>
      <w:r>
        <w:t xml:space="preserve">brane aspekty zarządzania usługami. </w:t>
      </w:r>
      <w:r w:rsidR="00D26009">
        <w:t>Procesy tworzą pięć obszarów odpowiadających etapom cyklu życia usługi. Obszary te to:</w:t>
      </w:r>
    </w:p>
    <w:p w:rsidR="0059526C" w:rsidRDefault="0059526C" w:rsidP="0059526C"/>
    <w:p w:rsidR="0059526C" w:rsidRDefault="0059526C" w:rsidP="0059526C">
      <w:pPr>
        <w:pStyle w:val="Akapitzlist"/>
        <w:numPr>
          <w:ilvl w:val="0"/>
          <w:numId w:val="22"/>
        </w:numPr>
      </w:pPr>
      <w:r>
        <w:t>Strategia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Projektowanie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Przekazanie usług</w:t>
      </w:r>
    </w:p>
    <w:p w:rsidR="0059526C" w:rsidRDefault="0059526C" w:rsidP="0059526C">
      <w:pPr>
        <w:pStyle w:val="Akapitzlist"/>
        <w:numPr>
          <w:ilvl w:val="0"/>
          <w:numId w:val="22"/>
        </w:numPr>
      </w:pPr>
      <w:r>
        <w:t>Eksploatacja usług</w:t>
      </w:r>
    </w:p>
    <w:p w:rsidR="0059526C" w:rsidRPr="0059526C" w:rsidRDefault="0059526C" w:rsidP="0059526C">
      <w:pPr>
        <w:pStyle w:val="Akapitzlist"/>
        <w:numPr>
          <w:ilvl w:val="0"/>
          <w:numId w:val="22"/>
        </w:numPr>
      </w:pPr>
      <w:r>
        <w:t>Ustawiczne doskonalenie usług</w:t>
      </w:r>
    </w:p>
    <w:p w:rsidR="005A64A0" w:rsidRDefault="001666DA" w:rsidP="0059526C">
      <w:pPr>
        <w:pStyle w:val="Pierwszyakapit"/>
      </w:pPr>
      <w:r>
        <w:t xml:space="preserve">Zanim nastąpi </w:t>
      </w:r>
      <w:r w:rsidR="009F4793">
        <w:t>ich omówienie</w:t>
      </w:r>
      <w:r>
        <w:t xml:space="preserve">, </w:t>
      </w:r>
      <w:r w:rsidR="00C0505B">
        <w:t>należy</w:t>
      </w:r>
      <w:r>
        <w:t xml:space="preserve"> zapoznać się z definicjami wielu podstawowych pojęć oraz prześledzić historię </w:t>
      </w:r>
      <w:r w:rsidR="009F4793">
        <w:t xml:space="preserve">ewolucji </w:t>
      </w:r>
      <w:r>
        <w:t xml:space="preserve">metodyki. Pozwoli to na </w:t>
      </w:r>
      <w:r w:rsidR="005A64A0">
        <w:t>dogłębne</w:t>
      </w:r>
      <w:r>
        <w:t xml:space="preserve"> zrozumienie </w:t>
      </w:r>
      <w:r w:rsidR="009F4793">
        <w:t>wszystkich</w:t>
      </w:r>
      <w:r>
        <w:t xml:space="preserve"> </w:t>
      </w:r>
      <w:r w:rsidR="009F4793">
        <w:t xml:space="preserve">przedstawianych celów, struktur i </w:t>
      </w:r>
      <w:r>
        <w:t xml:space="preserve">elementów. </w:t>
      </w:r>
      <w:r w:rsidR="009F4793">
        <w:t>Procesy s</w:t>
      </w:r>
      <w:r>
        <w:t>zczególnie interesujące</w:t>
      </w:r>
      <w:r w:rsidR="009F4793">
        <w:t xml:space="preserve">, </w:t>
      </w:r>
      <w:r>
        <w:t>z punktu w</w:t>
      </w:r>
      <w:r>
        <w:t>i</w:t>
      </w:r>
      <w:r>
        <w:t>dzenia tej pra</w:t>
      </w:r>
      <w:r w:rsidR="009F4793">
        <w:t>cy,</w:t>
      </w:r>
      <w:r>
        <w:t xml:space="preserve"> zostały wyróżnione i</w:t>
      </w:r>
      <w:r w:rsidR="00C0505B">
        <w:t xml:space="preserve"> omówione</w:t>
      </w:r>
      <w:r>
        <w:t xml:space="preserve"> szczegółowo. </w:t>
      </w:r>
    </w:p>
    <w:p w:rsidR="005B4CA5" w:rsidRPr="0059526C" w:rsidRDefault="001666DA" w:rsidP="0059526C">
      <w:r>
        <w:t xml:space="preserve">W dalszej części rozdziału przyjęto, że </w:t>
      </w:r>
      <w:r w:rsidR="005A64A0">
        <w:t>organizacją świadczącą usługi informatyczne</w:t>
      </w:r>
      <w:r>
        <w:t xml:space="preserve"> jest samodzielne przedsiębiorstwo. Nic nie stoi jednak</w:t>
      </w:r>
      <w:r w:rsidR="005A64A0">
        <w:t xml:space="preserve"> na przeszkodzie, aby wszystko to o</w:t>
      </w:r>
      <w:r w:rsidR="005A64A0">
        <w:t>d</w:t>
      </w:r>
      <w:r w:rsidR="005A64A0">
        <w:t xml:space="preserve">nosić do wewnętrznego departamentu IT, ponieważ ITIL może być stosowany </w:t>
      </w:r>
      <w:r w:rsidR="005B4CA5">
        <w:t>tak samo przez obie organizacje</w:t>
      </w:r>
      <w:r w:rsidR="005A64A0">
        <w:t>. Jest to jedynie zabieg redakcyjny mający na celu skrócenie i ujednolicenie tekstu — ciągłe powtarzanie tej alternatywy byłoby co najmniej nurzące.</w:t>
      </w:r>
      <w:r w:rsidR="005B4CA5">
        <w:br w:type="page"/>
      </w:r>
    </w:p>
    <w:p w:rsidR="00B85166" w:rsidRDefault="004945DF" w:rsidP="00DB48C7">
      <w:pPr>
        <w:pStyle w:val="Nagwek2"/>
      </w:pPr>
      <w:bookmarkStart w:id="28" w:name="_Toc299641861"/>
      <w:r>
        <w:lastRenderedPageBreak/>
        <w:t>Pojęcia podstawowe</w:t>
      </w:r>
      <w:bookmarkEnd w:id="28"/>
    </w:p>
    <w:p w:rsidR="00B85166" w:rsidRDefault="00B85166" w:rsidP="00B85166">
      <w:pPr>
        <w:pStyle w:val="Nagwek3"/>
      </w:pPr>
      <w:bookmarkStart w:id="29" w:name="_Toc299641862"/>
      <w:r>
        <w:t>Usługa</w:t>
      </w:r>
      <w:bookmarkEnd w:id="29"/>
    </w:p>
    <w:p w:rsidR="00934E3F" w:rsidRDefault="00934E3F" w:rsidP="00934E3F">
      <w:pPr>
        <w:pStyle w:val="Pierwszyakapit"/>
      </w:pPr>
      <w:r>
        <w:t xml:space="preserve">Usługa jest głównym pojęciem, na którym </w:t>
      </w:r>
      <w:r w:rsidR="008275ED">
        <w:t>oparty</w:t>
      </w:r>
      <w:r>
        <w:t xml:space="preserve"> jest cały ITIL.</w:t>
      </w:r>
      <w:r w:rsidR="00863B43">
        <w:t xml:space="preserve"> Wszyscy posiadają wyobr</w:t>
      </w:r>
      <w:r w:rsidR="00863B43">
        <w:t>a</w:t>
      </w:r>
      <w:r w:rsidR="00863B43">
        <w:t>żenie o istocie tego terminu, jednak warto przytoczyć formalną definicję:</w:t>
      </w:r>
    </w:p>
    <w:p w:rsidR="00934E3F" w:rsidRPr="00934E3F" w:rsidRDefault="00934E3F" w:rsidP="00934E3F"/>
    <w:p w:rsidR="00BD003E" w:rsidRDefault="006A7D99" w:rsidP="00BD003E">
      <w:pPr>
        <w:pStyle w:val="Cytat"/>
        <w:rPr>
          <w:lang w:val="en-US"/>
        </w:rPr>
      </w:pPr>
      <w:r w:rsidRPr="006A7D99">
        <w:rPr>
          <w:lang w:val="en-US"/>
        </w:rPr>
        <w:t>„</w:t>
      </w:r>
      <w:r w:rsidR="00BD003E" w:rsidRPr="00BD003E">
        <w:rPr>
          <w:lang w:val="en-US"/>
        </w:rPr>
        <w:t xml:space="preserve">A means of delivering value to customers by facilitating outcomes </w:t>
      </w:r>
      <w:r w:rsidR="00BD003E">
        <w:rPr>
          <w:lang w:val="en-US"/>
        </w:rPr>
        <w:t>custome</w:t>
      </w:r>
      <w:r>
        <w:rPr>
          <w:lang w:val="en-US"/>
        </w:rPr>
        <w:t>r</w:t>
      </w:r>
      <w:r w:rsidR="00BD003E">
        <w:rPr>
          <w:lang w:val="en-US"/>
        </w:rPr>
        <w:t>s want to achi</w:t>
      </w:r>
      <w:r>
        <w:rPr>
          <w:lang w:val="en-US"/>
        </w:rPr>
        <w:t>e</w:t>
      </w:r>
      <w:r w:rsidR="00BD003E">
        <w:rPr>
          <w:lang w:val="en-US"/>
        </w:rPr>
        <w:t>ve</w:t>
      </w:r>
      <w:r>
        <w:rPr>
          <w:lang w:val="en-US"/>
        </w:rPr>
        <w:t xml:space="preserve"> without the ownership of specific costs and risks.”</w:t>
      </w:r>
    </w:p>
    <w:p w:rsidR="006A7D99" w:rsidRDefault="006A7D99" w:rsidP="006A7D99">
      <w:pPr>
        <w:pStyle w:val="Cytat"/>
      </w:pPr>
      <w:r w:rsidRPr="006A7D99">
        <w:t xml:space="preserve">Sposób dostarczania </w:t>
      </w:r>
      <w:r>
        <w:t>wartości klientom poprzez ułatwienie otrzymania pożąd</w:t>
      </w:r>
      <w:r>
        <w:t>a</w:t>
      </w:r>
      <w:r>
        <w:t xml:space="preserve">nych wyników, bez posiadania specyficznych kosztów i </w:t>
      </w:r>
      <w:r w:rsidRPr="006A7D99">
        <w:t>ryzyka</w:t>
      </w:r>
      <w:r>
        <w:t>.</w:t>
      </w:r>
    </w:p>
    <w:p w:rsidR="006A7D99" w:rsidRPr="00291167" w:rsidRDefault="006A7D99" w:rsidP="006A7D99">
      <w:pPr>
        <w:pStyle w:val="CytatPodpis"/>
        <w:rPr>
          <w:lang w:val="pl-PL"/>
        </w:rPr>
      </w:pPr>
      <w:r w:rsidRPr="006A7D99">
        <w:rPr>
          <w:lang w:val="pl-PL"/>
        </w:rPr>
        <w:t>Definicja</w:t>
      </w:r>
      <w:r w:rsidRPr="00291167">
        <w:rPr>
          <w:lang w:val="pl-PL"/>
        </w:rPr>
        <w:t xml:space="preserve"> </w:t>
      </w:r>
      <w:r w:rsidRPr="006A7D99">
        <w:rPr>
          <w:lang w:val="pl-PL"/>
        </w:rPr>
        <w:t>usługi</w:t>
      </w:r>
      <w:r w:rsidRPr="00291167">
        <w:rPr>
          <w:lang w:val="pl-PL"/>
        </w:rPr>
        <w:t xml:space="preserve">, </w:t>
      </w:r>
      <w:r w:rsidRPr="006A7D99">
        <w:rPr>
          <w:lang w:val="pl-PL"/>
        </w:rPr>
        <w:t>źródło</w:t>
      </w:r>
      <w:r w:rsidRPr="00291167">
        <w:rPr>
          <w:lang w:val="pl-PL"/>
        </w:rPr>
        <w:t xml:space="preserve">: </w:t>
      </w:r>
      <w:sdt>
        <w:sdtPr>
          <w:id w:val="159652315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OGC073 \l 1045 </w:instrText>
          </w:r>
          <w:r>
            <w:fldChar w:fldCharType="separate"/>
          </w:r>
          <w:r w:rsidRPr="006A7D99">
            <w:rPr>
              <w:noProof/>
              <w:lang w:val="pl-PL"/>
            </w:rPr>
            <w:t>(OGC)</w:t>
          </w:r>
          <w:r>
            <w:fldChar w:fldCharType="end"/>
          </w:r>
        </w:sdtContent>
      </w:sdt>
    </w:p>
    <w:p w:rsidR="00183AF6" w:rsidRDefault="008275ED" w:rsidP="00E47881">
      <w:pPr>
        <w:pStyle w:val="Pierwszyakapit"/>
      </w:pPr>
      <w:r>
        <w:t>Aby w pełni zrozumieć t</w:t>
      </w:r>
      <w:r w:rsidR="00CD6C78">
        <w:t>ą</w:t>
      </w:r>
      <w:r>
        <w:t xml:space="preserve"> </w:t>
      </w:r>
      <w:r w:rsidR="00CD6C78">
        <w:t>formułę</w:t>
      </w:r>
      <w:r>
        <w:t xml:space="preserve">, trzeba rozwinąć pojęcia wartości, ułatwienia otrzymania wyników oraz posiadania kosztów i ryzyka. </w:t>
      </w:r>
    </w:p>
    <w:p w:rsidR="00183AF6" w:rsidRDefault="004A15EB" w:rsidP="00183AF6">
      <w:r>
        <w:t>Klienci</w:t>
      </w:r>
      <w:r w:rsidR="00CD6C78">
        <w:t xml:space="preserve"> korzystają z usług, ponieważ chcą osiągnąć pewne cele biznesowe bądź prywa</w:t>
      </w:r>
      <w:r w:rsidR="00CD6C78">
        <w:t>t</w:t>
      </w:r>
      <w:r w:rsidR="00CD6C78">
        <w:t>ne. Dla przykładu weźmy jednostkę chcącą zamieścić w internecie swoją stronę www.  Posi</w:t>
      </w:r>
      <w:r w:rsidR="00CD6C78">
        <w:t>a</w:t>
      </w:r>
      <w:r w:rsidR="00CD6C78">
        <w:t>danie takiej witryny wiąże się z potrzebą zakupu odpowiedniego sprzętu, oprogramowania, łączy oraz utrzymaniem infrastruktury i personelu. Klient natomiast nie chce być za to wszystko płacić i być odpowiedzialny</w:t>
      </w:r>
      <w:r w:rsidR="00E47881">
        <w:t>.</w:t>
      </w:r>
      <w:r w:rsidR="00CD6C78">
        <w:t xml:space="preserve"> </w:t>
      </w:r>
      <w:r w:rsidR="00E47881">
        <w:t>Rezultatem tej potrzeby jest</w:t>
      </w:r>
      <w:r w:rsidR="00CD6C78">
        <w:t xml:space="preserve"> powsta</w:t>
      </w:r>
      <w:r w:rsidR="00E47881">
        <w:t>nie na rynku przedsiębiorstw</w:t>
      </w:r>
      <w:r w:rsidR="00CD6C78">
        <w:t>, które zajmują się wykonywaniem prac</w:t>
      </w:r>
      <w:r w:rsidR="00E47881">
        <w:t xml:space="preserve"> związanych z hostingiem</w:t>
      </w:r>
      <w:r w:rsidR="00CD6C78">
        <w:t xml:space="preserve"> i przejmują </w:t>
      </w:r>
      <w:r w:rsidR="00E47881">
        <w:t xml:space="preserve">na siebie </w:t>
      </w:r>
      <w:r w:rsidR="0045543F">
        <w:t>związane z nimi ryzyko</w:t>
      </w:r>
      <w:r w:rsidR="00CD6C78">
        <w:t xml:space="preserve">. Ponadto dzięki specjalizacji </w:t>
      </w:r>
      <w:r w:rsidR="00E47881">
        <w:t xml:space="preserve">są w stanie zmniejszyć </w:t>
      </w:r>
      <w:r w:rsidR="0045543F">
        <w:t>koszty</w:t>
      </w:r>
      <w:r w:rsidR="00E47881">
        <w:t xml:space="preserve"> poprzez ich rozłożenie na </w:t>
      </w:r>
      <w:r w:rsidR="0045543F">
        <w:t>wielu</w:t>
      </w:r>
      <w:r w:rsidR="00E47881">
        <w:t xml:space="preserve"> </w:t>
      </w:r>
      <w:r w:rsidR="0045543F">
        <w:t>odbiorców usługi</w:t>
      </w:r>
      <w:r w:rsidR="00E47881">
        <w:t xml:space="preserve">. </w:t>
      </w:r>
    </w:p>
    <w:p w:rsidR="008275ED" w:rsidRPr="008275ED" w:rsidRDefault="00E47881" w:rsidP="00183AF6">
      <w:r>
        <w:t xml:space="preserve">Jednak żeby </w:t>
      </w:r>
      <w:r w:rsidR="0045543F">
        <w:t>konsument</w:t>
      </w:r>
      <w:r>
        <w:t xml:space="preserve"> chciał skorzystać z takiej oferty musi być spełniony jeszcze j</w:t>
      </w:r>
      <w:r>
        <w:t>e</w:t>
      </w:r>
      <w:r>
        <w:t>den warunek.</w:t>
      </w:r>
      <w:r w:rsidR="0045543F">
        <w:t xml:space="preserve"> Świadczona usługa musi, w odczuciu klienta, być potrzebna i pozytywnie wpływać na spełnienie jego celów. W ten sposób usługodawca wytwarza wartość, za którą odbiorca usługi płaci. Ten specyficzny </w:t>
      </w:r>
      <w:r w:rsidR="00183AF6">
        <w:t>towar</w:t>
      </w:r>
      <w:r w:rsidR="0045543F">
        <w:t xml:space="preserve"> składa się z dwóch podstawowych elementów</w:t>
      </w:r>
      <w:r w:rsidR="00183AF6">
        <w:t>. Pierwszym z nich jest użyteczność, określająca w jakim stopniu usługa spełnia oczekiwania klienta i generuje pożądane wyniki. Polega zwykle na przyspieszeniu wykonywania zadań, podniesieniu jakości wytwarzanych produktów lub usunięciu różnego rodzaju ograniczeń. Drugim składnikiem jest gwarancja, która zapewnia dostępność usługi, odpowiednią poje</w:t>
      </w:r>
      <w:r w:rsidR="00183AF6">
        <w:t>m</w:t>
      </w:r>
      <w:r w:rsidR="00183AF6">
        <w:t xml:space="preserve">ność, ciągłość świadczenia i bezpieczeństwo. Nawet najbardziej użyteczna usługa </w:t>
      </w:r>
      <w:r w:rsidR="006E3FF9">
        <w:t xml:space="preserve">może </w:t>
      </w:r>
      <w:r w:rsidR="00183AF6">
        <w:t>nie posiada</w:t>
      </w:r>
      <w:r w:rsidR="006E3FF9">
        <w:t>ć</w:t>
      </w:r>
      <w:r w:rsidR="00183AF6">
        <w:t xml:space="preserve"> wartości dla klienta, gdy jest niedostępna</w:t>
      </w:r>
      <w:r w:rsidR="006E3FF9">
        <w:t xml:space="preserve">, wadliwa </w:t>
      </w:r>
      <w:r w:rsidR="00183AF6">
        <w:t>lub</w:t>
      </w:r>
      <w:r w:rsidR="006E3FF9">
        <w:t xml:space="preserve"> niebezpieczna</w:t>
      </w:r>
      <w:r w:rsidR="00183AF6">
        <w:t>.</w:t>
      </w:r>
    </w:p>
    <w:p w:rsidR="004945DF" w:rsidRDefault="004945DF" w:rsidP="004945DF">
      <w:pPr>
        <w:pStyle w:val="Nagwek3"/>
      </w:pPr>
      <w:bookmarkStart w:id="30" w:name="_Toc299641863"/>
      <w:r>
        <w:lastRenderedPageBreak/>
        <w:t>Zarządzanie usługami IT (ITSM)</w:t>
      </w:r>
      <w:bookmarkEnd w:id="30"/>
    </w:p>
    <w:p w:rsidR="00555CA7" w:rsidRDefault="00A0289C" w:rsidP="00F52BEC">
      <w:pPr>
        <w:pStyle w:val="Pierwszyakapit"/>
      </w:pPr>
      <w:r>
        <w:t>Dziedzina metod zarządzania infrastrukturą IT, postrzegająca ogół czynności świadczonych przez personel informatyczny w kategorii usług.</w:t>
      </w:r>
      <w:r w:rsidR="006F4F02">
        <w:t xml:space="preserve"> </w:t>
      </w:r>
      <w:r w:rsidR="006343E5">
        <w:t>Odcina się</w:t>
      </w:r>
      <w:r w:rsidR="006F4F02">
        <w:t xml:space="preserve"> od tradycyjnego podejścia skupi</w:t>
      </w:r>
      <w:r w:rsidR="006F4F02">
        <w:t>a</w:t>
      </w:r>
      <w:r w:rsidR="006F4F02">
        <w:t>jącego się technologii</w:t>
      </w:r>
      <w:r w:rsidR="006343E5">
        <w:t>.</w:t>
      </w:r>
      <w:r w:rsidR="006F4F02">
        <w:t xml:space="preserve"> </w:t>
      </w:r>
      <w:r w:rsidR="006343E5">
        <w:t>D</w:t>
      </w:r>
      <w:r w:rsidR="006F4F02">
        <w:t xml:space="preserve">la </w:t>
      </w:r>
      <w:r w:rsidR="00056B87">
        <w:t>niej</w:t>
      </w:r>
      <w:r w:rsidR="004F67DC">
        <w:t xml:space="preserve"> </w:t>
      </w:r>
      <w:r w:rsidR="006F4F02">
        <w:t>najważniejsze są potrzeby użytkownika</w:t>
      </w:r>
      <w:r w:rsidR="006343E5">
        <w:t>, czemu wyraz daje koncentracja na ogóle komponentów potrzebnych do</w:t>
      </w:r>
      <w:r w:rsidR="004F4EF6">
        <w:t xml:space="preserve"> osiągnięcia zamierzonego celu</w:t>
      </w:r>
      <w:r w:rsidR="009459A9">
        <w:t>, a nie pojedynczych elementach infrastruktury</w:t>
      </w:r>
      <w:r w:rsidR="004F4EF6">
        <w:t>.</w:t>
      </w:r>
      <w:r w:rsidR="00F52BEC">
        <w:t xml:space="preserve"> </w:t>
      </w:r>
      <w:r w:rsidR="00056B87">
        <w:t xml:space="preserve">Dzięki ustanowieniu ról usługodawcy i usługobiorcy można jasno określić zbiór obowiązków i schematy komunikacji między oboma grupami. Podstawą interakcji są różnego rodzaju umowy, na podstawie i w ramach których następuje świadczenie usług. Ponadto </w:t>
      </w:r>
      <w:r w:rsidR="00F52BEC">
        <w:t>podział</w:t>
      </w:r>
      <w:r w:rsidR="00056B87">
        <w:t xml:space="preserve"> t</w:t>
      </w:r>
      <w:r w:rsidR="00F52BEC">
        <w:t>en</w:t>
      </w:r>
      <w:r w:rsidR="00056B87">
        <w:t xml:space="preserve"> umożliwia </w:t>
      </w:r>
      <w:r w:rsidR="006343E5">
        <w:t>ukrycie wszystkich zbędnych detali tec</w:t>
      </w:r>
      <w:r w:rsidR="006343E5">
        <w:t>h</w:t>
      </w:r>
      <w:r w:rsidR="006343E5">
        <w:t xml:space="preserve">nicznych wewnątrz </w:t>
      </w:r>
      <w:r w:rsidR="00056B87">
        <w:t>usługodawcy</w:t>
      </w:r>
      <w:r w:rsidR="006343E5">
        <w:t>.</w:t>
      </w:r>
      <w:r w:rsidR="00F854E2">
        <w:t xml:space="preserve"> Usługobiorca jest dzięki temu zwalniany z obowiązku p</w:t>
      </w:r>
      <w:r w:rsidR="00F854E2">
        <w:t>o</w:t>
      </w:r>
      <w:r w:rsidR="00F854E2">
        <w:t>dejmowania wielu szczegółowych decyzji.</w:t>
      </w:r>
      <w:r w:rsidR="006343E5">
        <w:t xml:space="preserve"> W efekcie </w:t>
      </w:r>
      <w:r w:rsidR="000E7BDD">
        <w:t xml:space="preserve">pozwala </w:t>
      </w:r>
      <w:r w:rsidR="00F854E2">
        <w:t xml:space="preserve">to </w:t>
      </w:r>
      <w:r w:rsidR="000E7BDD">
        <w:t>na</w:t>
      </w:r>
      <w:r w:rsidR="006343E5">
        <w:t xml:space="preserve"> specjalizację </w:t>
      </w:r>
      <w:r w:rsidR="00056B87">
        <w:t xml:space="preserve">dostawcy </w:t>
      </w:r>
      <w:r w:rsidR="006343E5">
        <w:t>oraz przeniesienie i ro</w:t>
      </w:r>
      <w:r w:rsidR="00B32A69">
        <w:t>zproszenie kosztów oraz ryzyka. Takie podejście zaskakująco dobrze współgra z zastosowaniem chmur obliczeniowych</w:t>
      </w:r>
      <w:r w:rsidR="00B32A69">
        <w:rPr>
          <w:rStyle w:val="Odwoanieprzypisudolnego"/>
        </w:rPr>
        <w:footnoteReference w:id="4"/>
      </w:r>
      <w:r w:rsidR="00B32A69">
        <w:t>, obecni</w:t>
      </w:r>
      <w:r w:rsidR="00555CA7">
        <w:t>e</w:t>
      </w:r>
      <w:r w:rsidR="00B32A69">
        <w:t xml:space="preserve"> bardzo popularnych.</w:t>
      </w:r>
      <w:r w:rsidR="00555CA7">
        <w:t xml:space="preserve"> </w:t>
      </w:r>
    </w:p>
    <w:p w:rsidR="00B32A69" w:rsidRPr="00B32A69" w:rsidRDefault="00B32A69" w:rsidP="004F4EF6">
      <w:r>
        <w:t>Czytając materiały można często natknąć się na zjawisko utożsamiania ITIL i ITSM. Jest to błąd</w:t>
      </w:r>
      <w:r w:rsidR="00C6773A">
        <w:t xml:space="preserve"> mający swoją przyczynę w tym</w:t>
      </w:r>
      <w:r>
        <w:t xml:space="preserve">, że ITIL był pierwszą i swojego czasu jedyną </w:t>
      </w:r>
      <w:r w:rsidR="00C6773A">
        <w:t xml:space="preserve">znaną </w:t>
      </w:r>
      <w:r>
        <w:t xml:space="preserve">metodyką tego typu. Wraz z jego rozwojem i powstaniem </w:t>
      </w:r>
      <w:r w:rsidR="00C6773A">
        <w:t>konkurencyjnych praktyk, zaczęto pojęcia te doprecyzowywać i odróżniać od siebie.</w:t>
      </w:r>
      <w:r w:rsidR="004F4EF6">
        <w:t xml:space="preserve"> Należy pamiętać, że ITSM sam w sobie nie stanowi gotowego rozwiązania, ale dostarcza niezbędną podstawę pojęciową, na której wyrosły różne metodyki.</w:t>
      </w:r>
    </w:p>
    <w:p w:rsidR="00FE5F5C" w:rsidRPr="00FE5F5C" w:rsidRDefault="00B85166" w:rsidP="007A070F">
      <w:pPr>
        <w:pStyle w:val="Nagwek3"/>
      </w:pPr>
      <w:bookmarkStart w:id="31" w:name="_Toc299641864"/>
      <w:r>
        <w:t>Proces</w:t>
      </w:r>
      <w:bookmarkEnd w:id="31"/>
    </w:p>
    <w:p w:rsidR="00F854E2" w:rsidRPr="00291167" w:rsidRDefault="00FB6AB5" w:rsidP="007A070F">
      <w:pPr>
        <w:pStyle w:val="Cytat"/>
        <w:spacing w:before="480"/>
      </w:pPr>
      <w:r w:rsidRPr="00FB6AB5">
        <w:rPr>
          <w:lang w:val="en-US"/>
        </w:rPr>
        <w:t>„</w:t>
      </w:r>
      <w:r w:rsidR="00F52BEC" w:rsidRPr="00F52BEC">
        <w:rPr>
          <w:lang w:val="en-US"/>
        </w:rPr>
        <w:t xml:space="preserve">A structured set of Activities designed to accomplish a specific Objective. </w:t>
      </w:r>
      <w:r w:rsidR="00F52BEC">
        <w:rPr>
          <w:lang w:val="en-US"/>
        </w:rPr>
        <w:br/>
      </w:r>
      <w:r w:rsidR="00F52BEC" w:rsidRPr="00F52BEC">
        <w:rPr>
          <w:lang w:val="en-US"/>
        </w:rPr>
        <w:t xml:space="preserve">A Process takes one or more defined inputs and turns them into defined outputs. </w:t>
      </w:r>
      <w:r w:rsidR="00F52BEC">
        <w:rPr>
          <w:lang w:val="en-US"/>
        </w:rPr>
        <w:br/>
      </w:r>
      <w:r w:rsidR="00F52BEC" w:rsidRPr="00291167">
        <w:t>[…</w:t>
      </w:r>
      <w:r w:rsidRPr="00291167">
        <w:t>]</w:t>
      </w:r>
      <w:r w:rsidR="00F52BEC" w:rsidRPr="00291167">
        <w:t>”</w:t>
      </w:r>
    </w:p>
    <w:p w:rsidR="00F52BEC" w:rsidRDefault="00F52BEC" w:rsidP="00F52BEC">
      <w:pPr>
        <w:pStyle w:val="Cytat"/>
      </w:pPr>
      <w:r w:rsidRPr="00F52BEC">
        <w:t xml:space="preserve">Uporządkowany zestaw czynności </w:t>
      </w:r>
      <w:r>
        <w:t>mających przeznaczony do osiągnięcia ko</w:t>
      </w:r>
      <w:r>
        <w:t>n</w:t>
      </w:r>
      <w:r>
        <w:t xml:space="preserve">kretnego celu. Proces posiada jedno lub więcej określonych wejść, które zamienia w określone wyjścia. […] </w:t>
      </w:r>
    </w:p>
    <w:p w:rsidR="00F52BEC" w:rsidRPr="00E00FF4" w:rsidRDefault="00F52BEC" w:rsidP="00F52BEC">
      <w:pPr>
        <w:pStyle w:val="CytatPodpis"/>
        <w:rPr>
          <w:lang w:val="pl-PL"/>
        </w:rPr>
      </w:pPr>
      <w:r w:rsidRPr="00E00FF4">
        <w:rPr>
          <w:lang w:val="pl-PL"/>
        </w:rPr>
        <w:t xml:space="preserve">Definicja procesu, źródło: </w:t>
      </w:r>
      <w:sdt>
        <w:sdtPr>
          <w:id w:val="1166291835"/>
          <w:citation/>
        </w:sdtPr>
        <w:sdtContent>
          <w:r>
            <w:fldChar w:fldCharType="begin"/>
          </w:r>
          <w:r w:rsidRPr="00E00FF4">
            <w:rPr>
              <w:lang w:val="pl-PL"/>
            </w:rPr>
            <w:instrText xml:space="preserve">CITATION 11Li \l 1045 </w:instrText>
          </w:r>
          <w:r>
            <w:fldChar w:fldCharType="separate"/>
          </w:r>
          <w:r w:rsidRPr="00E00FF4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CE3E4C" w:rsidRDefault="007A070F" w:rsidP="00291167">
      <w:pPr>
        <w:pStyle w:val="Pierwszyakapit"/>
      </w:pPr>
      <w:r>
        <w:lastRenderedPageBreak/>
        <w:t xml:space="preserve">Podstawowym elementem struktury ITIL jest proces. </w:t>
      </w:r>
      <w:r w:rsidR="00291167">
        <w:t xml:space="preserve">Wygodnym sposobem </w:t>
      </w:r>
      <w:r w:rsidR="002F13EC">
        <w:t>rozumienia</w:t>
      </w:r>
      <w:r w:rsidR="00291167">
        <w:t xml:space="preserve"> </w:t>
      </w:r>
      <w:r w:rsidR="000412F4">
        <w:t>tego pojęcia jest</w:t>
      </w:r>
      <w:r w:rsidR="00291167">
        <w:t xml:space="preserve"> </w:t>
      </w:r>
      <w:r w:rsidR="000412F4">
        <w:t>model</w:t>
      </w:r>
      <w:r w:rsidR="00291167">
        <w:t xml:space="preserve"> </w:t>
      </w:r>
      <w:r w:rsidR="000412F4">
        <w:t>czarnej</w:t>
      </w:r>
      <w:r w:rsidR="00291167">
        <w:t xml:space="preserve"> skrzyn</w:t>
      </w:r>
      <w:r w:rsidR="000412F4">
        <w:t>ki</w:t>
      </w:r>
      <w:r w:rsidR="000412F4">
        <w:rPr>
          <w:rStyle w:val="Odwoanieprzypisudolnego"/>
        </w:rPr>
        <w:footnoteReference w:id="5"/>
      </w:r>
      <w:r w:rsidR="002F13EC">
        <w:t xml:space="preserve">, która przyjmuje dane, </w:t>
      </w:r>
      <w:r w:rsidR="00BC4EA6">
        <w:t xml:space="preserve">a </w:t>
      </w:r>
      <w:r w:rsidR="002F13EC">
        <w:t xml:space="preserve">następnie je przetwarza i zwraca wyniki. </w:t>
      </w:r>
      <w:r w:rsidR="00BC4EA6">
        <w:t xml:space="preserve">Wejściami procesu mogą być na przykład wnioski, dokumenty, pewne okoliczności lub zjawiska; które są przekształcane w nowe lub zaktualizowane obiekty i inne zdarzenia. </w:t>
      </w:r>
      <w:r w:rsidR="002F13EC">
        <w:t>Operacje wykonywane wewnątrz procesu zależą</w:t>
      </w:r>
      <w:r w:rsidR="00BC4EA6">
        <w:t xml:space="preserve"> ściśle</w:t>
      </w:r>
      <w:r w:rsidR="002F13EC">
        <w:t xml:space="preserve"> od jego specyfiki i nie są w żade</w:t>
      </w:r>
      <w:r w:rsidR="00B907DA">
        <w:t>n sp</w:t>
      </w:r>
      <w:r w:rsidR="00B907DA">
        <w:t>o</w:t>
      </w:r>
      <w:r w:rsidR="00B907DA">
        <w:t>sób ograniczone. Najmniejszym elementem przetwarzania jest</w:t>
      </w:r>
      <w:r w:rsidR="007674C8">
        <w:t xml:space="preserve"> pojedyncza</w:t>
      </w:r>
      <w:r w:rsidR="00B907DA">
        <w:t xml:space="preserve"> czynność.</w:t>
      </w:r>
      <w:r w:rsidR="007674C8">
        <w:t xml:space="preserve"> Czynn</w:t>
      </w:r>
      <w:r w:rsidR="007674C8">
        <w:t>o</w:t>
      </w:r>
      <w:r w:rsidR="007674C8">
        <w:t xml:space="preserve">ści </w:t>
      </w:r>
      <w:r>
        <w:t xml:space="preserve">są wykonywane przez określone role i </w:t>
      </w:r>
      <w:r w:rsidR="007674C8">
        <w:t xml:space="preserve">mogą być łączone w grupy oraz wykonywane w ściśle określonym porządku. </w:t>
      </w:r>
      <w:r w:rsidR="00BC4EA6">
        <w:t xml:space="preserve">W </w:t>
      </w:r>
      <w:r w:rsidR="007674C8">
        <w:t>procesie</w:t>
      </w:r>
      <w:r w:rsidR="00BC4EA6">
        <w:t xml:space="preserve"> uczestniczy </w:t>
      </w:r>
      <w:r w:rsidR="00B907DA">
        <w:t>zazwyczaj wiele różnych osób</w:t>
      </w:r>
      <w:r>
        <w:t xml:space="preserve"> </w:t>
      </w:r>
      <w:r w:rsidR="00B907DA">
        <w:t>i funkcji</w:t>
      </w:r>
      <w:r w:rsidR="007674C8">
        <w:t xml:space="preserve">. </w:t>
      </w:r>
      <w:r w:rsidR="00B907DA">
        <w:t>Ponadto każdy proces posiada właściciela</w:t>
      </w:r>
      <w:r w:rsidR="00B907DA">
        <w:rPr>
          <w:rStyle w:val="Odwoanieprzypisudolnego"/>
        </w:rPr>
        <w:footnoteReference w:id="6"/>
      </w:r>
      <w:r w:rsidR="00B907DA">
        <w:t>, odpowiedzialnego za jego działanie zgodnie z wyznaczonym celem, oraz zest</w:t>
      </w:r>
      <w:r w:rsidR="00BA792D">
        <w:t>aw udokumentowanych norm, zasad i metryk</w:t>
      </w:r>
      <w:r w:rsidR="00B907DA">
        <w:t>.</w:t>
      </w:r>
    </w:p>
    <w:p w:rsidR="007A070F" w:rsidRPr="007A070F" w:rsidRDefault="008275ED" w:rsidP="007A070F">
      <w:pPr>
        <w:pStyle w:val="Nagwek3"/>
      </w:pPr>
      <w:bookmarkStart w:id="32" w:name="_Toc299641865"/>
      <w:r>
        <w:t>Funkcja</w:t>
      </w:r>
      <w:bookmarkEnd w:id="32"/>
    </w:p>
    <w:p w:rsidR="00C75CA5" w:rsidRPr="00B55B93" w:rsidRDefault="00FB6AB5" w:rsidP="007A070F">
      <w:pPr>
        <w:pStyle w:val="Cytat"/>
        <w:spacing w:before="480"/>
        <w:rPr>
          <w:lang w:val="en-US"/>
        </w:rPr>
      </w:pPr>
      <w:r w:rsidRPr="00FB6AB5">
        <w:rPr>
          <w:lang w:val="en-US"/>
        </w:rPr>
        <w:t>„</w:t>
      </w:r>
      <w:r w:rsidR="00C75CA5" w:rsidRPr="00C75CA5">
        <w:rPr>
          <w:lang w:val="en-US"/>
        </w:rPr>
        <w:t>A team or group of people and the tools they use to carry out one or more Pr</w:t>
      </w:r>
      <w:r w:rsidR="00C75CA5" w:rsidRPr="00C75CA5">
        <w:rPr>
          <w:lang w:val="en-US"/>
        </w:rPr>
        <w:t>o</w:t>
      </w:r>
      <w:r w:rsidR="00B55B93">
        <w:rPr>
          <w:lang w:val="en-US"/>
        </w:rPr>
        <w:t>cesses or Activities</w:t>
      </w:r>
      <w:r w:rsidR="00C75CA5">
        <w:rPr>
          <w:lang w:val="en-US"/>
        </w:rPr>
        <w:t xml:space="preserve"> </w:t>
      </w:r>
      <w:r w:rsidR="00C75CA5" w:rsidRPr="00B55B93">
        <w:rPr>
          <w:lang w:val="en-US"/>
        </w:rPr>
        <w:t>[…]”</w:t>
      </w:r>
    </w:p>
    <w:p w:rsidR="00C75CA5" w:rsidRDefault="00C75CA5" w:rsidP="00C75CA5">
      <w:pPr>
        <w:pStyle w:val="Cytat"/>
      </w:pPr>
      <w:r w:rsidRPr="00C75CA5">
        <w:t>Zespół lub grupa ludzi</w:t>
      </w:r>
      <w:r>
        <w:t xml:space="preserve"> oraz narzędzia przez nich używane do realizacji jednego lu</w:t>
      </w:r>
      <w:r w:rsidR="00B55B93">
        <w:t>b więcej procesów lub czynności</w:t>
      </w:r>
      <w:r>
        <w:t xml:space="preserve"> […]</w:t>
      </w:r>
    </w:p>
    <w:p w:rsidR="00C75CA5" w:rsidRPr="00B43787" w:rsidRDefault="00C75CA5" w:rsidP="00C75CA5">
      <w:pPr>
        <w:pStyle w:val="CytatPodpis"/>
      </w:pPr>
      <w:proofErr w:type="spellStart"/>
      <w:r w:rsidRPr="00B43787">
        <w:t>Definicja</w:t>
      </w:r>
      <w:proofErr w:type="spellEnd"/>
      <w:r w:rsidRPr="00B43787">
        <w:t xml:space="preserve"> </w:t>
      </w:r>
      <w:proofErr w:type="spellStart"/>
      <w:r w:rsidRPr="00B43787">
        <w:t>funkcji</w:t>
      </w:r>
      <w:proofErr w:type="spellEnd"/>
      <w:r w:rsidRPr="00B43787">
        <w:t xml:space="preserve">, </w:t>
      </w:r>
      <w:proofErr w:type="spellStart"/>
      <w:r w:rsidRPr="00B43787">
        <w:t>źródło</w:t>
      </w:r>
      <w:proofErr w:type="spellEnd"/>
      <w:r w:rsidRPr="00B43787">
        <w:t xml:space="preserve">: </w:t>
      </w:r>
      <w:sdt>
        <w:sdtPr>
          <w:id w:val="1535851565"/>
          <w:citation/>
        </w:sdtPr>
        <w:sdtContent>
          <w:r>
            <w:fldChar w:fldCharType="begin"/>
          </w:r>
          <w:r w:rsidRPr="00B43787">
            <w:instrText xml:space="preserve"> CITATION Kno112 \l 1045 </w:instrText>
          </w:r>
          <w:r>
            <w:fldChar w:fldCharType="separate"/>
          </w:r>
          <w:r w:rsidRPr="00B43787">
            <w:rPr>
              <w:noProof/>
            </w:rPr>
            <w:t>(Knowledge Transfer)</w:t>
          </w:r>
          <w:r>
            <w:fldChar w:fldCharType="end"/>
          </w:r>
        </w:sdtContent>
      </w:sdt>
    </w:p>
    <w:p w:rsidR="00B55B93" w:rsidRDefault="00DC3C1B" w:rsidP="00DC3C1B">
      <w:pPr>
        <w:pStyle w:val="Pierwszyakapit"/>
      </w:pPr>
      <w:r>
        <w:t>Niektóre przedsię</w:t>
      </w:r>
      <w:r w:rsidR="007D2A7D">
        <w:t xml:space="preserve">biorstwa do określenia funkcji </w:t>
      </w:r>
      <w:r>
        <w:t>używają nazw takich jak jednostka biznes</w:t>
      </w:r>
      <w:r>
        <w:t>o</w:t>
      </w:r>
      <w:r>
        <w:t>wa</w:t>
      </w:r>
      <w:r w:rsidR="007D2A7D">
        <w:t>,</w:t>
      </w:r>
      <w:r>
        <w:t xml:space="preserve"> departament</w:t>
      </w:r>
      <w:r w:rsidR="007D2A7D">
        <w:t xml:space="preserve"> lub dział</w:t>
      </w:r>
      <w:r>
        <w:t xml:space="preserve">. </w:t>
      </w:r>
      <w:r w:rsidR="007D2A7D">
        <w:t xml:space="preserve">Typowymi funkcjami są marketing, sprzedaż, zasoby ludzkie itp. </w:t>
      </w:r>
      <w:r>
        <w:t>Klasycznym</w:t>
      </w:r>
      <w:r w:rsidR="007D2A7D">
        <w:t xml:space="preserve"> przykładem funkcji wprowadzanej przez</w:t>
      </w:r>
      <w:r>
        <w:t xml:space="preserve"> ITIL </w:t>
      </w:r>
      <w:r w:rsidR="00B55B93">
        <w:t xml:space="preserve">jest Service </w:t>
      </w:r>
      <w:proofErr w:type="spellStart"/>
      <w:r w:rsidR="00B55B93" w:rsidRPr="00B55B93">
        <w:t>Desk</w:t>
      </w:r>
      <w:proofErr w:type="spellEnd"/>
      <w:r w:rsidR="00B55B93">
        <w:t>. Jego zadaniem jest obsługa klientów</w:t>
      </w:r>
      <w:r w:rsidR="007D2A7D">
        <w:t xml:space="preserve"> i</w:t>
      </w:r>
      <w:r w:rsidR="00B55B93">
        <w:t xml:space="preserve"> ich żądań. Zatrudnia wielu konsultantów oraz wyspecjalizowanych pracowników. </w:t>
      </w:r>
      <w:r>
        <w:t xml:space="preserve">Posiada </w:t>
      </w:r>
      <w:r w:rsidR="00B55B93">
        <w:t xml:space="preserve">system informatyczny rejestrujący rozmowy oraz umożliwiający wprowadzenie różnego rodzaju wniosków. </w:t>
      </w:r>
      <w:r w:rsidR="007D2A7D">
        <w:t>A także u</w:t>
      </w:r>
      <w:r>
        <w:t>czestniczy w procesach</w:t>
      </w:r>
      <w:r w:rsidR="00B55B93">
        <w:t xml:space="preserve"> zarządzania i</w:t>
      </w:r>
      <w:r w:rsidR="00B55B93">
        <w:t>n</w:t>
      </w:r>
      <w:r w:rsidR="00B55B93">
        <w:t>cydentami i realizacji wniosków.</w:t>
      </w:r>
      <w:r>
        <w:t xml:space="preserve"> </w:t>
      </w:r>
    </w:p>
    <w:p w:rsidR="008275ED" w:rsidRPr="008275ED" w:rsidRDefault="008275ED" w:rsidP="008275ED">
      <w:pPr>
        <w:pStyle w:val="Nagwek3"/>
      </w:pPr>
      <w:bookmarkStart w:id="33" w:name="_Toc299641866"/>
      <w:r>
        <w:t>Rola</w:t>
      </w:r>
      <w:bookmarkEnd w:id="33"/>
    </w:p>
    <w:p w:rsidR="0060243B" w:rsidRDefault="007D2A7D" w:rsidP="00214107">
      <w:pPr>
        <w:pStyle w:val="Pierwszyakapit"/>
        <w:rPr>
          <w:rFonts w:eastAsiaTheme="majorEastAsia" w:cstheme="majorBidi"/>
          <w:b/>
          <w:bCs/>
          <w:caps/>
          <w:szCs w:val="26"/>
        </w:rPr>
      </w:pPr>
      <w:r>
        <w:t>Jest to</w:t>
      </w:r>
      <w:r w:rsidR="00214107">
        <w:t xml:space="preserve"> obowiązek wykonywania określonego zbioru czynności, wraz z niezbędnymi upra</w:t>
      </w:r>
      <w:r w:rsidR="00214107">
        <w:t>w</w:t>
      </w:r>
      <w:r w:rsidR="00214107">
        <w:t xml:space="preserve">nieniami, </w:t>
      </w:r>
      <w:r>
        <w:t>nadawany pojedynczej osobie lub grupie.</w:t>
      </w:r>
      <w:r w:rsidR="00214107">
        <w:t xml:space="preserve"> Role są określane przez procesy. Jedna osoba może posiadać więcej niż jedną rolę.</w:t>
      </w:r>
      <w:r w:rsidR="0060243B">
        <w:br w:type="page"/>
      </w:r>
    </w:p>
    <w:p w:rsidR="000E0080" w:rsidRDefault="00172DD7" w:rsidP="000E0080">
      <w:pPr>
        <w:pStyle w:val="Nagwek2"/>
      </w:pPr>
      <w:bookmarkStart w:id="34" w:name="_Toc299641867"/>
      <w:r>
        <w:lastRenderedPageBreak/>
        <w:t>Historia</w:t>
      </w:r>
      <w:bookmarkEnd w:id="34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7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8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5" w:name="_Toc299641868"/>
      <w:r>
        <w:t>Wersja pierwsza</w:t>
      </w:r>
      <w:bookmarkEnd w:id="35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9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10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11"/>
      </w:r>
      <w:r w:rsidR="000878A4">
        <w:t xml:space="preserve"> </w:t>
      </w:r>
      <w:r w:rsidR="008E4A83">
        <w:t>w intern</w:t>
      </w:r>
      <w:r w:rsidR="008E4A83">
        <w:t>e</w:t>
      </w:r>
      <w:r w:rsidR="008E4A83">
        <w:t xml:space="preserve">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</w:t>
      </w:r>
      <w:r w:rsidR="00A43214" w:rsidRPr="00E42E69">
        <w:t>k</w:t>
      </w:r>
      <w:r w:rsidR="00A43214" w:rsidRPr="00E42E69">
        <w:t>cjonuj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szerząca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6" w:name="_Toc299641869"/>
      <w:r>
        <w:t xml:space="preserve">Wersja </w:t>
      </w:r>
      <w:r w:rsidR="00112331">
        <w:t>druga</w:t>
      </w:r>
      <w:bookmarkEnd w:id="36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AA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Pr="000F08D1" w:rsidRDefault="00167D07" w:rsidP="00167D07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 xml:space="preserve">Service </w:t>
            </w:r>
            <w:r w:rsidRPr="000F08D1">
              <w:rPr>
                <w:sz w:val="22"/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0F08D1" w:rsidRDefault="00167D07" w:rsidP="006F1EEB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Zapewnia pojedynczy punktu kontaktu</w:t>
            </w:r>
            <w:r w:rsidR="006F1EEB" w:rsidRPr="000F08D1">
              <w:rPr>
                <w:sz w:val="22"/>
              </w:rPr>
              <w:t xml:space="preserve"> dla użytkowników końcowych potrzebujących wsparcia. Skupia się na komunikacji </w:t>
            </w:r>
            <w:r w:rsidR="00D1371E" w:rsidRPr="000F08D1">
              <w:rPr>
                <w:sz w:val="22"/>
              </w:rPr>
              <w:t>z klientem</w:t>
            </w:r>
            <w:r w:rsidR="006F1EEB" w:rsidRPr="000F08D1">
              <w:rPr>
                <w:sz w:val="22"/>
              </w:rPr>
              <w:t xml:space="preserve"> i ko</w:t>
            </w:r>
            <w:r w:rsidR="006F1EEB" w:rsidRPr="000F08D1">
              <w:rPr>
                <w:sz w:val="22"/>
              </w:rPr>
              <w:t>n</w:t>
            </w:r>
            <w:r w:rsidR="006F1EEB" w:rsidRPr="000F08D1">
              <w:rPr>
                <w:sz w:val="22"/>
              </w:rPr>
              <w:t>troli incydentów.</w:t>
            </w:r>
            <w:r w:rsidR="006A6DFC" w:rsidRPr="000F08D1">
              <w:rPr>
                <w:sz w:val="22"/>
              </w:rPr>
              <w:t xml:space="preserve"> Jedyna dyscyplina będąca funkcją a nie procesem.</w:t>
            </w:r>
          </w:p>
        </w:tc>
      </w:tr>
      <w:tr w:rsidR="008C40A2" w:rsidTr="00AA2E7A">
        <w:tc>
          <w:tcPr>
            <w:tcW w:w="2802" w:type="dxa"/>
          </w:tcPr>
          <w:p w:rsidR="006620A5" w:rsidRPr="000F08D1" w:rsidRDefault="00A405DC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incydentami</w:t>
            </w:r>
            <w:r w:rsidR="006620A5" w:rsidRPr="000F08D1">
              <w:rPr>
                <w:sz w:val="22"/>
              </w:rPr>
              <w:t xml:space="preserve"> </w:t>
            </w:r>
          </w:p>
          <w:p w:rsidR="008C40A2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Incident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6409" w:type="dxa"/>
          </w:tcPr>
          <w:p w:rsidR="008C40A2" w:rsidRPr="000F08D1" w:rsidRDefault="00A405DC" w:rsidP="00452CA1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Głównym celem tej dyscypliny jest przywrócenie działania usługi po wystąpieniu incydentu w jak najkrótszym czasie i przy uwzględnieniu obowiązujących SLA</w:t>
            </w:r>
            <w:r w:rsidR="001B38DE" w:rsidRPr="000F08D1">
              <w:rPr>
                <w:rStyle w:val="Odwoanieprzypisudolnego"/>
                <w:sz w:val="22"/>
              </w:rPr>
              <w:footnoteReference w:id="12"/>
            </w:r>
            <w:r w:rsidRPr="000F08D1">
              <w:rPr>
                <w:sz w:val="22"/>
              </w:rPr>
              <w:t xml:space="preserve">. Incydent to zdarzenie, które </w:t>
            </w:r>
            <w:r w:rsidR="004349E6" w:rsidRPr="000F08D1">
              <w:rPr>
                <w:sz w:val="22"/>
              </w:rPr>
              <w:t>wpływa</w:t>
            </w:r>
            <w:r w:rsidRPr="000F08D1">
              <w:rPr>
                <w:sz w:val="22"/>
              </w:rPr>
              <w:t xml:space="preserve"> lub m</w:t>
            </w:r>
            <w:r w:rsidRPr="000F08D1">
              <w:rPr>
                <w:sz w:val="22"/>
              </w:rPr>
              <w:t>o</w:t>
            </w:r>
            <w:r w:rsidRPr="000F08D1">
              <w:rPr>
                <w:sz w:val="22"/>
              </w:rPr>
              <w:t xml:space="preserve">że </w:t>
            </w:r>
            <w:r w:rsidR="004349E6" w:rsidRPr="000F08D1">
              <w:rPr>
                <w:sz w:val="22"/>
              </w:rPr>
              <w:t>wpływać</w:t>
            </w:r>
            <w:r w:rsidRPr="000F08D1">
              <w:rPr>
                <w:sz w:val="22"/>
              </w:rPr>
              <w:t xml:space="preserve"> </w:t>
            </w:r>
            <w:r w:rsidR="004349E6" w:rsidRPr="000F08D1">
              <w:rPr>
                <w:sz w:val="22"/>
              </w:rPr>
              <w:t>na</w:t>
            </w:r>
            <w:r w:rsidR="00452CA1" w:rsidRPr="000F08D1">
              <w:rPr>
                <w:sz w:val="22"/>
              </w:rPr>
              <w:t xml:space="preserve"> obniżenie jakości</w:t>
            </w:r>
            <w:r w:rsidRPr="000F08D1">
              <w:rPr>
                <w:sz w:val="22"/>
              </w:rPr>
              <w:t xml:space="preserve"> </w:t>
            </w:r>
            <w:r w:rsidR="00452CA1" w:rsidRPr="000F08D1">
              <w:rPr>
                <w:sz w:val="22"/>
              </w:rPr>
              <w:t xml:space="preserve">świadczonej </w:t>
            </w:r>
            <w:r w:rsidRPr="000F08D1">
              <w:rPr>
                <w:sz w:val="22"/>
              </w:rPr>
              <w:t>usłu</w:t>
            </w:r>
            <w:r w:rsidR="004349E6" w:rsidRPr="000F08D1">
              <w:rPr>
                <w:sz w:val="22"/>
              </w:rPr>
              <w:t>g</w:t>
            </w:r>
            <w:r w:rsidR="00452CA1" w:rsidRPr="000F08D1">
              <w:rPr>
                <w:sz w:val="22"/>
              </w:rPr>
              <w:t>i</w:t>
            </w:r>
            <w:r w:rsidRPr="000F08D1">
              <w:rPr>
                <w:sz w:val="22"/>
              </w:rPr>
              <w:t xml:space="preserve">.  </w:t>
            </w:r>
          </w:p>
        </w:tc>
      </w:tr>
      <w:tr w:rsid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Pr="000F08D1" w:rsidRDefault="00A405DC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problemami</w:t>
            </w:r>
          </w:p>
          <w:p w:rsidR="006620A5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Problem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A81DCC" w:rsidP="00174050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Skupia się na znalezieniu problemów będących źródłem incydentów i podjęciu działań </w:t>
            </w:r>
            <w:r w:rsidR="00174050" w:rsidRPr="000F08D1">
              <w:rPr>
                <w:sz w:val="22"/>
              </w:rPr>
              <w:t>korygujących</w:t>
            </w:r>
            <w:r w:rsidRPr="000F08D1">
              <w:rPr>
                <w:sz w:val="22"/>
              </w:rPr>
              <w:t>.</w:t>
            </w:r>
            <w:r w:rsidR="00174050" w:rsidRPr="000F08D1">
              <w:rPr>
                <w:sz w:val="22"/>
              </w:rPr>
              <w:t xml:space="preserve"> W trakcie naprawy udostępnia info</w:t>
            </w:r>
            <w:r w:rsidR="00174050" w:rsidRPr="000F08D1">
              <w:rPr>
                <w:sz w:val="22"/>
              </w:rPr>
              <w:t>r</w:t>
            </w:r>
            <w:r w:rsidR="00174050" w:rsidRPr="000F08D1">
              <w:rPr>
                <w:sz w:val="22"/>
              </w:rPr>
              <w:t>macje o znanych błędach i metodach ich obejścia.</w:t>
            </w:r>
          </w:p>
        </w:tc>
      </w:tr>
      <w:tr w:rsidR="008C40A2" w:rsidTr="00AA2E7A">
        <w:tc>
          <w:tcPr>
            <w:tcW w:w="2802" w:type="dxa"/>
          </w:tcPr>
          <w:p w:rsidR="008C40A2" w:rsidRPr="000F08D1" w:rsidRDefault="00E84647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zmianami</w:t>
            </w:r>
          </w:p>
          <w:p w:rsidR="006620A5" w:rsidRPr="000F08D1" w:rsidRDefault="006620A5" w:rsidP="00167D07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Change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E84647" w:rsidP="001E4A51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Zapewnia standardowe procedury </w:t>
            </w:r>
            <w:r w:rsidR="001E4A51" w:rsidRPr="000F08D1">
              <w:rPr>
                <w:sz w:val="22"/>
              </w:rPr>
              <w:t xml:space="preserve">zarządzania wszelkimi zmianami dotyczącymi usług. </w:t>
            </w:r>
            <w:r w:rsidRPr="000F08D1">
              <w:rPr>
                <w:sz w:val="22"/>
              </w:rPr>
              <w:t xml:space="preserve">Minimalizuje </w:t>
            </w:r>
            <w:r w:rsidR="001E4A51" w:rsidRPr="000F08D1">
              <w:rPr>
                <w:sz w:val="22"/>
              </w:rPr>
              <w:t xml:space="preserve">ich </w:t>
            </w:r>
            <w:r w:rsidRPr="000F08D1">
              <w:rPr>
                <w:sz w:val="22"/>
              </w:rPr>
              <w:t>n</w:t>
            </w:r>
            <w:r w:rsidR="001E4A51" w:rsidRPr="000F08D1">
              <w:rPr>
                <w:sz w:val="22"/>
              </w:rPr>
              <w:t>egatywny wpływ poprzez o</w:t>
            </w:r>
            <w:r w:rsidR="001E4A51" w:rsidRPr="000F08D1">
              <w:rPr>
                <w:sz w:val="22"/>
              </w:rPr>
              <w:t>d</w:t>
            </w:r>
            <w:r w:rsidR="001E4A51" w:rsidRPr="000F08D1">
              <w:rPr>
                <w:sz w:val="22"/>
              </w:rPr>
              <w:t>powiednią ocenę, autoryzację i planowanie każdej zmiany.</w:t>
            </w:r>
          </w:p>
        </w:tc>
      </w:tr>
      <w:tr w:rsid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wersjami</w:t>
            </w:r>
          </w:p>
          <w:p w:rsidR="008C40A2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Release Management</w:t>
            </w:r>
            <w:r w:rsidRPr="000F08D1">
              <w:rPr>
                <w:sz w:val="22"/>
              </w:rPr>
              <w:t>)</w:t>
            </w:r>
          </w:p>
        </w:tc>
        <w:tc>
          <w:tcPr>
            <w:tcW w:w="6409" w:type="dxa"/>
          </w:tcPr>
          <w:p w:rsidR="008C40A2" w:rsidRPr="000F08D1" w:rsidRDefault="00DA16DD" w:rsidP="008C40A2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Grupuje zmiany w wersje i odpowiada za skoordynowanie ich i</w:t>
            </w:r>
            <w:r w:rsidRPr="000F08D1">
              <w:rPr>
                <w:sz w:val="22"/>
              </w:rPr>
              <w:t>m</w:t>
            </w:r>
            <w:r w:rsidRPr="000F08D1">
              <w:rPr>
                <w:sz w:val="22"/>
              </w:rPr>
              <w:t>plementacji oraz wdrożenia.</w:t>
            </w:r>
            <w:r w:rsidR="00D1371E" w:rsidRPr="000F08D1">
              <w:rPr>
                <w:sz w:val="22"/>
              </w:rPr>
              <w:t xml:space="preserve"> </w:t>
            </w:r>
          </w:p>
        </w:tc>
      </w:tr>
      <w:tr w:rsidR="006620A5" w:rsidTr="00AA2E7A">
        <w:tc>
          <w:tcPr>
            <w:tcW w:w="2802" w:type="dxa"/>
          </w:tcPr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konfiguracją</w:t>
            </w:r>
          </w:p>
          <w:p w:rsidR="006620A5" w:rsidRPr="000F08D1" w:rsidRDefault="006620A5" w:rsidP="006620A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Configuration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6409" w:type="dxa"/>
          </w:tcPr>
          <w:p w:rsidR="006620A5" w:rsidRPr="000F08D1" w:rsidRDefault="00C80A9A" w:rsidP="00C80A9A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Zajmuje się przechowywaniem i ciągłą aktualizacją informacji o wszystkich komponentach potrzebnych do świadczenia usług. Stan</w:t>
            </w:r>
            <w:r w:rsidRPr="000F08D1">
              <w:rPr>
                <w:sz w:val="22"/>
              </w:rPr>
              <w:t>o</w:t>
            </w:r>
            <w:r w:rsidRPr="000F08D1">
              <w:rPr>
                <w:sz w:val="22"/>
              </w:rP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 w:rsidR="001C5912">
          <w:rPr>
            <w:noProof/>
          </w:rPr>
          <w:t>2</w:t>
        </w:r>
      </w:fldSimple>
      <w:r>
        <w:t>.</w:t>
      </w:r>
      <w:fldSimple w:instr=" SEQ Tabela \* ARABIC \s 1 ">
        <w:r w:rsidR="001C5912"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AA2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Pr="000F08D1" w:rsidRDefault="00874ECE" w:rsidP="00874ECE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>Zarządzanie poziomem usług</w:t>
            </w:r>
          </w:p>
          <w:p w:rsidR="004A1E6E" w:rsidRPr="000F08D1" w:rsidRDefault="004A1E6E" w:rsidP="00874ECE">
            <w:pPr>
              <w:ind w:right="703" w:firstLine="0"/>
              <w:rPr>
                <w:sz w:val="22"/>
              </w:rPr>
            </w:pPr>
            <w:r w:rsidRPr="000F08D1">
              <w:rPr>
                <w:sz w:val="22"/>
              </w:rPr>
              <w:t>(Service Level Management)</w:t>
            </w:r>
          </w:p>
        </w:tc>
        <w:tc>
          <w:tcPr>
            <w:tcW w:w="5559" w:type="dxa"/>
          </w:tcPr>
          <w:p w:rsidR="00874ECE" w:rsidRPr="000F08D1" w:rsidRDefault="00A963FA" w:rsidP="008C40A2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Pozwala na dopasowanie us</w:t>
            </w:r>
            <w:r w:rsidR="002A7D84" w:rsidRPr="000F08D1">
              <w:rPr>
                <w:sz w:val="22"/>
              </w:rPr>
              <w:t>ług IT do wymagań</w:t>
            </w:r>
            <w:r w:rsidRPr="000F08D1">
              <w:rPr>
                <w:sz w:val="22"/>
              </w:rPr>
              <w:t xml:space="preserve"> biznesu</w:t>
            </w:r>
            <w:r w:rsidR="008C40A2" w:rsidRPr="000F08D1">
              <w:rPr>
                <w:sz w:val="22"/>
              </w:rPr>
              <w:t>.</w:t>
            </w:r>
            <w:r w:rsidR="00A95893" w:rsidRPr="000F08D1">
              <w:rPr>
                <w:sz w:val="22"/>
              </w:rPr>
              <w:t xml:space="preserve"> Skupia się na </w:t>
            </w:r>
            <w:r w:rsidR="001B38DE" w:rsidRPr="000F08D1">
              <w:rPr>
                <w:sz w:val="22"/>
              </w:rPr>
              <w:t>określeniu przejrzystych oczekiwań i wym</w:t>
            </w:r>
            <w:r w:rsidR="001B38DE" w:rsidRPr="000F08D1">
              <w:rPr>
                <w:sz w:val="22"/>
              </w:rPr>
              <w:t>a</w:t>
            </w:r>
            <w:r w:rsidR="001B38DE" w:rsidRPr="000F08D1">
              <w:rPr>
                <w:sz w:val="22"/>
              </w:rPr>
              <w:t>gań klienta w stosunku do pobieranych przez niego usług. Dyscyplina ta zajmuje się tworzeniem katalogu usług, zbi</w:t>
            </w:r>
            <w:r w:rsidR="001B38DE" w:rsidRPr="000F08D1">
              <w:rPr>
                <w:sz w:val="22"/>
              </w:rPr>
              <w:t>e</w:t>
            </w:r>
            <w:r w:rsidR="001B38DE" w:rsidRPr="000F08D1">
              <w:rPr>
                <w:sz w:val="22"/>
              </w:rPr>
              <w:t>raniem wymagań i negocjacją SLA.</w:t>
            </w:r>
          </w:p>
        </w:tc>
      </w:tr>
      <w:tr w:rsidR="00874ECE" w:rsidTr="00AA2E7A">
        <w:tc>
          <w:tcPr>
            <w:tcW w:w="3652" w:type="dxa"/>
          </w:tcPr>
          <w:p w:rsidR="00874ECE" w:rsidRPr="000F08D1" w:rsidRDefault="00874ECE" w:rsidP="00874EC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finansami</w:t>
            </w:r>
          </w:p>
          <w:p w:rsidR="004A1E6E" w:rsidRPr="000F08D1" w:rsidRDefault="004A1E6E" w:rsidP="00874EC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(Financial Management)</w:t>
            </w:r>
          </w:p>
        </w:tc>
        <w:tc>
          <w:tcPr>
            <w:tcW w:w="5559" w:type="dxa"/>
          </w:tcPr>
          <w:p w:rsidR="00874ECE" w:rsidRPr="000F08D1" w:rsidRDefault="00513FA8" w:rsidP="0026593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Zajmuje się obliczanie</w:t>
            </w:r>
            <w:r w:rsidR="00FA7A41" w:rsidRPr="000F08D1">
              <w:rPr>
                <w:sz w:val="22"/>
              </w:rPr>
              <w:t>m</w:t>
            </w:r>
            <w:r w:rsidRPr="000F08D1">
              <w:rPr>
                <w:sz w:val="22"/>
              </w:rPr>
              <w:t xml:space="preserve"> kosztów świadczonych usług</w:t>
            </w:r>
            <w:r w:rsidR="00FA7A41" w:rsidRPr="000F08D1">
              <w:rPr>
                <w:sz w:val="22"/>
              </w:rPr>
              <w:t>,</w:t>
            </w:r>
            <w:r w:rsidRPr="000F08D1">
              <w:rPr>
                <w:sz w:val="22"/>
              </w:rPr>
              <w:t xml:space="preserve"> ich księgowaniem oraz ustalaniem budżetu</w:t>
            </w:r>
            <w:r w:rsidR="00265935" w:rsidRPr="000F08D1">
              <w:rPr>
                <w:sz w:val="22"/>
              </w:rPr>
              <w:t>. Pozwala na fun</w:t>
            </w:r>
            <w:r w:rsidR="00265935" w:rsidRPr="000F08D1">
              <w:rPr>
                <w:sz w:val="22"/>
              </w:rPr>
              <w:t>k</w:t>
            </w:r>
            <w:r w:rsidR="00265935" w:rsidRPr="000F08D1">
              <w:rPr>
                <w:sz w:val="22"/>
              </w:rPr>
              <w:t>cjonowanie wewnętrznych departamentów IT jako jedn</w:t>
            </w:r>
            <w:r w:rsidR="00265935" w:rsidRPr="000F08D1">
              <w:rPr>
                <w:sz w:val="22"/>
              </w:rPr>
              <w:t>o</w:t>
            </w:r>
            <w:r w:rsidR="00265935" w:rsidRPr="000F08D1">
              <w:rPr>
                <w:sz w:val="22"/>
              </w:rPr>
              <w:t>stek biznesowych.</w:t>
            </w:r>
          </w:p>
        </w:tc>
      </w:tr>
      <w:tr w:rsidR="00874ECE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Pr="000F08D1" w:rsidRDefault="00874EC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dostępnością</w:t>
            </w:r>
          </w:p>
          <w:p w:rsidR="00874ECE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r w:rsidRPr="000F08D1">
              <w:rPr>
                <w:sz w:val="22"/>
                <w:lang w:val="en-US"/>
              </w:rPr>
              <w:t>Availability</w:t>
            </w:r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874ECE" w:rsidRPr="000F08D1" w:rsidRDefault="00265935" w:rsidP="00265935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AA2E7A">
        <w:tc>
          <w:tcPr>
            <w:tcW w:w="3652" w:type="dxa"/>
          </w:tcPr>
          <w:p w:rsidR="004A1E6E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Zarządzanie pojemnością</w:t>
            </w:r>
          </w:p>
          <w:p w:rsidR="00874ECE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(</w:t>
            </w:r>
            <w:proofErr w:type="spellStart"/>
            <w:r w:rsidRPr="000F08D1">
              <w:rPr>
                <w:sz w:val="22"/>
              </w:rPr>
              <w:t>Capacity</w:t>
            </w:r>
            <w:proofErr w:type="spellEnd"/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874ECE" w:rsidRPr="000F08D1" w:rsidRDefault="00820F90" w:rsidP="00820F90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Dyscyplina podobna do zarządzania dostępnością, zorie</w:t>
            </w:r>
            <w:r w:rsidRPr="000F08D1">
              <w:rPr>
                <w:sz w:val="22"/>
              </w:rPr>
              <w:t>n</w:t>
            </w:r>
            <w:r w:rsidRPr="000F08D1">
              <w:rPr>
                <w:sz w:val="22"/>
              </w:rPr>
              <w:t>towana na monitorowanie i przestrzeganie gwarancji dot</w:t>
            </w:r>
            <w:r w:rsidRPr="000F08D1">
              <w:rPr>
                <w:sz w:val="22"/>
              </w:rPr>
              <w:t>y</w:t>
            </w:r>
            <w:r w:rsidRPr="000F08D1">
              <w:rPr>
                <w:sz w:val="22"/>
              </w:rPr>
              <w:t>czących pojemności świadczonych usług.</w:t>
            </w:r>
          </w:p>
        </w:tc>
      </w:tr>
      <w:tr w:rsidR="00A963FA" w:rsidTr="00AA2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Zarządzanie ciągłością </w:t>
            </w:r>
          </w:p>
          <w:p w:rsidR="004A1E6E" w:rsidRPr="000F08D1" w:rsidRDefault="00A963FA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usług informatycznych</w:t>
            </w:r>
          </w:p>
          <w:p w:rsidR="00A963FA" w:rsidRPr="000F08D1" w:rsidRDefault="004A1E6E" w:rsidP="004A1E6E">
            <w:pPr>
              <w:ind w:firstLine="0"/>
              <w:rPr>
                <w:sz w:val="22"/>
              </w:rPr>
            </w:pPr>
            <w:r w:rsidRPr="000F08D1">
              <w:rPr>
                <w:sz w:val="22"/>
              </w:rPr>
              <w:t xml:space="preserve">(IT Service </w:t>
            </w:r>
            <w:proofErr w:type="spellStart"/>
            <w:r w:rsidRPr="000F08D1">
              <w:rPr>
                <w:sz w:val="22"/>
              </w:rPr>
              <w:t>Continuity</w:t>
            </w:r>
            <w:proofErr w:type="spellEnd"/>
            <w:r w:rsidRPr="000F08D1">
              <w:rPr>
                <w:sz w:val="22"/>
              </w:rPr>
              <w:t xml:space="preserve"> Management)</w:t>
            </w:r>
          </w:p>
        </w:tc>
        <w:tc>
          <w:tcPr>
            <w:tcW w:w="5559" w:type="dxa"/>
          </w:tcPr>
          <w:p w:rsidR="00A963FA" w:rsidRPr="000F08D1" w:rsidRDefault="00820F90" w:rsidP="00A27CFF">
            <w:pPr>
              <w:keepNext/>
              <w:ind w:firstLine="0"/>
              <w:rPr>
                <w:sz w:val="22"/>
              </w:rPr>
            </w:pPr>
            <w:r w:rsidRPr="000F08D1">
              <w:rPr>
                <w:sz w:val="22"/>
              </w:rPr>
              <w:t>Znana także jako zarządzanie sytuacją kryzysową.</w:t>
            </w:r>
            <w:r w:rsidR="00A27CFF" w:rsidRPr="000F08D1">
              <w:rPr>
                <w:sz w:val="22"/>
              </w:rPr>
              <w:t xml:space="preserve"> Głó</w:t>
            </w:r>
            <w:r w:rsidR="00A27CFF" w:rsidRPr="000F08D1">
              <w:rPr>
                <w:sz w:val="22"/>
              </w:rPr>
              <w:t>w</w:t>
            </w:r>
            <w:r w:rsidR="00A27CFF" w:rsidRPr="000F08D1">
              <w:rPr>
                <w:sz w:val="22"/>
              </w:rPr>
              <w:t>nym celem jest przywrócenie działania systemów inform</w:t>
            </w:r>
            <w:r w:rsidR="00A27CFF" w:rsidRPr="000F08D1">
              <w:rPr>
                <w:sz w:val="22"/>
              </w:rPr>
              <w:t>a</w:t>
            </w:r>
            <w:r w:rsidR="00A27CFF" w:rsidRPr="000F08D1">
              <w:rPr>
                <w:sz w:val="22"/>
              </w:rPr>
              <w:t>tycznych firmy w uzgodnionym czasie. Składa się z zap</w:t>
            </w:r>
            <w:r w:rsidR="00A27CFF" w:rsidRPr="000F08D1">
              <w:rPr>
                <w:sz w:val="22"/>
              </w:rPr>
              <w:t>o</w:t>
            </w:r>
            <w:r w:rsidR="00A27CFF" w:rsidRPr="000F08D1">
              <w:rPr>
                <w:sz w:val="22"/>
              </w:rPr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1C5912">
          <w:rPr>
            <w:noProof/>
          </w:rPr>
          <w:t>2</w:t>
        </w:r>
      </w:fldSimple>
      <w:r w:rsidR="008C40A2">
        <w:t>.</w:t>
      </w:r>
      <w:fldSimple w:instr=" SEQ Tabela \* ARABIC \s 1 ">
        <w:r w:rsidR="001C591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0470191" wp14:editId="3F13B666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 w:rsidR="00C36C6D">
          <w:rPr>
            <w:noProof/>
          </w:rPr>
          <w:t>2</w:t>
        </w:r>
      </w:fldSimple>
      <w:r w:rsidR="00C36C6D">
        <w:t>.</w:t>
      </w:r>
      <w:fldSimple w:instr=" SEQ Ilustracja \* ARABIC \s 1 ">
        <w:r w:rsidR="00C36C6D"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3"/>
      </w:r>
    </w:p>
    <w:p w:rsidR="00E56AB4" w:rsidRDefault="00E56AB4" w:rsidP="00E56AB4">
      <w:pPr>
        <w:pStyle w:val="Nagwek3"/>
      </w:pPr>
      <w:bookmarkStart w:id="37" w:name="_Toc299641870"/>
      <w:r>
        <w:t>Wersja trzecia</w:t>
      </w:r>
      <w:bookmarkEnd w:id="37"/>
    </w:p>
    <w:p w:rsidR="00302328" w:rsidRDefault="00B32E22" w:rsidP="00302328">
      <w:pPr>
        <w:pStyle w:val="Pierwszyakapit"/>
      </w:pPr>
      <w:r>
        <w:t>W listopadzie 2004 r.</w:t>
      </w:r>
      <w:r>
        <w:rPr>
          <w:rStyle w:val="Odwoanieprzypisudolnego"/>
        </w:rPr>
        <w:footnoteReference w:id="14"/>
      </w:r>
      <w:r>
        <w:t xml:space="preserve"> OGC uruchomiło projekt ITIL </w:t>
      </w:r>
      <w:proofErr w:type="spellStart"/>
      <w:r w:rsidRPr="00626AD8">
        <w:t>Refresh</w:t>
      </w:r>
      <w:proofErr w:type="spellEnd"/>
      <w:r w:rsidR="00302328">
        <w:t xml:space="preserve"> mający na celu</w:t>
      </w:r>
      <w:r>
        <w:t xml:space="preserve"> stworzenie kolejnej wersji ITIL.</w:t>
      </w:r>
      <w:r w:rsidR="00F92123">
        <w:t xml:space="preserve"> </w:t>
      </w:r>
      <w:r w:rsidR="000875F5">
        <w:t>Projekt polegał</w:t>
      </w:r>
      <w:r w:rsidR="00302328">
        <w:t xml:space="preserve"> głównie </w:t>
      </w:r>
      <w:r w:rsidR="000875F5">
        <w:t>na przeprowadzaniu konsu</w:t>
      </w:r>
      <w:r w:rsidR="00302328">
        <w:t xml:space="preserve">ltacji z tysiącami organizacji, które używały </w:t>
      </w:r>
      <w:r w:rsidR="000875F5">
        <w:t>ITIL</w:t>
      </w:r>
      <w:r w:rsidR="00302328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</w:t>
      </w:r>
      <w:r w:rsidR="00DA60D7">
        <w:t>e</w:t>
      </w:r>
      <w:r w:rsidR="00DA60D7">
        <w:t>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dwukrotnie, zwiększając liczbę procesów i funkcji prawie trzykrotnie. W </w:t>
      </w:r>
      <w:r w:rsidR="00886CBC">
        <w:t xml:space="preserve">lipcu </w:t>
      </w:r>
      <w:r w:rsidR="00B30B47">
        <w:t>201</w:t>
      </w:r>
      <w:r w:rsidR="00BD3502">
        <w:t>1</w:t>
      </w:r>
      <w:r w:rsidR="00B30B47">
        <w:t xml:space="preserve"> r. </w:t>
      </w:r>
      <w:r w:rsidR="00886CBC">
        <w:t>zaprzestano publ</w:t>
      </w:r>
      <w:r w:rsidR="00886CBC">
        <w:t>i</w:t>
      </w:r>
      <w:r w:rsidR="00886CBC">
        <w:t>kacji materiałów</w:t>
      </w:r>
      <w:r w:rsidR="00BD3502">
        <w:t xml:space="preserve"> ITIL v2</w:t>
      </w:r>
      <w:r w:rsidR="00886CBC">
        <w:t xml:space="preserve"> i oficjalnie wycofano wsparcie dla tej wersji.</w:t>
      </w:r>
      <w:r w:rsidR="00BD3502">
        <w:t xml:space="preserve"> Obecnie, </w:t>
      </w:r>
      <w:r w:rsidR="005B2513">
        <w:t>w ramach cyklicznego</w:t>
      </w:r>
      <w:r w:rsidR="00BD3502">
        <w:t xml:space="preserve"> plan</w:t>
      </w:r>
      <w:r w:rsidR="005B2513">
        <w:t>u</w:t>
      </w:r>
      <w:r w:rsidR="00BD3502">
        <w:t xml:space="preserve"> modernizacji</w:t>
      </w:r>
      <w:r w:rsidR="00BD3502">
        <w:rPr>
          <w:rStyle w:val="Odwoanieprzypisudolnego"/>
        </w:rPr>
        <w:footnoteReference w:id="15"/>
      </w:r>
      <w:r w:rsidR="00BD3502">
        <w:t xml:space="preserve">, </w:t>
      </w:r>
      <w:r w:rsidR="005B2513">
        <w:t>przygotow</w:t>
      </w:r>
      <w:r w:rsidR="00302328">
        <w:t>yw</w:t>
      </w:r>
      <w:r w:rsidR="005B2513">
        <w:t>ane jest pierwsze uaktualnienie ITIL v3.</w:t>
      </w:r>
      <w:r w:rsidR="00302328">
        <w:br w:type="page"/>
      </w:r>
    </w:p>
    <w:p w:rsidR="00172DD7" w:rsidRPr="00F80656" w:rsidRDefault="00172DD7" w:rsidP="00172DD7">
      <w:pPr>
        <w:pStyle w:val="Nagwek2"/>
      </w:pPr>
      <w:bookmarkStart w:id="38" w:name="_Toc299641871"/>
      <w:r w:rsidRPr="00F80656">
        <w:lastRenderedPageBreak/>
        <w:t>Struktura</w:t>
      </w:r>
      <w:bookmarkEnd w:id="38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7D5DC390" wp14:editId="11245C62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39" w:name="_Ref298934855"/>
      <w:bookmarkStart w:id="40" w:name="_Toc297900998"/>
      <w:bookmarkStart w:id="41" w:name="_Toc297901873"/>
      <w:r>
        <w:t xml:space="preserve">Ilustracja </w:t>
      </w:r>
      <w:fldSimple w:instr=" STYLEREF 1 \s ">
        <w:r w:rsidR="00C36C6D">
          <w:rPr>
            <w:noProof/>
          </w:rPr>
          <w:t>2</w:t>
        </w:r>
      </w:fldSimple>
      <w:r w:rsidR="00C36C6D">
        <w:t>.</w:t>
      </w:r>
      <w:fldSimple w:instr=" SEQ Ilustracja \* ARABIC \s 1 ">
        <w:r w:rsidR="00C36C6D">
          <w:rPr>
            <w:noProof/>
          </w:rPr>
          <w:t>2</w:t>
        </w:r>
      </w:fldSimple>
      <w:bookmarkEnd w:id="39"/>
      <w:r w:rsidR="0072209D">
        <w:t>.</w:t>
      </w:r>
      <w:r>
        <w:t xml:space="preserve"> </w:t>
      </w:r>
      <w:bookmarkStart w:id="42" w:name="_Toc297900969"/>
      <w:r>
        <w:t>Cykl życia usługi w ITIL</w:t>
      </w:r>
      <w:r w:rsidR="005B53A2">
        <w:rPr>
          <w:rStyle w:val="Odwoanieprzypisudolnego"/>
        </w:rPr>
        <w:footnoteReference w:id="16"/>
      </w:r>
      <w:bookmarkEnd w:id="40"/>
      <w:bookmarkEnd w:id="41"/>
      <w:bookmarkEnd w:id="42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1C5912">
        <w:t xml:space="preserve">Ilustracja </w:t>
      </w:r>
      <w:r w:rsidR="001C5912">
        <w:rPr>
          <w:noProof/>
        </w:rPr>
        <w:t>2</w:t>
      </w:r>
      <w:r w:rsidR="001C5912">
        <w:t>.</w:t>
      </w:r>
      <w:r w:rsidR="001C5912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7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3AF8D2D3" wp14:editId="76BCBD78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3" w:name="_Toc297900999"/>
      <w:bookmarkStart w:id="44" w:name="_Toc297901874"/>
      <w:r>
        <w:t xml:space="preserve">Ilustracja </w:t>
      </w:r>
      <w:fldSimple w:instr=" STYLEREF 1 \s ">
        <w:r w:rsidR="00C36C6D">
          <w:rPr>
            <w:noProof/>
          </w:rPr>
          <w:t>2</w:t>
        </w:r>
      </w:fldSimple>
      <w:r w:rsidR="00C36C6D">
        <w:t>.</w:t>
      </w:r>
      <w:fldSimple w:instr=" SEQ Ilustracja \* ARABIC \s 1 ">
        <w:r w:rsidR="00C36C6D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5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8"/>
      </w:r>
      <w:bookmarkEnd w:id="43"/>
      <w:bookmarkEnd w:id="44"/>
      <w:bookmarkEnd w:id="45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6" w:name="_Toc299641872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6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Ludzie nie chcą ćwierć-calowych wierteł. </w:t>
      </w:r>
      <w:proofErr w:type="spellStart"/>
      <w:r w:rsidR="00FB6AB5">
        <w:rPr>
          <w:lang w:val="en-US"/>
        </w:rPr>
        <w:t>Chcą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ćwierć-calowych</w:t>
      </w:r>
      <w:proofErr w:type="spellEnd"/>
      <w:r w:rsidR="00FB6AB5">
        <w:rPr>
          <w:lang w:val="en-US"/>
        </w:rPr>
        <w:t xml:space="preserve"> </w:t>
      </w:r>
      <w:proofErr w:type="spellStart"/>
      <w:r w:rsidR="00FB6AB5">
        <w:rPr>
          <w:lang w:val="en-US"/>
        </w:rPr>
        <w:t>otworów</w:t>
      </w:r>
      <w:proofErr w:type="spellEnd"/>
      <w:r w:rsidR="00FB6AB5">
        <w:rPr>
          <w:lang w:val="en-US"/>
        </w:rPr>
        <w:t>.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19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20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7" w:name="_Toc299641873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7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21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22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23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4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48"/>
      <w:r w:rsidR="004970FF">
        <w:t xml:space="preserve">pojemnością </w:t>
      </w:r>
      <w:commentRangeEnd w:id="48"/>
      <w:r w:rsidR="004970FF">
        <w:rPr>
          <w:rStyle w:val="Odwoaniedokomentarza"/>
        </w:rPr>
        <w:commentReference w:id="48"/>
      </w:r>
      <w:r w:rsidR="004970FF">
        <w:t xml:space="preserve">i zarządzanie </w:t>
      </w:r>
      <w:commentRangeStart w:id="49"/>
      <w:r w:rsidR="004970FF">
        <w:t xml:space="preserve">dostępnością </w:t>
      </w:r>
      <w:commentRangeEnd w:id="49"/>
      <w:r w:rsidR="004970FF">
        <w:rPr>
          <w:rStyle w:val="Odwoaniedokomentarza"/>
        </w:rPr>
        <w:commentReference w:id="49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</w:t>
      </w:r>
      <w:r w:rsidR="005A4AFF">
        <w:t>e</w:t>
      </w:r>
      <w:r w:rsidR="005A4AFF">
        <w:t>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5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6"/>
      </w:r>
      <w:r w:rsidR="00AD3A5D">
        <w:t xml:space="preserve"> odpowiada za zabezpieczenie usł</w:t>
      </w:r>
      <w:r w:rsidR="00AD3A5D">
        <w:t>u</w:t>
      </w:r>
      <w:r w:rsidR="00AD3A5D">
        <w:t>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proc</w:t>
      </w:r>
      <w:r w:rsidR="00AD3A5D">
        <w:t>e</w:t>
      </w:r>
      <w:r w:rsidR="00AD3A5D">
        <w:t>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7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</w:t>
      </w:r>
      <w:r w:rsidR="00927F09">
        <w:t>o</w:t>
      </w:r>
      <w:r w:rsidR="00927F09">
        <w:t>starczających</w:t>
      </w:r>
      <w:r w:rsidR="005E2A9E">
        <w:t xml:space="preserve"> komponenty usługi. Ponadto ta piątka procesów pełni rolę proaktywną i na bi</w:t>
      </w:r>
      <w:r w:rsidR="005E2A9E">
        <w:t>e</w:t>
      </w:r>
      <w:r w:rsidR="005E2A9E">
        <w:t>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8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9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50" w:name="_Toc299641874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0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30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31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32"/>
      </w:r>
      <w:r w:rsidR="0098095E">
        <w:t xml:space="preserve"> i proces oceny</w:t>
      </w:r>
      <w:r w:rsidR="0098095E">
        <w:rPr>
          <w:rStyle w:val="Odwoanieprzypisudolnego"/>
        </w:rPr>
        <w:footnoteReference w:id="33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4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5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6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37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8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9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40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41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42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51" w:name="_Toc299641875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1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43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4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>, które może mieć bezpośredni lub pośredni wpływ na świadczenie usługi</w:t>
      </w:r>
      <w:r>
        <w:rPr>
          <w:rStyle w:val="Odwoanieprzypisudolnego"/>
        </w:rPr>
        <w:footnoteReference w:id="45"/>
      </w:r>
      <w:r>
        <w:t>.</w:t>
      </w:r>
      <w:r w:rsidR="00022D7D">
        <w:t xml:space="preserve"> </w:t>
      </w:r>
      <w:r w:rsidR="000828CE">
        <w:t xml:space="preserve">Rejestrowanie wszystkich zdarzeń i ocenianie ich </w:t>
      </w:r>
      <w:r w:rsidR="000828CE">
        <w:lastRenderedPageBreak/>
        <w:t>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2"/>
      <w:r>
        <w:t>incydentem</w:t>
      </w:r>
      <w:commentRangeEnd w:id="52"/>
      <w:r w:rsidR="001C28B6">
        <w:rPr>
          <w:rStyle w:val="Odwoaniedokomentarza"/>
        </w:rPr>
        <w:commentReference w:id="52"/>
      </w:r>
      <w:r>
        <w:rPr>
          <w:rStyle w:val="Odwoanieprzypisudolnego"/>
        </w:rPr>
        <w:footnoteReference w:id="46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7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>, co p</w:t>
      </w:r>
      <w:r w:rsidR="00DF2D75">
        <w:t>o</w:t>
      </w:r>
      <w:r w:rsidR="00DF2D75">
        <w:t xml:space="preserve">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3"/>
      <w:r w:rsidR="001C28B6">
        <w:t>probl</w:t>
      </w:r>
      <w:r w:rsidR="001C28B6">
        <w:t>e</w:t>
      </w:r>
      <w:r w:rsidR="001C28B6">
        <w:t>m</w:t>
      </w:r>
      <w:commentRangeEnd w:id="53"/>
      <w:r w:rsidR="00B72CCC">
        <w:t>ami</w:t>
      </w:r>
      <w:r w:rsidR="001C28B6">
        <w:rPr>
          <w:rStyle w:val="Odwoaniedokomentarza"/>
        </w:rPr>
        <w:commentReference w:id="53"/>
      </w:r>
      <w:r w:rsidR="001C28B6">
        <w:rPr>
          <w:rStyle w:val="Odwoanieprzypisudolnego"/>
        </w:rPr>
        <w:footnoteReference w:id="48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9"/>
      </w:r>
      <w:r w:rsidR="001C28B6">
        <w:t>.</w:t>
      </w:r>
      <w:r w:rsidR="008F2D93">
        <w:t xml:space="preserve"> Gdy problem zostanie zidentyfikowany, tw</w:t>
      </w:r>
      <w:r w:rsidR="008F2D93">
        <w:t>o</w:t>
      </w:r>
      <w:r w:rsidR="008F2D93">
        <w:t>rzony jest rekord</w:t>
      </w:r>
      <w:r w:rsidR="008F2D93">
        <w:rPr>
          <w:rStyle w:val="Odwoanieprzypisudolnego"/>
        </w:rPr>
        <w:footnoteReference w:id="50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51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</w:t>
      </w:r>
      <w:r w:rsidR="00C34967">
        <w:t>u</w:t>
      </w:r>
      <w:r w:rsidR="00C34967">
        <w:t>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52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53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4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4" w:name="_Toc299641876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4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5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6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7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8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9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55" w:name="_Toc299641877"/>
      <w:r>
        <w:lastRenderedPageBreak/>
        <w:t>Wyszczególnione procesy</w:t>
      </w:r>
      <w:bookmarkEnd w:id="55"/>
    </w:p>
    <w:p w:rsidR="00D24E46" w:rsidRPr="00D24E46" w:rsidRDefault="00D24E46" w:rsidP="00D24E46">
      <w:pPr>
        <w:pStyle w:val="Pierwszyakapit"/>
      </w:pPr>
      <w:r>
        <w:t>Podczas omówienia ITIL, szczególnie interesują nas dwa procesy</w:t>
      </w:r>
      <w:r w:rsidR="00097FDA">
        <w:t xml:space="preserve"> należące do obszaru prz</w:t>
      </w:r>
      <w:r w:rsidR="00097FDA">
        <w:t>e</w:t>
      </w:r>
      <w:r w:rsidR="00097FDA">
        <w:t>kazania usług. Są to:</w:t>
      </w:r>
      <w:r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</w:t>
      </w:r>
      <w:r>
        <w:t xml:space="preserve"> zarządzanie zmi</w:t>
      </w:r>
      <w:r>
        <w:t>a</w:t>
      </w:r>
      <w:r>
        <w:t>ną.</w:t>
      </w:r>
      <w:r w:rsidR="00097FDA">
        <w:t xml:space="preserve"> </w:t>
      </w:r>
      <w:r>
        <w:t xml:space="preserve">Wsparcie dla obu zostało zaimplementowane w stworzonym systemie Service </w:t>
      </w:r>
      <w:proofErr w:type="spellStart"/>
      <w:r>
        <w:t>Desk</w:t>
      </w:r>
      <w:proofErr w:type="spellEnd"/>
      <w:r>
        <w:t>.</w:t>
      </w:r>
      <w:r w:rsidR="00E754D5">
        <w:t xml:space="preserve"> P</w:t>
      </w:r>
      <w:r w:rsidR="00E754D5">
        <w:t>o</w:t>
      </w:r>
      <w:r w:rsidR="00E754D5">
        <w:t>nadto system obsługuje procesy zarządzania incydentami i problemami, które zostały opisane w pracy Piotra Kalańskiego</w:t>
      </w:r>
      <w:r w:rsidR="00E754D5">
        <w:rPr>
          <w:rStyle w:val="Odwoanieprzypisudolnego"/>
        </w:rPr>
        <w:footnoteReference w:id="60"/>
      </w:r>
      <w:r w:rsidR="00E754D5">
        <w:t>.</w:t>
      </w:r>
    </w:p>
    <w:p w:rsidR="00537D3D" w:rsidRDefault="005D3F1D" w:rsidP="005D3F1D">
      <w:pPr>
        <w:pStyle w:val="Nagwek3"/>
      </w:pPr>
      <w:bookmarkStart w:id="56" w:name="_Toc299641878"/>
      <w:commentRangeStart w:id="57"/>
      <w:r w:rsidRPr="005D3F1D">
        <w:t>Zarządzanie komponentami usług i konfiguracją</w:t>
      </w:r>
      <w:commentRangeEnd w:id="57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57"/>
      </w:r>
      <w:bookmarkEnd w:id="56"/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61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FB6AB5" w:rsidP="002F675F">
      <w:pPr>
        <w:pStyle w:val="Cytat"/>
        <w:rPr>
          <w:lang w:val="en-US"/>
        </w:rPr>
      </w:pPr>
      <w:r w:rsidRPr="00FB6AB5">
        <w:rPr>
          <w:lang w:val="en-US"/>
        </w:rPr>
        <w:t>„</w:t>
      </w:r>
      <w:r w:rsidR="00891DDF">
        <w:rPr>
          <w:lang w:val="en-US"/>
        </w:rPr>
        <w:t xml:space="preserve">Configuration Item (CI): </w:t>
      </w:r>
      <w:r w:rsidR="002F675F" w:rsidRPr="002F675F">
        <w:rPr>
          <w:lang w:val="en-US"/>
        </w:rPr>
        <w:t>Any Component that needs to be managed in order to deliver an IT Service</w:t>
      </w:r>
      <w:r>
        <w:rPr>
          <w:lang w:val="en-US"/>
        </w:rPr>
        <w:t xml:space="preserve"> […]</w:t>
      </w:r>
      <w:r w:rsidR="002F675F" w:rsidRPr="002F675F">
        <w:rPr>
          <w:lang w:val="en-US"/>
        </w:rPr>
        <w:t>. CIs typically include IT Services, hardware, software, buildings, people and formal documentation such as</w:t>
      </w:r>
      <w:r w:rsidR="002F675F">
        <w:rPr>
          <w:lang w:val="en-US"/>
        </w:rPr>
        <w:t xml:space="preserve"> Process documentation and SLAs.”</w:t>
      </w:r>
    </w:p>
    <w:p w:rsidR="002F675F" w:rsidRDefault="00891DDF" w:rsidP="002F675F">
      <w:pPr>
        <w:pStyle w:val="Cytat"/>
      </w:pPr>
      <w:r>
        <w:t xml:space="preserve">Element konfiguracji (CI): </w:t>
      </w:r>
      <w:r w:rsidR="002F675F" w:rsidRPr="002F675F">
        <w:t xml:space="preserve">Dowolny </w:t>
      </w:r>
      <w:r w:rsidR="002F675F">
        <w:t>k</w:t>
      </w:r>
      <w:r w:rsidR="002F675F" w:rsidRPr="002F675F">
        <w:t>omponent, który musi być zarządzany w c</w:t>
      </w:r>
      <w:r w:rsidR="002F675F" w:rsidRPr="002F675F">
        <w:t>e</w:t>
      </w:r>
      <w:r w:rsidR="002F675F" w:rsidRPr="002F675F">
        <w:t>lu dostarczania usługi IT</w:t>
      </w:r>
      <w:r w:rsidR="00FB6AB5">
        <w:t xml:space="preserve"> […]</w:t>
      </w:r>
      <w:r w:rsidR="002F675F" w:rsidRPr="002F675F">
        <w:t xml:space="preserve">. </w:t>
      </w:r>
      <w:r w:rsidR="002F675F">
        <w:t>Elementy konfiguracji</w:t>
      </w:r>
      <w:r>
        <w:t xml:space="preserve"> zazwyczaj</w:t>
      </w:r>
      <w:r w:rsidR="002F675F">
        <w:t xml:space="preserve"> obejmują usługi IT, sprzęt, oprogramowanie, budynki, ludzi i formalną dokumentację, taką jak d</w:t>
      </w:r>
      <w:r w:rsidR="002F675F">
        <w:t>o</w:t>
      </w:r>
      <w:r w:rsidR="00FB6AB5">
        <w:t>kumentacja procesu i SLA.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58"/>
      <w:r w:rsidRPr="00891DDF">
        <w:rPr>
          <w:lang w:val="pl-PL"/>
        </w:rPr>
        <w:t>źródło</w:t>
      </w:r>
      <w:commentRangeEnd w:id="58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58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>, które dostarcza te</w:t>
      </w:r>
      <w:r w:rsidR="0067293E">
        <w:t xml:space="preserve"> informacj</w:t>
      </w:r>
      <w:r w:rsidR="005F419C">
        <w:t>e</w:t>
      </w:r>
      <w:r w:rsidR="0067293E">
        <w:t xml:space="preserve">. </w:t>
      </w:r>
    </w:p>
    <w:p w:rsidR="00891DDF" w:rsidRDefault="00C63FBA" w:rsidP="002A23AC">
      <w:r>
        <w:t xml:space="preserve">Z tych powodów zarządzanie komponentami usług i konfiguracją odgrywa podstawową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niemożliwe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62"/>
      </w:r>
    </w:p>
    <w:p w:rsidR="008B2C3B" w:rsidRDefault="00C81918" w:rsidP="00DF4820">
      <w:pPr>
        <w:pStyle w:val="Pierwszyakapit"/>
        <w:rPr>
          <w:i/>
        </w:rPr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</w:t>
      </w:r>
      <w:r w:rsidR="00DF4820">
        <w:t>otrzym</w:t>
      </w:r>
      <w:r w:rsidR="00DF4820">
        <w:t>y</w:t>
      </w:r>
      <w:r w:rsidR="00DF4820">
        <w:t xml:space="preserve">wanym </w:t>
      </w:r>
      <w:r w:rsidR="003F65F6">
        <w:t>zyskiem i kosztem pozyskiwania informacji.</w:t>
      </w:r>
      <w:r w:rsidR="008B2C3B"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 xml:space="preserve">w jakie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63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4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 w:rsidR="00AA276D">
        <w:t xml:space="preserve"> danych</w:t>
      </w:r>
      <w:r w:rsidR="00714AA1">
        <w:t>, odpowiednio sformatowane dokumenty, narzędzia do automatycznego wykrywania konfiguracji, systemy działające w firmie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Następn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Ostatnią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dodatkowo przed wydaniem głównych wersji.</w:t>
      </w:r>
    </w:p>
    <w:p w:rsidR="00AF0069" w:rsidRPr="00AF0069" w:rsidRDefault="00AF0069" w:rsidP="00AF0069"/>
    <w:p w:rsidR="00DA1AEB" w:rsidRDefault="001158A3" w:rsidP="008B2C3B">
      <w:pPr>
        <w:pStyle w:val="Legenda"/>
        <w:ind w:firstLine="0"/>
      </w:pPr>
      <w:bookmarkStart w:id="59" w:name="_Ref299614606"/>
      <w:r>
        <w:rPr>
          <w:noProof/>
        </w:rPr>
        <w:drawing>
          <wp:inline distT="0" distB="0" distL="0" distR="0" wp14:anchorId="3C670A57" wp14:editId="580486A4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fldSimple w:instr=" STYLEREF 1 \s ">
        <w:r w:rsidR="00C36C6D">
          <w:rPr>
            <w:noProof/>
          </w:rPr>
          <w:t>2</w:t>
        </w:r>
      </w:fldSimple>
      <w:r w:rsidR="00C36C6D">
        <w:t>.</w:t>
      </w:r>
      <w:fldSimple w:instr=" SEQ Ilustracja \* ARABIC \s 1 ">
        <w:r w:rsidR="00C36C6D">
          <w:rPr>
            <w:noProof/>
          </w:rPr>
          <w:t>4</w:t>
        </w:r>
      </w:fldSimple>
      <w:bookmarkEnd w:id="59"/>
      <w:r>
        <w:t xml:space="preserve"> Model czynności zarządzania konfiguracją</w:t>
      </w:r>
      <w:r>
        <w:rPr>
          <w:rStyle w:val="Odwoanieprzypisudolnego"/>
        </w:rPr>
        <w:footnoteReference w:id="65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każdy inny proces w pewnym stopniu korzysta z </w:t>
      </w:r>
      <w:r w:rsidR="00116C8B">
        <w:t>systemu zarządzania konfiguracją wykorzystując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60" w:name="_Toc299641879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60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A50366" w:rsidP="007701F3">
      <w:pPr>
        <w:pStyle w:val="Cytat"/>
        <w:rPr>
          <w:lang w:val="en-US"/>
        </w:rPr>
      </w:pPr>
      <w:r w:rsidRPr="00A50366">
        <w:rPr>
          <w:lang w:val="en-US"/>
        </w:rPr>
        <w:t>„</w:t>
      </w:r>
      <w:r w:rsidR="007701F3"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="007701F3" w:rsidRPr="007701F3">
        <w:rPr>
          <w:lang w:val="en-US"/>
        </w:rPr>
        <w:t>o</w:t>
      </w:r>
      <w:r w:rsidR="007701F3" w:rsidRPr="007701F3">
        <w:rPr>
          <w:lang w:val="en-US"/>
        </w:rPr>
        <w:t>cess, Documentation, etc.</w:t>
      </w:r>
      <w:r w:rsidR="007701F3"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Dodanie, modyfikacja albo usunięcie czegokolwiek, co może mieć efekt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 w:rsidR="00A50366">
        <w:t xml:space="preserve"> itp.</w:t>
      </w:r>
    </w:p>
    <w:p w:rsidR="007701F3" w:rsidRPr="00E93B98" w:rsidRDefault="007701F3" w:rsidP="007701F3">
      <w:pPr>
        <w:pStyle w:val="CytatPodpis"/>
        <w:rPr>
          <w:lang w:val="pl-PL"/>
        </w:rPr>
      </w:pPr>
      <w:r w:rsidRPr="007701F3">
        <w:rPr>
          <w:lang w:val="pl-PL"/>
        </w:rPr>
        <w:t>Definicja</w:t>
      </w:r>
      <w:r w:rsidRPr="00E93B98">
        <w:rPr>
          <w:lang w:val="pl-PL"/>
        </w:rPr>
        <w:t xml:space="preserve"> </w:t>
      </w:r>
      <w:r w:rsidRPr="007701F3">
        <w:rPr>
          <w:lang w:val="pl-PL"/>
        </w:rPr>
        <w:t>zmiany</w:t>
      </w:r>
      <w:r w:rsidRPr="00E93B98">
        <w:rPr>
          <w:lang w:val="pl-PL"/>
        </w:rPr>
        <w:t xml:space="preserve">, </w:t>
      </w:r>
      <w:r w:rsidRPr="007701F3">
        <w:rPr>
          <w:lang w:val="pl-PL"/>
        </w:rPr>
        <w:t>źródło</w:t>
      </w:r>
      <w:r w:rsidRPr="00E93B98">
        <w:rPr>
          <w:lang w:val="pl-PL"/>
        </w:rPr>
        <w:t xml:space="preserve">: </w:t>
      </w:r>
      <w:sdt>
        <w:sdtPr>
          <w:id w:val="-166392297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66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RFC </w:t>
      </w:r>
      <w:r w:rsidR="00CD2F5D">
        <w:t>posiada odn</w:t>
      </w:r>
      <w:r w:rsidR="00CD2F5D">
        <w:t>o</w:t>
      </w:r>
      <w:r w:rsidR="00CD2F5D">
        <w:t>towaną</w:t>
      </w:r>
      <w:r w:rsidR="00DA5350">
        <w:t xml:space="preserve"> </w:t>
      </w:r>
      <w:r w:rsidR="00CD2F5D">
        <w:t>datę złożenia, autora</w:t>
      </w:r>
      <w:r w:rsidR="00DA5350">
        <w:t>, identyfikator</w:t>
      </w:r>
      <w:r w:rsidR="00CD2F5D">
        <w:t xml:space="preserve"> </w:t>
      </w:r>
      <w:r w:rsidR="00DA5350">
        <w:t>oraz</w:t>
      </w:r>
      <w:r w:rsidR="00CD2F5D">
        <w:t xml:space="preserve"> opcjonalnie </w:t>
      </w:r>
      <w:r w:rsidR="00213F18">
        <w:t xml:space="preserve">kategorię </w:t>
      </w:r>
      <w:r w:rsidR="00DA5350">
        <w:t>i</w:t>
      </w:r>
      <w:r w:rsidR="00213F18">
        <w:t xml:space="preserve"> </w:t>
      </w:r>
      <w:r w:rsidR="00CD2F5D">
        <w:t>wstępny</w:t>
      </w:r>
      <w:r w:rsidR="00213F18">
        <w:t xml:space="preserve"> priorytet. </w:t>
      </w:r>
      <w:r w:rsidR="00CD2F5D">
        <w:t xml:space="preserve">Duże zmiany mające znaczący wpływ na przedsiębiorstwo zawierają ponadto </w:t>
      </w:r>
      <w:r w:rsidR="00F166D0">
        <w:t>uzasadnienie podpisane przez odpowiednie kierownictwo.</w:t>
      </w:r>
      <w:r w:rsidR="00CD2F5D">
        <w:t xml:space="preserve"> </w:t>
      </w:r>
      <w:r w:rsidR="00CF0DFC">
        <w:t xml:space="preserve">Wszystkie modyfikacje elementów konfiguracji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złożenie</w:t>
      </w:r>
      <w:r w:rsidR="00CF0DFC">
        <w:t xml:space="preserve"> punkt początkowy procesu zarządzania zmianą. </w:t>
      </w:r>
    </w:p>
    <w:p w:rsidR="000E71B5" w:rsidRPr="000E71B5" w:rsidRDefault="000E71B5" w:rsidP="000E71B5">
      <w:r>
        <w:t>Przy wprowadzaniu procesu należy określić zakres zarządzanych zmian. Rozważanie ogromnej ilości drobnych wniosków może negatywnie wpłynąć na wydajność całego prze</w:t>
      </w:r>
      <w:r>
        <w:t>d</w:t>
      </w:r>
      <w:r>
        <w:t xml:space="preserve">siębiorstwa. Z kolei </w:t>
      </w:r>
      <w:r w:rsidR="009C4F3D">
        <w:t>rozpatrywanie</w:t>
      </w:r>
      <w:r w:rsidR="008B4C83">
        <w:t xml:space="preserve"> zmian</w:t>
      </w:r>
      <w:r>
        <w:t xml:space="preserve"> o charakterze strategicznym wy</w:t>
      </w:r>
      <w:r w:rsidR="009C4F3D">
        <w:t>maga</w:t>
      </w:r>
      <w:r>
        <w:t xml:space="preserve"> znacznie większego udziału najwyższego kierownictwa firmy i spełnienia dodatkowych wymagań be</w:t>
      </w:r>
      <w:r>
        <w:t>z</w:t>
      </w:r>
      <w:r>
        <w:t>pieczeństwa. RFC zasadniczo powinny dotyczyć</w:t>
      </w:r>
      <w:r w:rsidR="007D4E89">
        <w:t xml:space="preserve"> usług i</w:t>
      </w:r>
      <w:r>
        <w:t xml:space="preserve"> elementów konfig</w:t>
      </w:r>
      <w:r>
        <w:t>u</w:t>
      </w:r>
      <w:r>
        <w:t>racji.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67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 xml:space="preserve">tomiast zmiany standardowe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 xml:space="preserve">niem dla całego procesu, dlatego odpowiedzialne organy poświadczają je z góry. Obsługą tego typu żądań zajmuje się Service </w:t>
      </w:r>
      <w:proofErr w:type="spellStart"/>
      <w:r w:rsidR="00213F18" w:rsidRPr="00E93B98">
        <w:t>Desk</w:t>
      </w:r>
      <w:proofErr w:type="spellEnd"/>
      <w:r w:rsidR="00213F18">
        <w:t xml:space="preserve"> i proces realizacji wniosków.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68"/>
      </w:r>
    </w:p>
    <w:p w:rsidR="0067778F" w:rsidRDefault="00C03B30" w:rsidP="000E71B5">
      <w:pPr>
        <w:pStyle w:val="Pierwszyakapit"/>
        <w:rPr>
          <w:i/>
        </w:rPr>
      </w:pPr>
      <w:r>
        <w:t>Wpis w systemie informatyczny</w:t>
      </w:r>
      <w:r w:rsidR="0067778F">
        <w:t>m</w:t>
      </w:r>
      <w:r>
        <w:t xml:space="preserve"> wspomagającym proces</w:t>
      </w:r>
      <w:r w:rsidR="0067778F">
        <w:t xml:space="preserve"> zarządzania zmianą</w:t>
      </w:r>
      <w:r>
        <w:t xml:space="preserve">, tworzony na podstawie zgłoszonego wniosku o zmianę. </w:t>
      </w:r>
      <w:r w:rsidR="00084D07">
        <w:t>Odz</w:t>
      </w:r>
      <w:r w:rsidR="0067778F">
        <w:t xml:space="preserve">wierciedla bieżący stan zmiany </w:t>
      </w:r>
      <w:r w:rsidR="00084D07">
        <w:t>oraz d</w:t>
      </w:r>
      <w:r>
        <w:t>okume</w:t>
      </w:r>
      <w:r>
        <w:t>n</w:t>
      </w:r>
      <w:r>
        <w:t xml:space="preserve">tuje </w:t>
      </w:r>
      <w:r w:rsidR="0067778F">
        <w:t>jej cykl życia, wraz z wszystkimi</w:t>
      </w:r>
      <w:r>
        <w:t xml:space="preserve"> </w:t>
      </w:r>
      <w:r w:rsidR="00084D07">
        <w:t>podjęt</w:t>
      </w:r>
      <w:r w:rsidR="0067778F">
        <w:t>ymi</w:t>
      </w:r>
      <w:r w:rsidR="00084D07">
        <w:t xml:space="preserve"> </w:t>
      </w:r>
      <w:r>
        <w:t>decyzj</w:t>
      </w:r>
      <w:r w:rsidR="0067778F">
        <w:t>ami</w:t>
      </w:r>
      <w:r>
        <w:t xml:space="preserve">. </w:t>
      </w:r>
      <w:r w:rsidR="00651340">
        <w:t>Dodatkowo z</w:t>
      </w:r>
      <w:r>
        <w:t xml:space="preserve">awiera wskazania </w:t>
      </w:r>
      <w:r w:rsidR="00651340">
        <w:t>do</w:t>
      </w:r>
      <w:r>
        <w:t xml:space="preserve"> element</w:t>
      </w:r>
      <w:r w:rsidR="00651340">
        <w:t>ów</w:t>
      </w:r>
      <w:r>
        <w:t xml:space="preserve"> konfiguracji, na które </w:t>
      </w:r>
      <w:r w:rsidR="00F166D0">
        <w:t xml:space="preserve">proponowana zmiana </w:t>
      </w:r>
      <w:r>
        <w:t>ma wpływ.</w:t>
      </w:r>
      <w:r w:rsidR="0067778F">
        <w:br w:type="page"/>
      </w:r>
    </w:p>
    <w:p w:rsidR="00525CCA" w:rsidRDefault="00525CCA" w:rsidP="00525CCA">
      <w:pPr>
        <w:pStyle w:val="Nagwek2bezkontekstu"/>
      </w:pPr>
      <w:r>
        <w:lastRenderedPageBreak/>
        <w:t>Zarządzający zmianami</w:t>
      </w:r>
      <w:r>
        <w:rPr>
          <w:rStyle w:val="Odwoanieprzypisudolnego"/>
        </w:rPr>
        <w:footnoteReference w:id="69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</w:t>
      </w:r>
      <w:r w:rsidR="00197C80">
        <w:t>rekordów zmian</w:t>
      </w:r>
      <w:r w:rsidR="00D37779">
        <w:t xml:space="preserve"> przez cały proces, w tym: filtrowanie niepoprawnych wniosków, przydzielanie kategorii i priorytetu, szacowanie wpływu, koordynacja implementacji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70"/>
      </w:r>
    </w:p>
    <w:p w:rsidR="00C7481A" w:rsidRDefault="00C03B30" w:rsidP="00D37779">
      <w:pPr>
        <w:pStyle w:val="Pierwszyakapit"/>
      </w:pPr>
      <w:r>
        <w:t xml:space="preserve">Organ decyzyjny złożony </w:t>
      </w:r>
      <w:r w:rsidR="00590951">
        <w:t>z przedstawicieli IT, biznesu</w:t>
      </w:r>
      <w:r w:rsidR="00C7481A">
        <w:t>,</w:t>
      </w:r>
      <w:r w:rsidR="00590951">
        <w:t xml:space="preserve"> kooperantów</w:t>
      </w:r>
      <w:r w:rsidR="00C7481A">
        <w:t xml:space="preserve"> i użytkowników</w:t>
      </w:r>
      <w:r w:rsidR="00590951">
        <w:t xml:space="preserve"> </w:t>
      </w:r>
      <w:r w:rsidR="00590951" w:rsidRPr="00EB2CE6">
        <w:t>—</w:t>
      </w:r>
      <w:r w:rsidR="00197C80">
        <w:t xml:space="preserve"> je</w:t>
      </w:r>
      <w:r w:rsidR="00197C80">
        <w:t>d</w:t>
      </w:r>
      <w:r w:rsidR="00197C80">
        <w:t>nym zdaniem</w:t>
      </w:r>
      <w:r w:rsidR="00590951">
        <w:t xml:space="preserve"> wszystkich zainteresowanych, na których zmiany mogą mieć wpływ. </w:t>
      </w:r>
      <w:r w:rsidR="00C7481A">
        <w:t xml:space="preserve">Dokładny skład CAB zależy głównie od rodzaju rozważanych zmian. </w:t>
      </w:r>
      <w:r w:rsidR="00197C80">
        <w:t xml:space="preserve">Każda kategoria zmian </w:t>
      </w:r>
      <w:r w:rsidR="00197C80" w:rsidRPr="00EB2CE6">
        <w:t>—</w:t>
      </w:r>
      <w:r w:rsidR="00C7481A">
        <w:t xml:space="preserve"> np. dotycząca usługi A</w:t>
      </w:r>
      <w:r w:rsidR="00465EA2">
        <w:t xml:space="preserve"> lub </w:t>
      </w:r>
      <w:r w:rsidR="00197C80">
        <w:t>B</w:t>
      </w:r>
      <w:r w:rsidR="00465EA2">
        <w:t xml:space="preserve"> </w:t>
      </w:r>
      <w:r w:rsidR="00197C80" w:rsidRPr="00EB2CE6">
        <w:t>—</w:t>
      </w:r>
      <w:r w:rsidR="00197C80">
        <w:t xml:space="preserve"> posiada własną radę, do której trafiają wszystkie rekordy zmian z tej kategorii.</w:t>
      </w:r>
      <w:r w:rsidR="00C7481A">
        <w:t xml:space="preserve"> Rolą tego organu jest ich </w:t>
      </w:r>
      <w:r w:rsidR="00DC74C0">
        <w:t xml:space="preserve">ostateczna </w:t>
      </w:r>
      <w:r w:rsidR="00C7481A">
        <w:t>autoryzacja, nadawanie priorytetów, ha</w:t>
      </w:r>
      <w:r w:rsidR="00C7481A">
        <w:t>r</w:t>
      </w:r>
      <w:r w:rsidR="00C7481A">
        <w:t>monogramowanie oraz pomoc zarządzającym zmianą w ocenie i podejmowaniu decyzji. Z</w:t>
      </w:r>
      <w:r w:rsidR="00C7481A">
        <w:t>e</w:t>
      </w:r>
      <w:r w:rsidR="00C7481A">
        <w:t>brania rady mogą być organizowane elektronicznie, co znacząco oszczędza czas. Jednak w wypadku skomplikowany</w:t>
      </w:r>
      <w:r w:rsidR="00465EA2">
        <w:t>ch</w:t>
      </w:r>
      <w:r w:rsidR="00C7481A">
        <w:t xml:space="preserve"> i dużych zmian zalecane są bezpośrednie spotkania.</w:t>
      </w:r>
    </w:p>
    <w:p w:rsidR="00EE1A14" w:rsidRDefault="00EE1A14" w:rsidP="00EE1A14">
      <w:pPr>
        <w:pStyle w:val="Nagwek2bezkontekstu"/>
      </w:pPr>
      <w:r>
        <w:t>Nadzwyczajna Rada ds. Zmian (ECAB)</w:t>
      </w:r>
      <w:r>
        <w:rPr>
          <w:rStyle w:val="Odwoanieprzypisudolnego"/>
        </w:rPr>
        <w:footnoteReference w:id="71"/>
      </w:r>
    </w:p>
    <w:p w:rsidR="00EE1A14" w:rsidRDefault="00DC74C0" w:rsidP="00EE1A14">
      <w:pPr>
        <w:pStyle w:val="Pierwszyakapit"/>
      </w:pPr>
      <w:r>
        <w:t>Czasami, gdy potrzeba szybkich decyzji, zorganizowanie zebrania Rady ds. Zmian może być niemożliwe. W tym celu istnieje znacznie mniejszy organ, złożony z jak najmniejszej możl</w:t>
      </w:r>
      <w:r>
        <w:t>i</w:t>
      </w:r>
      <w:r>
        <w:t>wej ilości osób.</w:t>
      </w:r>
      <w:r w:rsidR="000A01F5">
        <w:t xml:space="preserve"> Organem tym jest Nadzwyczajna Rada ds. Zmian. Posiada ona taką samą charakterystykę, co zwykłe CAB, a jej obowiązkiem jest zarządzanie zmianami pilnymi.</w:t>
      </w:r>
    </w:p>
    <w:p w:rsidR="000A01F5" w:rsidRDefault="000A01F5" w:rsidP="000A01F5">
      <w:pPr>
        <w:pStyle w:val="Nagwekbezkonspektu"/>
      </w:pPr>
      <w:r>
        <w:t>Czynności</w:t>
      </w:r>
    </w:p>
    <w:p w:rsidR="00A5777C" w:rsidRDefault="004F631C" w:rsidP="000A01F5">
      <w:pPr>
        <w:ind w:firstLine="0"/>
      </w:pPr>
      <w:r>
        <w:t xml:space="preserve">Proces zarządzania zmianą zaczyna się od stworzenia i złożenia wniosku o zmianę. Autorem żądania może być każda zainteresowana osoba. </w:t>
      </w:r>
      <w:r w:rsidR="00A5777C">
        <w:t>Forma zgłaszania wniosków jest dowolna i zależy od przedsiębiorstwa. Może obejmować wnioski pisemne, nadsyłane pocztą elektr</w:t>
      </w:r>
      <w:r w:rsidR="00A5777C">
        <w:t>o</w:t>
      </w:r>
      <w:r w:rsidR="00A5777C">
        <w:t xml:space="preserve">niczną oraz wprowadzane przez formularze internetowe. </w:t>
      </w:r>
    </w:p>
    <w:p w:rsidR="000A01F5" w:rsidRDefault="004F631C" w:rsidP="00A5777C">
      <w:r>
        <w:lastRenderedPageBreak/>
        <w:t>Następnie wniosek jest odbierany przez zrządzającego zmianą i zapisywany w systemie w postaci rekordu zmiany. Rejestracja wszystkich wniosków jest bardzo ważna. Z jednej strony pozwala wykorzystać wszystkie możliwości ulepszenia usług, a z drugiej pozwala ba</w:t>
      </w:r>
      <w:r>
        <w:t>r</w:t>
      </w:r>
      <w:r>
        <w:t xml:space="preserve">dzo szybko wychwycić żądania nadmiarowe, które pojawiły się już wcześniej. </w:t>
      </w:r>
    </w:p>
    <w:p w:rsidR="004F631C" w:rsidRDefault="004F631C" w:rsidP="004F631C">
      <w:r>
        <w:t xml:space="preserve">Kolejnym krokiem jest </w:t>
      </w:r>
      <w:r w:rsidR="00DA5350">
        <w:t>przegląd</w:t>
      </w:r>
      <w:r>
        <w:t xml:space="preserve"> żądań. W tej fazie zarządzający zmianą musi </w:t>
      </w:r>
      <w:r w:rsidR="00DA5350">
        <w:t xml:space="preserve">zapoznać się z treścią wniosków i </w:t>
      </w:r>
      <w:r>
        <w:t>odrzucić wszyst</w:t>
      </w:r>
      <w:r w:rsidR="00DA5350">
        <w:t xml:space="preserve">kie te, </w:t>
      </w:r>
      <w:r>
        <w:t xml:space="preserve">które nie spełniają </w:t>
      </w:r>
      <w:r w:rsidR="00A5777C">
        <w:t>wymagań</w:t>
      </w:r>
      <w:r>
        <w:t xml:space="preserve"> formalnych, </w:t>
      </w:r>
      <w:r w:rsidR="00CD2F5D">
        <w:t>d</w:t>
      </w:r>
      <w:r w:rsidR="00CD2F5D">
        <w:t>u</w:t>
      </w:r>
      <w:r w:rsidR="00CD2F5D">
        <w:t xml:space="preserve">plikują się, </w:t>
      </w:r>
      <w:r>
        <w:t>są niekompletne</w:t>
      </w:r>
      <w:r w:rsidR="00CD2F5D">
        <w:t xml:space="preserve"> </w:t>
      </w:r>
      <w:r>
        <w:t xml:space="preserve">albo w oczywisty sposób niestosowne. Podjęcie decyzji o </w:t>
      </w:r>
      <w:r w:rsidR="00CD2F5D">
        <w:t>odd</w:t>
      </w:r>
      <w:r w:rsidR="00CD2F5D">
        <w:t>a</w:t>
      </w:r>
      <w:r w:rsidR="00CD2F5D">
        <w:t>leniu</w:t>
      </w:r>
      <w:r>
        <w:t xml:space="preserve"> wniosku </w:t>
      </w:r>
      <w:r w:rsidR="00CD2F5D">
        <w:t>wymaga</w:t>
      </w:r>
      <w:r w:rsidR="00CF0C3F">
        <w:t xml:space="preserve"> </w:t>
      </w:r>
      <w:r>
        <w:t>podania przy</w:t>
      </w:r>
      <w:r w:rsidR="00CD2F5D">
        <w:t>czyny, a autorowi żądania przysługuje procedura apel</w:t>
      </w:r>
      <w:r w:rsidR="00CD2F5D">
        <w:t>a</w:t>
      </w:r>
      <w:r w:rsidR="00CD2F5D">
        <w:t>cyjna.</w:t>
      </w:r>
      <w:r w:rsidR="00CF0C3F">
        <w:t xml:space="preserve"> Zarządzający konfiguracją może także przekazać wniosek do innej kategorii lub zmi</w:t>
      </w:r>
      <w:r w:rsidR="00CF0C3F">
        <w:t>e</w:t>
      </w:r>
      <w:r w:rsidR="00CF0C3F">
        <w:t>nić jego priorytet.</w:t>
      </w:r>
    </w:p>
    <w:p w:rsidR="00A5777C" w:rsidRDefault="00A5777C" w:rsidP="000D14A7">
      <w:r>
        <w:t xml:space="preserve">Gdy wniosek przejdzie kryterium selekcji zostaje oceniony. </w:t>
      </w:r>
      <w:r w:rsidR="000D14A7">
        <w:t xml:space="preserve">Krok ten </w:t>
      </w:r>
      <w:r w:rsidR="00AC2D2E">
        <w:t>polega na osz</w:t>
      </w:r>
      <w:r w:rsidR="00AC2D2E">
        <w:t>a</w:t>
      </w:r>
      <w:r w:rsidR="00AC2D2E">
        <w:t>cowaniu</w:t>
      </w:r>
      <w:r w:rsidR="000A6E1C">
        <w:t xml:space="preserve"> potencjalnych</w:t>
      </w:r>
      <w:r w:rsidR="004F75A0">
        <w:t xml:space="preserve"> zysków, strat</w:t>
      </w:r>
      <w:r w:rsidR="000A6E1C">
        <w:t xml:space="preserve"> i</w:t>
      </w:r>
      <w:r w:rsidR="004F75A0">
        <w:t xml:space="preserve"> ryzyka oraz </w:t>
      </w:r>
      <w:r w:rsidR="000D14A7">
        <w:t>wnikliw</w:t>
      </w:r>
      <w:r w:rsidR="000A6E1C">
        <w:t>ym</w:t>
      </w:r>
      <w:r w:rsidR="000D14A7">
        <w:t xml:space="preserve"> przestudiowani</w:t>
      </w:r>
      <w:r w:rsidR="000A6E1C">
        <w:t>u</w:t>
      </w:r>
      <w:r>
        <w:t xml:space="preserve"> wpływ</w:t>
      </w:r>
      <w:r w:rsidR="000D14A7">
        <w:t>u</w:t>
      </w:r>
      <w:r>
        <w:t xml:space="preserve"> zmiany na usługi i elementy</w:t>
      </w:r>
      <w:r w:rsidR="004F75A0">
        <w:t xml:space="preserve"> konfiguracji</w:t>
      </w:r>
      <w:r>
        <w:t>.</w:t>
      </w:r>
      <w:r w:rsidR="000D14A7">
        <w:t xml:space="preserve"> Dokładne jego oszacowanie pozwala uniknąć wielu incydentów i zakłóceń w dostawie usług. </w:t>
      </w:r>
      <w:r w:rsidR="000A6E1C">
        <w:t xml:space="preserve">Dodatkowo należy wskazać osoby odpowiedzialne za ewentualne wdrożenie zmiany. </w:t>
      </w:r>
      <w:r>
        <w:t>Istnieje zasada siedmiu R</w:t>
      </w:r>
      <w:r w:rsidR="00342FD7">
        <w:rPr>
          <w:rStyle w:val="Odwoanieprzypisudolnego"/>
        </w:rPr>
        <w:footnoteReference w:id="72"/>
      </w:r>
      <w:r>
        <w:t xml:space="preserve">, która pomaga </w:t>
      </w:r>
      <w:r w:rsidR="000D14A7">
        <w:t>oceniać wnioski</w:t>
      </w:r>
      <w:r w:rsidR="00342FD7">
        <w:t xml:space="preserve">. </w:t>
      </w:r>
      <w:r w:rsidR="00CF0C3F">
        <w:t xml:space="preserve">Stawia ona następujące </w:t>
      </w:r>
      <w:r w:rsidR="00342FD7">
        <w:t>pytania:</w:t>
      </w:r>
    </w:p>
    <w:p w:rsidR="000D14A7" w:rsidRDefault="000D14A7" w:rsidP="000D7E30">
      <w:pPr>
        <w:ind w:firstLine="0"/>
      </w:pP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Kto zgłosił (</w:t>
      </w:r>
      <w:proofErr w:type="spellStart"/>
      <w:r>
        <w:t>Raised</w:t>
      </w:r>
      <w:proofErr w:type="spellEnd"/>
      <w:r>
        <w:t>) wniosek?</w:t>
      </w:r>
    </w:p>
    <w:p w:rsidR="000D14A7" w:rsidRDefault="000D14A7" w:rsidP="000D14A7">
      <w:pPr>
        <w:pStyle w:val="Akapitzlist"/>
        <w:numPr>
          <w:ilvl w:val="0"/>
          <w:numId w:val="21"/>
        </w:numPr>
      </w:pPr>
      <w:r>
        <w:t>Jaka jest przyczyna (</w:t>
      </w:r>
      <w:proofErr w:type="spellStart"/>
      <w:r>
        <w:t>Reason</w:t>
      </w:r>
      <w:proofErr w:type="spellEnd"/>
      <w:r>
        <w:t>) zmiany?</w:t>
      </w:r>
    </w:p>
    <w:p w:rsidR="000D14A7" w:rsidRDefault="00342FD7" w:rsidP="000D14A7">
      <w:pPr>
        <w:pStyle w:val="Akapitzlist"/>
        <w:numPr>
          <w:ilvl w:val="0"/>
          <w:numId w:val="21"/>
        </w:numPr>
      </w:pPr>
      <w:r>
        <w:t>Jaki zwrot (Return) jest wymagany od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są ryzyka (</w:t>
      </w:r>
      <w:proofErr w:type="spellStart"/>
      <w:r>
        <w:t>Risks</w:t>
      </w:r>
      <w:proofErr w:type="spellEnd"/>
      <w:r>
        <w:t>) związane ze zmianą?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Jakie zasoby (</w:t>
      </w:r>
      <w:proofErr w:type="spellStart"/>
      <w:r>
        <w:t>Resources</w:t>
      </w:r>
      <w:proofErr w:type="spellEnd"/>
      <w:r>
        <w:t>) są wymagane do dostarczenia zmiany?</w:t>
      </w:r>
    </w:p>
    <w:p w:rsidR="00342FD7" w:rsidRDefault="00342FD7" w:rsidP="000D14A7">
      <w:pPr>
        <w:pStyle w:val="Akapitzlist"/>
        <w:numPr>
          <w:ilvl w:val="0"/>
          <w:numId w:val="21"/>
        </w:numPr>
      </w:pPr>
      <w:r>
        <w:t>Kto jest odpowiedzialny (</w:t>
      </w:r>
      <w:proofErr w:type="spellStart"/>
      <w:r w:rsidRPr="00342FD7">
        <w:t>Responsible</w:t>
      </w:r>
      <w:proofErr w:type="spellEnd"/>
      <w:r>
        <w:t>) za budowanie, testowanie i implement</w:t>
      </w:r>
      <w:r>
        <w:t>a</w:t>
      </w:r>
      <w:r>
        <w:t>cję zmiany?</w:t>
      </w:r>
    </w:p>
    <w:p w:rsidR="00342FD7" w:rsidRDefault="00342FD7" w:rsidP="00342FD7">
      <w:pPr>
        <w:pStyle w:val="Akapitzlist"/>
        <w:numPr>
          <w:ilvl w:val="0"/>
          <w:numId w:val="21"/>
        </w:numPr>
      </w:pPr>
      <w:r>
        <w:t>Jaki jest związek (</w:t>
      </w:r>
      <w:proofErr w:type="spellStart"/>
      <w:r>
        <w:t>Relationship</w:t>
      </w:r>
      <w:proofErr w:type="spellEnd"/>
      <w:r>
        <w:t>) pomiędzy tą zmianą i innymi zmianami?</w:t>
      </w:r>
    </w:p>
    <w:p w:rsidR="00342FD7" w:rsidRDefault="00E05B36" w:rsidP="00342FD7">
      <w:pPr>
        <w:pStyle w:val="Pierwszyakapit"/>
      </w:pPr>
      <w:r>
        <w:t>Odpowiedzi na te pytania stanowi</w:t>
      </w:r>
      <w:r w:rsidR="000B74DE">
        <w:t xml:space="preserve">ą ogólną bazę do oceny wniosku, którą można uzupełnić o informacje związane ze specyfiką przedsiębiorstwa, usługi lub </w:t>
      </w:r>
      <w:r w:rsidR="004F75A0">
        <w:t xml:space="preserve">samej </w:t>
      </w:r>
      <w:r w:rsidR="000B74DE">
        <w:t>zmiany</w:t>
      </w:r>
      <w:r>
        <w:t xml:space="preserve">. </w:t>
      </w:r>
      <w:r w:rsidR="004F75A0">
        <w:t>Precyzyjne oszacowanie wpływu jest trudne i często wymaga uwzględnienia stanowiska zainteresow</w:t>
      </w:r>
      <w:r w:rsidR="004F75A0">
        <w:t>a</w:t>
      </w:r>
      <w:r w:rsidR="004F75A0">
        <w:t>nych grup, dlatego z</w:t>
      </w:r>
      <w:r>
        <w:t>arządzający zmianą może</w:t>
      </w:r>
      <w:r w:rsidR="000B74DE">
        <w:t xml:space="preserve"> w każdej chwili</w:t>
      </w:r>
      <w:r>
        <w:t xml:space="preserve"> poprosić Radę ds. Zmian o po</w:t>
      </w:r>
      <w:r w:rsidR="004F75A0">
        <w:t>moc</w:t>
      </w:r>
      <w:r w:rsidR="000B74DE">
        <w:t>.</w:t>
      </w:r>
      <w:r w:rsidR="00D10F79">
        <w:t xml:space="preserve"> </w:t>
      </w:r>
    </w:p>
    <w:p w:rsidR="004F75A0" w:rsidRDefault="004F75A0" w:rsidP="004F75A0">
      <w:r>
        <w:t xml:space="preserve">Posiadając komplet informacji dotyczący zmiany i </w:t>
      </w:r>
      <w:r w:rsidR="00D10F79">
        <w:t xml:space="preserve">wszystkich </w:t>
      </w:r>
      <w:r>
        <w:t xml:space="preserve">związanych z nią </w:t>
      </w:r>
      <w:r w:rsidR="00D10F79">
        <w:t xml:space="preserve">zjawisk </w:t>
      </w:r>
      <w:r>
        <w:t>nadchodzi moment, w którym należy podjąć decyzję o jej implementacji.</w:t>
      </w:r>
      <w:r w:rsidR="00D10F79">
        <w:t xml:space="preserve"> W zależności od czynników takich jak typ, rozmiar, wpływ, czy ryzyko; zmiana jest kierowana do odpowie</w:t>
      </w:r>
      <w:r w:rsidR="00D10F79">
        <w:t>d</w:t>
      </w:r>
      <w:r w:rsidR="00D10F79">
        <w:lastRenderedPageBreak/>
        <w:t>niego organu autoryzującego. Najczęściej jest nim Rada ds. Zmian. Jednak przy małych zmianach organem tym może być sam zarządzający zmianą, natomiast przy zmianach o ch</w:t>
      </w:r>
      <w:r w:rsidR="00D10F79">
        <w:t>a</w:t>
      </w:r>
      <w:r w:rsidR="00D10F79">
        <w:t>rakterze strategicznym może być to kierownictwo firmy. Organizacja zależy tutaj jedynie od zasad funkcjonowania przedsiębiorstwa.</w:t>
      </w:r>
    </w:p>
    <w:p w:rsidR="006E0321" w:rsidRDefault="006E0321" w:rsidP="004F2756">
      <w:r>
        <w:t xml:space="preserve">Wszystkie zatwierdzone zmiany trafiają do Rady ds. Zmian, która jest odpowiedzialna za koordynowanie ich implementacji. Harmonogramowanie z wyprzedzeniem </w:t>
      </w:r>
      <w:r w:rsidR="00AC2D2E">
        <w:t>minimalizuje</w:t>
      </w:r>
      <w:r>
        <w:t xml:space="preserve"> ryzyko awarii związane z jednocze</w:t>
      </w:r>
      <w:r w:rsidR="00AC2D2E">
        <w:t>snym wprowadzaniem wielu zmian oraz,</w:t>
      </w:r>
      <w:r>
        <w:t xml:space="preserve"> w przypadku potrzeby wyłączenia niektórych komponentów, pozwala na wcześniejsze poinformowanie użytkowników.</w:t>
      </w:r>
      <w:r w:rsidR="00AC2D2E">
        <w:t xml:space="preserve"> Implementacją </w:t>
      </w:r>
      <w:r w:rsidR="00646BC0">
        <w:t>zmiany zajmuje się wskazany budowniczy. Przed przystąpi</w:t>
      </w:r>
      <w:r w:rsidR="00646BC0">
        <w:t>e</w:t>
      </w:r>
      <w:r w:rsidR="00646BC0">
        <w:t>niem do prac</w:t>
      </w:r>
      <w:r w:rsidR="000A6E1C">
        <w:t xml:space="preserve"> </w:t>
      </w:r>
      <w:r w:rsidR="00646BC0">
        <w:t>musi</w:t>
      </w:r>
      <w:r w:rsidR="004F2756">
        <w:t xml:space="preserve"> on opracować plan pozwalający na ewentualne wycofanie zmiany. </w:t>
      </w:r>
      <w:r w:rsidR="008E449F">
        <w:t>Proc</w:t>
      </w:r>
      <w:r w:rsidR="008E449F">
        <w:t>e</w:t>
      </w:r>
      <w:r w:rsidR="008E449F">
        <w:t>dura ta jest niezbędna</w:t>
      </w:r>
      <w:r w:rsidR="004F2756">
        <w:t xml:space="preserve"> </w:t>
      </w:r>
      <w:r w:rsidR="008E449F">
        <w:t>biorąc pod uwagę ryzyko napotkania</w:t>
      </w:r>
      <w:r w:rsidR="004F2756">
        <w:t xml:space="preserve"> nieoczekiwanych problemów uniemożliwiających </w:t>
      </w:r>
      <w:r w:rsidR="008E449F">
        <w:t xml:space="preserve">pełne </w:t>
      </w:r>
      <w:r w:rsidR="004F2756">
        <w:t xml:space="preserve">wdrożenie. Po zaimplementowaniu zmiana jest sprawdzana przez testera, </w:t>
      </w:r>
      <w:r w:rsidR="00074E28">
        <w:t>po czym</w:t>
      </w:r>
      <w:r w:rsidR="004F2756">
        <w:t xml:space="preserve"> </w:t>
      </w:r>
      <w:r w:rsidR="00074E28">
        <w:t xml:space="preserve">CAB udziela zezwolenia na </w:t>
      </w:r>
      <w:r w:rsidR="008E449F">
        <w:t>przekazywan</w:t>
      </w:r>
      <w:r w:rsidR="00074E28">
        <w:t>ie jej</w:t>
      </w:r>
      <w:r w:rsidR="004F2756">
        <w:t xml:space="preserve"> do środowiska operacyjnego.</w:t>
      </w:r>
    </w:p>
    <w:p w:rsidR="00646BC0" w:rsidRDefault="000A6E1C" w:rsidP="004F75A0">
      <w:r>
        <w:t>Ostatnim krokiem procesu zarządzania zmianą jest podsumowanie i zamknięcie zmiany.</w:t>
      </w:r>
      <w:r w:rsidR="00646BC0">
        <w:t xml:space="preserve"> Zarządzający zmianą musi spisać przegląd powdrożeniowy</w:t>
      </w:r>
      <w:r w:rsidR="00646BC0">
        <w:rPr>
          <w:rStyle w:val="Odwoanieprzypisudolnego"/>
        </w:rPr>
        <w:footnoteReference w:id="73"/>
      </w:r>
      <w:r w:rsidR="00646BC0">
        <w:t xml:space="preserve">, w którym podaje ostateczny </w:t>
      </w:r>
      <w:r w:rsidR="004F2756">
        <w:t xml:space="preserve">status zmiany oraz sprawdza, czy zmiana </w:t>
      </w:r>
      <w:r w:rsidR="008E449F">
        <w:t xml:space="preserve">spełnia stawiane wymagania i </w:t>
      </w:r>
      <w:r w:rsidR="004F2756">
        <w:t>pozw</w:t>
      </w:r>
      <w:r w:rsidR="008E449F">
        <w:t>a</w:t>
      </w:r>
      <w:r w:rsidR="004F2756">
        <w:t>l</w:t>
      </w:r>
      <w:r w:rsidR="008E449F">
        <w:t>a</w:t>
      </w:r>
      <w:r w:rsidR="004F2756">
        <w:t xml:space="preserve"> osiągnąć oczekiwane rezultaty</w:t>
      </w:r>
      <w:r w:rsidR="00E93B98">
        <w:t xml:space="preserve"> lub podaje przyczyny niepowodzenia</w:t>
      </w:r>
      <w:r w:rsidR="004F2756">
        <w:t xml:space="preserve">. </w:t>
      </w:r>
      <w:r w:rsidR="008E449F">
        <w:t xml:space="preserve">Ponadto </w:t>
      </w:r>
      <w:r w:rsidR="00E93B98">
        <w:t xml:space="preserve">dokładnie </w:t>
      </w:r>
      <w:r w:rsidR="008E449F">
        <w:t>dokumentuje wszystkie powstałe efekty uboczne</w:t>
      </w:r>
      <w:r w:rsidR="00074E28">
        <w:t xml:space="preserve"> oraz</w:t>
      </w:r>
      <w:r w:rsidR="00E93B98">
        <w:t xml:space="preserve"> odchylenia ocen </w:t>
      </w:r>
      <w:r w:rsidR="00074E28">
        <w:t>i</w:t>
      </w:r>
      <w:r w:rsidR="00E93B98">
        <w:t xml:space="preserve"> planów</w:t>
      </w:r>
      <w:r w:rsidR="008E449F">
        <w:t>.</w:t>
      </w:r>
      <w:r w:rsidR="00E93B98">
        <w:t xml:space="preserve"> Wszystkie spisy są prz</w:t>
      </w:r>
      <w:r w:rsidR="00E93B98">
        <w:t>e</w:t>
      </w:r>
      <w:r w:rsidR="00E93B98">
        <w:t xml:space="preserve">glądane i oceniane przez Radę ds. Zmian. </w:t>
      </w:r>
      <w:r w:rsidR="00074E28">
        <w:t>Pozwala</w:t>
      </w:r>
      <w:r w:rsidR="00E93B98">
        <w:t xml:space="preserve"> to </w:t>
      </w:r>
      <w:r w:rsidR="00074E28">
        <w:t>na wyciągnięcie wniosków i precyzy</w:t>
      </w:r>
      <w:r w:rsidR="00074E28">
        <w:t>j</w:t>
      </w:r>
      <w:r w:rsidR="00074E28">
        <w:t>niejsze ocenianie w przyszłości. W tym momencie zmiana jest zamykana i proces się kończy.</w:t>
      </w:r>
    </w:p>
    <w:p w:rsidR="002266D9" w:rsidRDefault="002266D9" w:rsidP="002266D9">
      <w:pPr>
        <w:pStyle w:val="Nagwekbezkonspektu"/>
        <w:rPr>
          <w:rFonts w:eastAsiaTheme="majorEastAsia"/>
        </w:rPr>
      </w:pPr>
      <w:r>
        <w:rPr>
          <w:rFonts w:eastAsiaTheme="majorEastAsia"/>
        </w:rPr>
        <w:t>Powiązane procesy</w:t>
      </w:r>
    </w:p>
    <w:p w:rsidR="007A1B17" w:rsidRPr="00AC2D2E" w:rsidRDefault="00DA5350" w:rsidP="00AC2D2E">
      <w:pPr>
        <w:pStyle w:val="Pierwszyakapit"/>
      </w:pPr>
      <w:r>
        <w:t>Zarządzanie zmianą jest</w:t>
      </w:r>
      <w:r w:rsidR="006E0321">
        <w:t xml:space="preserve"> bardzo blisko powiązane z zarządzaniem komponentami usług i ko</w:t>
      </w:r>
      <w:r w:rsidR="006E0321">
        <w:t>n</w:t>
      </w:r>
      <w:r w:rsidR="006E0321">
        <w:t xml:space="preserve">figuracją. Wszystkie </w:t>
      </w:r>
      <w:r w:rsidR="00AC2D2E">
        <w:t>autoryzowane zmiany</w:t>
      </w:r>
      <w:r w:rsidR="006E0321">
        <w:t xml:space="preserve"> </w:t>
      </w:r>
      <w:r w:rsidR="00AC2D2E">
        <w:t>stanowią podstawę do modyfikowania elementów konfiguracji</w:t>
      </w:r>
      <w:r w:rsidR="00074E28">
        <w:t>, a dane potrzebne do oceny wniosku o zmianę pochodzą z systemu zarządzania konfiguracją. Zarządzanie wdrożeniami i wersjami odpowiada za przekazanie zaimplement</w:t>
      </w:r>
      <w:r w:rsidR="00074E28">
        <w:t>o</w:t>
      </w:r>
      <w:r w:rsidR="00074E28">
        <w:t xml:space="preserve">wanej zmiany do środowiska operacyjnego i </w:t>
      </w:r>
      <w:r w:rsidR="000D7E30">
        <w:t xml:space="preserve">pozwala grupować powiązane zmiany w wersje. </w:t>
      </w:r>
      <w:r w:rsidR="00AC2D2E">
        <w:t>Natomiast proces zarządzania problemami jest źródłem wielu wniosków o zmianę.</w:t>
      </w:r>
      <w:r w:rsidR="000D7E30">
        <w:t xml:space="preserve"> Dodatk</w:t>
      </w:r>
      <w:r w:rsidR="000D7E30">
        <w:t>o</w:t>
      </w:r>
      <w:r w:rsidR="00A75935">
        <w:t>wo zarządzanie zmianą</w:t>
      </w:r>
      <w:r w:rsidR="000D7E30">
        <w:t xml:space="preserve"> </w:t>
      </w:r>
      <w:r w:rsidR="00164B44">
        <w:t>współpracuje z procesami zarządzania ciągłością usług</w:t>
      </w:r>
      <w:r w:rsidR="00A75935">
        <w:t>, bezpiecze</w:t>
      </w:r>
      <w:r w:rsidR="00A75935">
        <w:t>ń</w:t>
      </w:r>
      <w:r w:rsidR="00A75935">
        <w:t>stwem, pojemnością i popytem. Wszystkie te aspekty muszą zostać uwzględnione podczas oceny wniosku o zmianę.</w:t>
      </w:r>
    </w:p>
    <w:p w:rsidR="005074DD" w:rsidRPr="006E0321" w:rsidRDefault="005074DD" w:rsidP="005074DD">
      <w:pPr>
        <w:pStyle w:val="Nagwek2"/>
      </w:pPr>
      <w:bookmarkStart w:id="61" w:name="_Toc299641880"/>
      <w:r w:rsidRPr="006E0321">
        <w:lastRenderedPageBreak/>
        <w:t>Inne metodyki</w:t>
      </w:r>
      <w:bookmarkEnd w:id="61"/>
    </w:p>
    <w:p w:rsidR="002C28E6" w:rsidRDefault="007C777E" w:rsidP="00537D3D">
      <w:r>
        <w:t>1</w:t>
      </w:r>
      <w:r w:rsidR="00BD003E">
        <w:t xml:space="preserve"> </w:t>
      </w:r>
      <w:commentRangeStart w:id="62"/>
      <w:r w:rsidR="00BD003E">
        <w:t>strona</w:t>
      </w:r>
      <w:commentRangeEnd w:id="62"/>
      <w:r w:rsidR="009A733D">
        <w:rPr>
          <w:rStyle w:val="Odwoaniedokomentarza"/>
        </w:rPr>
        <w:commentReference w:id="62"/>
      </w:r>
    </w:p>
    <w:p w:rsidR="005A48C4" w:rsidRDefault="005A48C4" w:rsidP="00537D3D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63" w:name="_Toc299641881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3"/>
    </w:p>
    <w:p w:rsidR="007212FF" w:rsidRPr="007212FF" w:rsidRDefault="009A733D" w:rsidP="007212FF">
      <w:pPr>
        <w:pStyle w:val="Pierwszyakapit"/>
      </w:pPr>
      <w:r>
        <w:t xml:space="preserve">Żeby dokładnie zobrazować ITIL </w:t>
      </w:r>
      <w:r w:rsidR="00E3001B">
        <w:t xml:space="preserve">powstała fikcyjna firma </w:t>
      </w:r>
      <w:proofErr w:type="spellStart"/>
      <w:r w:rsidR="00E3001B">
        <w:t>Redhost</w:t>
      </w:r>
      <w:proofErr w:type="spellEnd"/>
      <w:r w:rsidR="007212FF">
        <w:t>. Przedsiębiorstwo to za</w:t>
      </w:r>
      <w:r w:rsidR="007212FF">
        <w:t>j</w:t>
      </w:r>
      <w:r w:rsidR="007212FF">
        <w:t>muje się świadczeniem usług IT</w:t>
      </w:r>
      <w:r w:rsidR="008C4B4B">
        <w:t xml:space="preserve"> i</w:t>
      </w:r>
      <w:r w:rsidR="007212FF">
        <w:t xml:space="preserve"> </w:t>
      </w:r>
      <w:r w:rsidR="008C4B4B">
        <w:t xml:space="preserve">pragnie </w:t>
      </w:r>
      <w:r w:rsidR="007212FF">
        <w:t>poprawić swoją konkurencyjność</w:t>
      </w:r>
      <w:r w:rsidR="008C4B4B">
        <w:t xml:space="preserve"> </w:t>
      </w:r>
      <w:r w:rsidR="007212FF">
        <w:t>poprzez zastos</w:t>
      </w:r>
      <w:r w:rsidR="007212FF">
        <w:t>o</w:t>
      </w:r>
      <w:r w:rsidR="007212FF">
        <w:t>wanie praktyk ITSM</w:t>
      </w:r>
      <w:r w:rsidR="008C4B4B">
        <w:t>.</w:t>
      </w:r>
      <w:r w:rsidR="007212FF">
        <w:t xml:space="preserve"> </w:t>
      </w:r>
      <w:r w:rsidR="008C4B4B">
        <w:t>Oczekuje poprawienia jakości świadczonych usług, redukcji czasu p</w:t>
      </w:r>
      <w:r w:rsidR="008C4B4B">
        <w:t>o</w:t>
      </w:r>
      <w:r w:rsidR="008C4B4B">
        <w:t>trzebnego na naprawę awarii, a w konsekwencji wzrostu zadowolenia klientów. W</w:t>
      </w:r>
      <w:r w:rsidR="007212FF">
        <w:t xml:space="preserve"> tym ro</w:t>
      </w:r>
      <w:r w:rsidR="007212FF">
        <w:t>z</w:t>
      </w:r>
      <w:r w:rsidR="007212FF">
        <w:t>dziale procesy zarządzania komponentami usług i konfiguracją oraz zarządzania zmianą</w:t>
      </w:r>
      <w:r w:rsidR="008C4B4B">
        <w:t xml:space="preserve"> z</w:t>
      </w:r>
      <w:r w:rsidR="008C4B4B">
        <w:t>o</w:t>
      </w:r>
      <w:r w:rsidR="008C4B4B">
        <w:t xml:space="preserve">staną </w:t>
      </w:r>
      <w:r w:rsidR="006C1442">
        <w:t xml:space="preserve">skonkretyzowane i </w:t>
      </w:r>
      <w:r w:rsidR="008C4B4B">
        <w:t>dostos</w:t>
      </w:r>
      <w:r w:rsidR="006C1442">
        <w:t xml:space="preserve">owane do potrzeb firmy </w:t>
      </w:r>
      <w:proofErr w:type="spellStart"/>
      <w:r w:rsidR="006C1442">
        <w:t>Redhost</w:t>
      </w:r>
      <w:proofErr w:type="spellEnd"/>
      <w:r w:rsidR="008C4B4B">
        <w:t>.</w:t>
      </w:r>
      <w:r w:rsidR="007212FF">
        <w:t xml:space="preserve"> </w:t>
      </w:r>
      <w:r w:rsidR="008C4B4B">
        <w:t>W dalszej części pracy przedsiębiorstwo</w:t>
      </w:r>
      <w:r w:rsidR="007212FF">
        <w:t xml:space="preserve"> posłuży do uzasadnienia praktycznych zastosowań stworzonego sys</w:t>
      </w:r>
      <w:r w:rsidR="008C4B4B">
        <w:t>temu.</w:t>
      </w:r>
    </w:p>
    <w:p w:rsidR="00456269" w:rsidRDefault="00456269" w:rsidP="00456269">
      <w:pPr>
        <w:pStyle w:val="Nagwek2"/>
      </w:pPr>
      <w:bookmarkStart w:id="64" w:name="_Toc299641882"/>
      <w:r>
        <w:t>Charakterystyka</w:t>
      </w:r>
      <w:bookmarkEnd w:id="64"/>
    </w:p>
    <w:p w:rsidR="009A733D" w:rsidRDefault="009A733D" w:rsidP="009A733D">
      <w:pPr>
        <w:pStyle w:val="Pierwszyakapit"/>
      </w:pPr>
      <w:r>
        <w:t xml:space="preserve">Firma </w:t>
      </w:r>
      <w:proofErr w:type="spellStart"/>
      <w:r>
        <w:t>Redhost</w:t>
      </w:r>
      <w:proofErr w:type="spellEnd"/>
      <w:r>
        <w:t xml:space="preserve"> S.A. świadczy szeroką gamę profesjonalnyc</w:t>
      </w:r>
      <w:r w:rsidR="004A6B8C">
        <w:t xml:space="preserve">h usług hostingowych. </w:t>
      </w:r>
      <w:r w:rsidR="008371DC">
        <w:t>Jej klie</w:t>
      </w:r>
      <w:r w:rsidR="008371DC">
        <w:t>n</w:t>
      </w:r>
      <w:r w:rsidR="008371DC">
        <w:t xml:space="preserve">tami są zarówno różnej wielkości przedsiębiorstwa, jak i osoby prywatne. </w:t>
      </w:r>
      <w:r w:rsidR="004A6B8C">
        <w:t>Posiada wysokiej klasy centrum danych</w:t>
      </w:r>
      <w:r w:rsidR="004A6B8C">
        <w:rPr>
          <w:rStyle w:val="Odwoanieprzypisudolnego"/>
        </w:rPr>
        <w:footnoteReference w:id="74"/>
      </w:r>
      <w:r w:rsidR="004A6B8C">
        <w:t>, złożone z czterech serwerowni i łącznie kilkuset serwerów.</w:t>
      </w:r>
      <w:r w:rsidR="00BF578D">
        <w:t xml:space="preserve"> Należące do tych maszyn moc obliczeniowa, pamięć, powierzchnia dyskowa oraz łącza są udostępniane do dyspozycji klientów. Mogą oni je wykorzystywać do uruchamiania własnych aplikacji i </w:t>
      </w:r>
      <w:r w:rsidR="006D1F0B">
        <w:t>stron www</w:t>
      </w:r>
      <w:r w:rsidR="00A21993">
        <w:t>, dostępnych dla użytkowników przez Internet</w:t>
      </w:r>
      <w:r w:rsidR="006D1F0B">
        <w:t>. Zadania firmy polegają na utrz</w:t>
      </w:r>
      <w:r w:rsidR="006D1F0B">
        <w:t>y</w:t>
      </w:r>
      <w:r w:rsidR="006D1F0B">
        <w:t>maniu serwerów w stanie operacyjnym, zgodnie z podpisanymi umowami SLA. Wymaga to zarządzania całą infrastrukturą złożoną z komputerów, sprzętu sieciowego i zasilającego, sy</w:t>
      </w:r>
      <w:r w:rsidR="006D1F0B">
        <w:t>s</w:t>
      </w:r>
      <w:r w:rsidR="006D1F0B">
        <w:t xml:space="preserve">temów chłodzących i przeciwpożarowych oraz wielu innych elementów. </w:t>
      </w:r>
      <w:r w:rsidR="004A6B8C">
        <w:t xml:space="preserve">Kompletny katalog usług </w:t>
      </w:r>
      <w:r w:rsidR="006D1F0B">
        <w:t xml:space="preserve">firmy </w:t>
      </w:r>
      <w:proofErr w:type="spellStart"/>
      <w:r w:rsidR="006D1F0B">
        <w:t>Redhost</w:t>
      </w:r>
      <w:proofErr w:type="spellEnd"/>
      <w:r w:rsidR="006D1F0B">
        <w:t xml:space="preserve"> S.A.</w:t>
      </w:r>
      <w:r w:rsidR="004A6B8C">
        <w:t xml:space="preserve"> stanowią:</w:t>
      </w:r>
    </w:p>
    <w:p w:rsidR="004A6B8C" w:rsidRPr="004A6B8C" w:rsidRDefault="004A6B8C" w:rsidP="004A6B8C"/>
    <w:p w:rsidR="009A733D" w:rsidRDefault="009A733D" w:rsidP="009A733D">
      <w:pPr>
        <w:pStyle w:val="Akapitzlist"/>
        <w:numPr>
          <w:ilvl w:val="0"/>
          <w:numId w:val="23"/>
        </w:numPr>
      </w:pPr>
      <w:r>
        <w:t>Hosting kolokacyjny;</w:t>
      </w:r>
    </w:p>
    <w:p w:rsidR="009A733D" w:rsidRDefault="004A6B8C" w:rsidP="009A733D">
      <w:pPr>
        <w:pStyle w:val="Akapitzlist"/>
        <w:numPr>
          <w:ilvl w:val="0"/>
          <w:numId w:val="23"/>
        </w:numPr>
      </w:pPr>
      <w:r>
        <w:t>Hosting dedykowany;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Wirtualny hosting dedykowany;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Hosting współdzielony;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Współdzielony hosting stron internetowych;</w:t>
      </w:r>
    </w:p>
    <w:p w:rsidR="004A6B8C" w:rsidRDefault="004A6B8C" w:rsidP="009A733D">
      <w:pPr>
        <w:pStyle w:val="Akapitzlist"/>
        <w:numPr>
          <w:ilvl w:val="0"/>
          <w:numId w:val="23"/>
        </w:numPr>
      </w:pPr>
      <w:r>
        <w:t>Darmowy hosting stron internetowych;</w:t>
      </w:r>
    </w:p>
    <w:p w:rsidR="004A6B8C" w:rsidRPr="009A733D" w:rsidRDefault="004A6B8C" w:rsidP="009A733D">
      <w:pPr>
        <w:pStyle w:val="Akapitzlist"/>
        <w:numPr>
          <w:ilvl w:val="0"/>
          <w:numId w:val="23"/>
        </w:numPr>
      </w:pPr>
      <w:r>
        <w:t>Hosting pośredni</w:t>
      </w:r>
      <w:r w:rsidR="00983F30">
        <w:rPr>
          <w:rStyle w:val="Odwoanieprzypisudolnego"/>
        </w:rPr>
        <w:footnoteReference w:id="75"/>
      </w:r>
      <w:r>
        <w:t>.</w:t>
      </w:r>
    </w:p>
    <w:p w:rsidR="009A733D" w:rsidRPr="008371DC" w:rsidRDefault="008371DC" w:rsidP="008371DC">
      <w:pPr>
        <w:pStyle w:val="Pierwszyakapit"/>
      </w:pPr>
      <w:r>
        <w:t xml:space="preserve">Szczegółowy opis przedsiębiorstwa, którego jestem współautorem, znajduje się w </w:t>
      </w:r>
      <w:sdt>
        <w:sdtPr>
          <w:id w:val="982199078"/>
          <w:citation/>
        </w:sdtPr>
        <w:sdtContent>
          <w:r>
            <w:fldChar w:fldCharType="begin"/>
          </w:r>
          <w:r>
            <w:instrText xml:space="preserve"> CITATION Kal10 \l 1045 </w:instrText>
          </w:r>
          <w:r>
            <w:fldChar w:fldCharType="separate"/>
          </w:r>
          <w:r>
            <w:rPr>
              <w:noProof/>
            </w:rPr>
            <w:t>(Kalański)</w:t>
          </w:r>
          <w:r>
            <w:fldChar w:fldCharType="end"/>
          </w:r>
        </w:sdtContent>
      </w:sdt>
      <w:r>
        <w:t>.</w:t>
      </w:r>
    </w:p>
    <w:p w:rsidR="003E2DA2" w:rsidRPr="003E2DA2" w:rsidRDefault="001901A6" w:rsidP="003E2DA2">
      <w:pPr>
        <w:pStyle w:val="Nagwek2"/>
      </w:pPr>
      <w:bookmarkStart w:id="65" w:name="_Toc299641883"/>
      <w:r>
        <w:lastRenderedPageBreak/>
        <w:t>Wprowadzenie zarządzania konfiguracją</w:t>
      </w:r>
      <w:bookmarkEnd w:id="65"/>
    </w:p>
    <w:p w:rsidR="009A733D" w:rsidRDefault="003E2DA2" w:rsidP="00275015">
      <w:pPr>
        <w:pStyle w:val="Pierwszyakapit"/>
      </w:pPr>
      <w:r>
        <w:t>Czynnością niezbędną do wprowadzenia zarządzania komponentami usług i konfig</w:t>
      </w:r>
      <w:r>
        <w:t>u</w:t>
      </w:r>
      <w:r>
        <w:t xml:space="preserve">racją jest stworzenie planu zarządzania konfiguracją, szczegółowo dokumentującego proces  (patrz: </w:t>
      </w:r>
      <w:r>
        <w:fldChar w:fldCharType="begin"/>
      </w:r>
      <w:r>
        <w:instrText xml:space="preserve"> REF _Ref299614606 \h </w:instrText>
      </w:r>
      <w:r>
        <w:fldChar w:fldCharType="separate"/>
      </w:r>
      <w:r>
        <w:t xml:space="preserve">Ilustracja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 w:rsidR="00FB51DD">
        <w:t>). Musi on określać jego</w:t>
      </w:r>
      <w:r>
        <w:t xml:space="preserve"> cele, </w:t>
      </w:r>
      <w:r w:rsidR="00FB51DD">
        <w:t>zakres</w:t>
      </w:r>
      <w:r w:rsidR="005C33CC">
        <w:t>, zasady</w:t>
      </w:r>
      <w:r w:rsidR="00FB51DD">
        <w:t xml:space="preserve">, </w:t>
      </w:r>
      <w:r>
        <w:t>role i ich obowiązki. Następnie należy zidentyfikować elementy konfiguracji, stworzyć model konfiguracji i napełnić bazę zarządzania konfiguracją danymi. Kolejne fazy procesu dotyczące kontroli, weryfikacji, aud</w:t>
      </w:r>
      <w:r>
        <w:t>y</w:t>
      </w:r>
      <w:r>
        <w:t xml:space="preserve">tu, mierzenia, oceniania </w:t>
      </w:r>
      <w:r w:rsidR="00820CBB">
        <w:t>są opisane w</w:t>
      </w:r>
      <w:r>
        <w:t xml:space="preserve"> </w:t>
      </w:r>
      <w:r w:rsidR="00820CBB">
        <w:t>przyjętym</w:t>
      </w:r>
      <w:r>
        <w:t xml:space="preserve"> wcześniej plan</w:t>
      </w:r>
      <w:r w:rsidR="00820CBB">
        <w:t>ie</w:t>
      </w:r>
      <w:r>
        <w:t>.</w:t>
      </w:r>
    </w:p>
    <w:p w:rsidR="009A733D" w:rsidRDefault="003E2DA2" w:rsidP="003E2DA2">
      <w:pPr>
        <w:pStyle w:val="Nagwek3"/>
      </w:pPr>
      <w:bookmarkStart w:id="66" w:name="_Toc299641884"/>
      <w:r>
        <w:t>Plan zarządzania konfiguracją</w:t>
      </w:r>
      <w:bookmarkEnd w:id="66"/>
    </w:p>
    <w:p w:rsidR="009A733D" w:rsidRDefault="00FB51DD" w:rsidP="00FB51DD">
      <w:pPr>
        <w:pStyle w:val="Nagwekbezkonspektu"/>
      </w:pPr>
      <w:r>
        <w:t>Cele</w:t>
      </w:r>
    </w:p>
    <w:p w:rsidR="003F08AE" w:rsidRDefault="00FB51DD" w:rsidP="003F08AE">
      <w:pPr>
        <w:pStyle w:val="Akapitzlist"/>
        <w:numPr>
          <w:ilvl w:val="0"/>
          <w:numId w:val="24"/>
        </w:numPr>
      </w:pPr>
      <w:r>
        <w:t xml:space="preserve">Zmniejszenie </w:t>
      </w:r>
      <w:r w:rsidR="003F08AE">
        <w:t xml:space="preserve">rocznej </w:t>
      </w:r>
      <w:r>
        <w:t xml:space="preserve">liczby </w:t>
      </w:r>
      <w:r w:rsidR="00AB5CD5">
        <w:t xml:space="preserve">awarii </w:t>
      </w:r>
      <w:r>
        <w:t xml:space="preserve">i </w:t>
      </w:r>
      <w:r w:rsidR="00682093">
        <w:t>czasu przestoju</w:t>
      </w:r>
      <w:r w:rsidR="00AB5CD5">
        <w:t xml:space="preserve"> o </w:t>
      </w:r>
      <w:r w:rsidR="00682093">
        <w:t>3</w:t>
      </w:r>
      <w:r w:rsidR="00AB5CD5">
        <w:t>0%</w:t>
      </w:r>
      <w:r>
        <w:t xml:space="preserve"> dzięki identyfikacji </w:t>
      </w:r>
      <w:r w:rsidR="003F08AE">
        <w:t>w</w:t>
      </w:r>
      <w:r w:rsidR="003F08AE">
        <w:t>a</w:t>
      </w:r>
      <w:r w:rsidR="003F08AE">
        <w:t>dli</w:t>
      </w:r>
      <w:r w:rsidR="00AB5CD5">
        <w:t>wych,</w:t>
      </w:r>
      <w:r w:rsidR="003F08AE">
        <w:t xml:space="preserve"> przeciążonych </w:t>
      </w:r>
      <w:r w:rsidR="00AB5CD5">
        <w:t xml:space="preserve">oraz niepoprawnie wykorzystywanych </w:t>
      </w:r>
      <w:r w:rsidR="003F08AE">
        <w:t>komponentów.</w:t>
      </w:r>
    </w:p>
    <w:p w:rsidR="00FB51DD" w:rsidRDefault="00FB51DD" w:rsidP="003F08AE">
      <w:pPr>
        <w:pStyle w:val="Akapitzlist"/>
        <w:numPr>
          <w:ilvl w:val="0"/>
          <w:numId w:val="24"/>
        </w:numPr>
      </w:pPr>
      <w:r>
        <w:t>Redukcja kosztów</w:t>
      </w:r>
      <w:r w:rsidR="00AB5CD5">
        <w:t xml:space="preserve"> o 15%</w:t>
      </w:r>
      <w:r w:rsidR="00E66AB6">
        <w:t xml:space="preserve"> w skali roku</w:t>
      </w:r>
      <w:r>
        <w:t>, dzięki</w:t>
      </w:r>
      <w:r w:rsidR="00E66AB6">
        <w:t xml:space="preserve"> zmniejszeniu liczby awarii i</w:t>
      </w:r>
      <w:r>
        <w:t xml:space="preserve"> </w:t>
      </w:r>
      <w:r w:rsidR="003F08AE">
        <w:t>lepszemu wykorzystaniu dostępnych zasobów.</w:t>
      </w:r>
    </w:p>
    <w:p w:rsidR="00AB5CD5" w:rsidRDefault="00AB5CD5" w:rsidP="00AB5CD5">
      <w:pPr>
        <w:pStyle w:val="Akapitzlist"/>
        <w:numPr>
          <w:ilvl w:val="0"/>
          <w:numId w:val="24"/>
        </w:numPr>
      </w:pPr>
      <w:r>
        <w:t>Dostarczenie danych ułatwiających dokładne oszacowanie wpływu awarii oraz zmian poszczególnych komponentów.</w:t>
      </w:r>
    </w:p>
    <w:p w:rsidR="00AB5CD5" w:rsidRPr="00FB51DD" w:rsidRDefault="00AB5CD5" w:rsidP="00AB5CD5">
      <w:pPr>
        <w:pStyle w:val="Akapitzlist"/>
        <w:numPr>
          <w:ilvl w:val="0"/>
          <w:numId w:val="24"/>
        </w:numPr>
      </w:pPr>
      <w:r>
        <w:t>Dostarczenie danych umożliwiających lepsze zarządzanie pojemnością.</w:t>
      </w:r>
    </w:p>
    <w:p w:rsidR="00C51005" w:rsidRDefault="00C51005" w:rsidP="00FB51DD">
      <w:pPr>
        <w:pStyle w:val="Nagwekbezkonspektu"/>
      </w:pPr>
      <w:r>
        <w:t>Zasady</w:t>
      </w:r>
    </w:p>
    <w:p w:rsidR="00C51005" w:rsidRPr="00C51005" w:rsidRDefault="00C51005" w:rsidP="00C51005">
      <w:pPr>
        <w:pStyle w:val="Pierwszyakapit"/>
      </w:pPr>
      <w:r>
        <w:t>Ogólne</w:t>
      </w:r>
    </w:p>
    <w:p w:rsidR="00C51005" w:rsidRDefault="00E66AB6" w:rsidP="00C51005">
      <w:pPr>
        <w:pStyle w:val="Pierwszyakapit"/>
        <w:numPr>
          <w:ilvl w:val="0"/>
          <w:numId w:val="25"/>
        </w:numPr>
      </w:pPr>
      <w:r>
        <w:t>Baza zarządzania konfiguracją musi stanowić wiarygodne, spójne i precyzyjne</w:t>
      </w:r>
      <w:r w:rsidR="00AB5CD5">
        <w:t xml:space="preserve"> źródł</w:t>
      </w:r>
      <w:r>
        <w:t>o</w:t>
      </w:r>
      <w:r w:rsidR="00AB5CD5">
        <w:t xml:space="preserve"> info</w:t>
      </w:r>
      <w:r w:rsidR="00AB5CD5">
        <w:t>r</w:t>
      </w:r>
      <w:r w:rsidR="00AB5CD5">
        <w:t>macji</w:t>
      </w:r>
      <w:r>
        <w:t xml:space="preserve"> o elementach konfiguracji i zasobach firmy</w:t>
      </w:r>
      <w:r w:rsidR="00AB5CD5">
        <w:t>.</w:t>
      </w:r>
    </w:p>
    <w:p w:rsidR="00C51005" w:rsidRDefault="00C51005" w:rsidP="00C51005">
      <w:pPr>
        <w:pStyle w:val="Akapitzlist"/>
        <w:numPr>
          <w:ilvl w:val="0"/>
          <w:numId w:val="25"/>
        </w:numPr>
      </w:pPr>
      <w:r>
        <w:t>Będzie używana do:</w:t>
      </w:r>
    </w:p>
    <w:p w:rsidR="00C51005" w:rsidRDefault="00C51005" w:rsidP="00C51005">
      <w:pPr>
        <w:pStyle w:val="Akapitzlist"/>
        <w:numPr>
          <w:ilvl w:val="1"/>
          <w:numId w:val="25"/>
        </w:numPr>
      </w:pPr>
      <w:r>
        <w:t>Określenia wpływu awarii i zmian;</w:t>
      </w:r>
    </w:p>
    <w:p w:rsidR="00C51005" w:rsidRDefault="00C51005" w:rsidP="00C51005">
      <w:pPr>
        <w:pStyle w:val="Akapitzlist"/>
        <w:numPr>
          <w:ilvl w:val="1"/>
          <w:numId w:val="25"/>
        </w:numPr>
      </w:pPr>
      <w:r>
        <w:t>Wsparcia zarządzania pojemnością;</w:t>
      </w:r>
    </w:p>
    <w:p w:rsidR="00C51005" w:rsidRPr="00C51005" w:rsidRDefault="00C51005" w:rsidP="00C51005">
      <w:pPr>
        <w:pStyle w:val="Akapitzlist"/>
        <w:numPr>
          <w:ilvl w:val="1"/>
          <w:numId w:val="25"/>
        </w:numPr>
      </w:pPr>
      <w:r>
        <w:t>W przyszłości ilość zastosowań się zwiększy.</w:t>
      </w:r>
    </w:p>
    <w:p w:rsidR="00C51005" w:rsidRDefault="00C51005" w:rsidP="00C51005">
      <w:pPr>
        <w:pStyle w:val="Akapitzlist"/>
        <w:numPr>
          <w:ilvl w:val="0"/>
          <w:numId w:val="25"/>
        </w:numPr>
      </w:pPr>
      <w:r>
        <w:t>Narzędziem użytym do wsparcia procesu i przechowywania danych będzie system S</w:t>
      </w:r>
      <w:r>
        <w:t>e</w:t>
      </w:r>
      <w:r>
        <w:t xml:space="preserve">rvice </w:t>
      </w:r>
      <w:proofErr w:type="spellStart"/>
      <w:r>
        <w:t>Desk</w:t>
      </w:r>
      <w:proofErr w:type="spellEnd"/>
      <w:r>
        <w:t xml:space="preserve"> opracowany przez Piotra Kalańskiego i Adriana Wiśniewskiego.</w:t>
      </w:r>
    </w:p>
    <w:p w:rsidR="00C51005" w:rsidRPr="00C51005" w:rsidRDefault="00C51005" w:rsidP="00C51005">
      <w:pPr>
        <w:pStyle w:val="Nagwek2bezkontekstu"/>
      </w:pPr>
      <w:r>
        <w:lastRenderedPageBreak/>
        <w:t>Zakres</w:t>
      </w:r>
    </w:p>
    <w:p w:rsidR="00E66AB6" w:rsidRDefault="00E66AB6" w:rsidP="00C51005">
      <w:pPr>
        <w:pStyle w:val="Akapitzlist"/>
        <w:numPr>
          <w:ilvl w:val="0"/>
          <w:numId w:val="25"/>
        </w:numPr>
        <w:spacing w:before="480"/>
        <w:ind w:left="714" w:hanging="357"/>
      </w:pPr>
      <w:r>
        <w:t xml:space="preserve">Przechowywane są w niej wszystkie elementy konfiguracji niezbędne do świadczenia usług </w:t>
      </w:r>
      <w:r w:rsidR="0019191E">
        <w:t xml:space="preserve">oraz zasoby </w:t>
      </w:r>
      <w:r>
        <w:t>z wyłączeniem:</w:t>
      </w:r>
    </w:p>
    <w:p w:rsidR="00E66AB6" w:rsidRDefault="00E66AB6" w:rsidP="00E66AB6">
      <w:pPr>
        <w:pStyle w:val="Akapitzlist"/>
        <w:numPr>
          <w:ilvl w:val="1"/>
          <w:numId w:val="25"/>
        </w:numPr>
      </w:pPr>
      <w:r>
        <w:t>Komponentów</w:t>
      </w:r>
      <w:r w:rsidR="00BC2A9C">
        <w:t xml:space="preserve">, które występują w dużych ilościach </w:t>
      </w:r>
      <w:r w:rsidR="00244F4B">
        <w:t>i</w:t>
      </w:r>
      <w:r>
        <w:t xml:space="preserve"> </w:t>
      </w:r>
      <w:r w:rsidR="00BC2A9C">
        <w:t>są łatwo wymienialne</w:t>
      </w:r>
      <w:r>
        <w:t xml:space="preserve"> </w:t>
      </w:r>
      <w:r w:rsidR="00244F4B">
        <w:t>i istnieje ich zapas i</w:t>
      </w:r>
      <w:r>
        <w:t xml:space="preserve"> </w:t>
      </w:r>
      <w:r w:rsidR="00BC2A9C">
        <w:t>niosą ze sobą</w:t>
      </w:r>
      <w:r>
        <w:t xml:space="preserve"> niskie ryzyko zakłócenia usługi </w:t>
      </w:r>
      <w:r w:rsidR="00244F4B">
        <w:t>i</w:t>
      </w:r>
      <w:r w:rsidR="00BC2A9C">
        <w:t xml:space="preserve"> ich</w:t>
      </w:r>
      <w:r>
        <w:t xml:space="preserve"> wa</w:t>
      </w:r>
      <w:r>
        <w:t>r</w:t>
      </w:r>
      <w:r>
        <w:t>t</w:t>
      </w:r>
      <w:r w:rsidR="00BC2A9C">
        <w:t xml:space="preserve">ości nie przekracza </w:t>
      </w:r>
      <w:r w:rsidR="00362F6D">
        <w:t>8</w:t>
      </w:r>
      <w:r w:rsidR="00BC2A9C">
        <w:t>0 PLN  (m. in. kabli</w:t>
      </w:r>
      <w:r w:rsidR="00C86AA8">
        <w:t xml:space="preserve"> zasilających</w:t>
      </w:r>
      <w:r w:rsidR="00BC2A9C">
        <w:t>, przewodów, czystych płyt);</w:t>
      </w:r>
    </w:p>
    <w:p w:rsidR="00AB5CD5" w:rsidRDefault="001A2FEE" w:rsidP="00B278E6">
      <w:pPr>
        <w:pStyle w:val="Akapitzlist"/>
        <w:numPr>
          <w:ilvl w:val="1"/>
          <w:numId w:val="25"/>
        </w:numPr>
      </w:pPr>
      <w:r>
        <w:t>Myszek, kl</w:t>
      </w:r>
      <w:r w:rsidR="00BC2A9C">
        <w:t>awiatur;</w:t>
      </w:r>
      <w:r w:rsidR="00BC2A9C" w:rsidRPr="00AB5CD5">
        <w:t xml:space="preserve"> </w:t>
      </w:r>
    </w:p>
    <w:p w:rsidR="0019191E" w:rsidRDefault="0019191E" w:rsidP="00BC2A9C">
      <w:pPr>
        <w:pStyle w:val="Akapitzlist"/>
        <w:numPr>
          <w:ilvl w:val="1"/>
          <w:numId w:val="25"/>
        </w:numPr>
      </w:pPr>
      <w:r>
        <w:t xml:space="preserve">Przenośnych </w:t>
      </w:r>
      <w:r w:rsidR="007529BC">
        <w:t>pamięci USB</w:t>
      </w:r>
      <w:r w:rsidR="002568C1">
        <w:t>;</w:t>
      </w:r>
    </w:p>
    <w:p w:rsidR="00F4098D" w:rsidRDefault="00F4098D" w:rsidP="00BC2A9C">
      <w:pPr>
        <w:pStyle w:val="Akapitzlist"/>
        <w:numPr>
          <w:ilvl w:val="1"/>
          <w:numId w:val="25"/>
        </w:numPr>
      </w:pPr>
      <w:r>
        <w:t xml:space="preserve">Narzędzi </w:t>
      </w:r>
      <w:r w:rsidR="00C86AA8">
        <w:t xml:space="preserve">technicznych </w:t>
      </w:r>
      <w:r>
        <w:t>typu śrubokręty, lutownice, przecinaki</w:t>
      </w:r>
      <w:r w:rsidR="00C86AA8">
        <w:t xml:space="preserve"> itp</w:t>
      </w:r>
      <w:r>
        <w:t>.</w:t>
      </w:r>
    </w:p>
    <w:p w:rsidR="00F4098D" w:rsidRDefault="00F4098D" w:rsidP="00F4098D">
      <w:pPr>
        <w:pStyle w:val="Akapitzlist"/>
        <w:numPr>
          <w:ilvl w:val="0"/>
          <w:numId w:val="25"/>
        </w:numPr>
      </w:pPr>
      <w:r>
        <w:t>Ponadto baza zarządzania konfiguracją musi zawierać</w:t>
      </w:r>
      <w:r w:rsidR="00C86AA8">
        <w:t xml:space="preserve"> dane</w:t>
      </w:r>
      <w:r>
        <w:t>:</w:t>
      </w:r>
    </w:p>
    <w:p w:rsidR="00F4098D" w:rsidRDefault="00F4098D" w:rsidP="00F4098D">
      <w:pPr>
        <w:pStyle w:val="Akapitzlist"/>
        <w:numPr>
          <w:ilvl w:val="1"/>
          <w:numId w:val="25"/>
        </w:numPr>
      </w:pPr>
      <w:r>
        <w:t>pracowników i klientów;</w:t>
      </w:r>
    </w:p>
    <w:p w:rsidR="00F4098D" w:rsidRDefault="00C86AA8" w:rsidP="00F4098D">
      <w:pPr>
        <w:pStyle w:val="Akapitzlist"/>
        <w:numPr>
          <w:ilvl w:val="1"/>
          <w:numId w:val="25"/>
        </w:numPr>
      </w:pPr>
      <w:r>
        <w:t>usług świadczonych</w:t>
      </w:r>
      <w:r w:rsidR="00F4098D">
        <w:t>;</w:t>
      </w:r>
    </w:p>
    <w:p w:rsidR="00F4098D" w:rsidRDefault="00C86AA8" w:rsidP="00F4098D">
      <w:pPr>
        <w:pStyle w:val="Akapitzlist"/>
        <w:numPr>
          <w:ilvl w:val="1"/>
          <w:numId w:val="25"/>
        </w:numPr>
      </w:pPr>
      <w:r>
        <w:t>usług wykupionych przez klientów wraz z umowami.</w:t>
      </w:r>
    </w:p>
    <w:p w:rsidR="00E35323" w:rsidRPr="00C51005" w:rsidRDefault="00C51005" w:rsidP="00C51005">
      <w:pPr>
        <w:pStyle w:val="Nagwek2bezkontekstu"/>
      </w:pPr>
      <w:r>
        <w:t>Kontrola</w:t>
      </w:r>
      <w:r w:rsidR="007D70BC">
        <w:t xml:space="preserve"> i role</w:t>
      </w:r>
    </w:p>
    <w:p w:rsidR="00CD6BCD" w:rsidRDefault="00CD6BCD" w:rsidP="00C51005">
      <w:pPr>
        <w:pStyle w:val="Akapitzlist"/>
        <w:numPr>
          <w:ilvl w:val="0"/>
          <w:numId w:val="25"/>
        </w:numPr>
        <w:spacing w:before="480"/>
        <w:ind w:left="714" w:hanging="357"/>
      </w:pPr>
      <w:r>
        <w:t>Za stan bazy zarządzania konfiguracją odpowiada proces zarządzania konfiguracją i jego właściciel.</w:t>
      </w:r>
    </w:p>
    <w:p w:rsidR="00E35323" w:rsidRDefault="00E4248D" w:rsidP="00371EED">
      <w:pPr>
        <w:pStyle w:val="Akapitzlist"/>
        <w:numPr>
          <w:ilvl w:val="0"/>
          <w:numId w:val="25"/>
        </w:numPr>
      </w:pPr>
      <w:r>
        <w:t>Modyfikacji</w:t>
      </w:r>
      <w:r w:rsidR="005C33CC">
        <w:t xml:space="preserve"> w niej mo</w:t>
      </w:r>
      <w:r>
        <w:t>żna</w:t>
      </w:r>
      <w:r w:rsidR="005C33CC">
        <w:t xml:space="preserve"> dokonywać</w:t>
      </w:r>
      <w:r>
        <w:t xml:space="preserve"> tylko</w:t>
      </w:r>
      <w:r w:rsidR="005C33CC">
        <w:t xml:space="preserve"> </w:t>
      </w:r>
      <w:r>
        <w:t>w ramach autoryzowanej zmiany. Mod</w:t>
      </w:r>
      <w:r>
        <w:t>y</w:t>
      </w:r>
      <w:r>
        <w:t xml:space="preserve">fikacje są wykonywane przez uprawnionych </w:t>
      </w:r>
      <w:r w:rsidR="005C33CC">
        <w:t>zarządzający zmianą</w:t>
      </w:r>
      <w:r w:rsidR="0077583D">
        <w:t>, mianowani przez właściciela procesu</w:t>
      </w:r>
      <w:r>
        <w:t>.</w:t>
      </w:r>
    </w:p>
    <w:p w:rsidR="00CD6BCD" w:rsidRDefault="005C33CC" w:rsidP="00CD6BCD">
      <w:pPr>
        <w:pStyle w:val="Akapitzlist"/>
        <w:numPr>
          <w:ilvl w:val="0"/>
          <w:numId w:val="25"/>
        </w:numPr>
      </w:pPr>
      <w:r>
        <w:t>Każdy element konfiguracji musi posiadać osobę za niego odpowiedzialną.</w:t>
      </w:r>
    </w:p>
    <w:p w:rsidR="00AB2BFB" w:rsidRDefault="003E3003" w:rsidP="00AB2BFB">
      <w:pPr>
        <w:pStyle w:val="Akapitzlist"/>
        <w:numPr>
          <w:ilvl w:val="0"/>
          <w:numId w:val="25"/>
        </w:numPr>
        <w:jc w:val="left"/>
      </w:pPr>
      <w:r>
        <w:t>Każdy element konfi</w:t>
      </w:r>
      <w:r w:rsidR="00AB2BFB">
        <w:t xml:space="preserve">guracji posiada </w:t>
      </w:r>
      <w:r w:rsidR="003A2987">
        <w:t xml:space="preserve">unikalny </w:t>
      </w:r>
      <w:r w:rsidR="00AB2BFB">
        <w:t>identyfikator.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W formacie: [tekst]/[rok]/[miesiąc]/[dzień]/[numer].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 xml:space="preserve">Tekst zależy od typu elementu.  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Rok, miesiąc i dzień to data nabycia elementu, zawierająca poprzedzające zera.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Numer jest numerem elementu w ewidencji zakupu.</w:t>
      </w:r>
    </w:p>
    <w:p w:rsidR="00AB2BFB" w:rsidRDefault="00AB2BFB" w:rsidP="00AB2BFB">
      <w:pPr>
        <w:pStyle w:val="Akapitzlist"/>
        <w:numPr>
          <w:ilvl w:val="1"/>
          <w:numId w:val="25"/>
        </w:numPr>
        <w:jc w:val="left"/>
      </w:pPr>
      <w:r>
        <w:t>Np.</w:t>
      </w:r>
      <w:r w:rsidR="003A2987">
        <w:t>:</w:t>
      </w:r>
      <w:r>
        <w:t xml:space="preserve"> </w:t>
      </w:r>
      <w:proofErr w:type="spellStart"/>
      <w:r>
        <w:t>SerwerCache</w:t>
      </w:r>
      <w:proofErr w:type="spellEnd"/>
      <w:r>
        <w:t>/2011/07/24/8</w:t>
      </w:r>
      <w:r w:rsidR="003A2987">
        <w:t>.</w:t>
      </w:r>
    </w:p>
    <w:p w:rsidR="005C33CC" w:rsidRDefault="00C51005" w:rsidP="00C51005">
      <w:pPr>
        <w:pStyle w:val="Nagwek2bezkontekstu"/>
      </w:pPr>
      <w:r>
        <w:t>Audyt i weryfikacja</w:t>
      </w:r>
    </w:p>
    <w:p w:rsidR="009A733D" w:rsidRDefault="00C51005" w:rsidP="00C51005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>Audyty będą przeprowadzane na zlecenie ki</w:t>
      </w:r>
      <w:r w:rsidR="00371EED">
        <w:t>erownictwa firmy systematycznie</w:t>
      </w:r>
      <w:r>
        <w:t xml:space="preserve"> co pół roku</w:t>
      </w:r>
      <w:r w:rsidR="00371EED">
        <w:t>. Mogą być przeprowadzane częściej, na odpowiednie żądanie.</w:t>
      </w:r>
    </w:p>
    <w:p w:rsidR="004F235F" w:rsidRDefault="00371EED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lastRenderedPageBreak/>
        <w:t>Wszystkie odkryte nieścisłości muszą być poprawione niezwłocznie.</w:t>
      </w:r>
      <w:r w:rsidR="004F235F">
        <w:t xml:space="preserve"> Wykrycie ni</w:t>
      </w:r>
      <w:r w:rsidR="004F235F">
        <w:t>e</w:t>
      </w:r>
      <w:r w:rsidR="004F235F">
        <w:t>zgodności ze stanem faktycznym jest zgłaszane jako standardowa zmiana</w:t>
      </w:r>
      <w:r w:rsidR="00A62B33">
        <w:t xml:space="preserve"> po zako</w:t>
      </w:r>
      <w:r w:rsidR="00A62B33">
        <w:t>ń</w:t>
      </w:r>
      <w:r w:rsidR="00A62B33">
        <w:t>czeniu audytu</w:t>
      </w:r>
      <w:r w:rsidR="004F235F">
        <w:t>.</w:t>
      </w:r>
    </w:p>
    <w:p w:rsidR="00A62B33" w:rsidRDefault="00A62B33" w:rsidP="00A62B33">
      <w:pPr>
        <w:pStyle w:val="Nagwek2bezkontekstu"/>
      </w:pPr>
      <w:r>
        <w:t>Mierzenie i ocena</w:t>
      </w:r>
    </w:p>
    <w:p w:rsidR="00A62B33" w:rsidRDefault="00A62B33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 xml:space="preserve">Ocena sprawności procesu będzie opierała się o </w:t>
      </w:r>
      <w:r w:rsidR="0072302B">
        <w:t>stopień wykonania celów.</w:t>
      </w:r>
    </w:p>
    <w:p w:rsidR="00A62B33" w:rsidRPr="009A733D" w:rsidRDefault="0072302B" w:rsidP="00A62B33">
      <w:pPr>
        <w:pStyle w:val="Akapitzlist"/>
        <w:numPr>
          <w:ilvl w:val="0"/>
          <w:numId w:val="25"/>
        </w:numPr>
        <w:spacing w:before="480"/>
        <w:ind w:left="714" w:hanging="357"/>
        <w:jc w:val="left"/>
      </w:pPr>
      <w:r>
        <w:t>Drugim jej składnikiem będzie mierzony będzie stopień odchyleń od stanu faktyczn</w:t>
      </w:r>
      <w:r>
        <w:t>e</w:t>
      </w:r>
      <w:r>
        <w:t>go, odkryty podczas przeprowadzania audytów.</w:t>
      </w:r>
    </w:p>
    <w:p w:rsidR="001901A6" w:rsidRDefault="003E2DA2" w:rsidP="001901A6">
      <w:pPr>
        <w:pStyle w:val="Nagwek3"/>
      </w:pPr>
      <w:bookmarkStart w:id="67" w:name="_Toc299641885"/>
      <w:r>
        <w:t>Model konfiguracj</w:t>
      </w:r>
      <w:r w:rsidR="00820CBB">
        <w:t>i</w:t>
      </w:r>
      <w:bookmarkEnd w:id="67"/>
    </w:p>
    <w:p w:rsidR="009A733D" w:rsidRDefault="0072302B" w:rsidP="00F15724">
      <w:pPr>
        <w:pStyle w:val="Pierwszyakapit"/>
      </w:pPr>
      <w:r>
        <w:t>Skrupulatne przeanalizowanie całej dziedziny usług hostingowych i dokładne sklasyfikow</w:t>
      </w:r>
      <w:r>
        <w:t>a</w:t>
      </w:r>
      <w:r>
        <w:t>nie wszystkich elementów konfiguracji do niej należących mogło by zająć miejsce przezn</w:t>
      </w:r>
      <w:r>
        <w:t>a</w:t>
      </w:r>
      <w:r>
        <w:t>czone na całkiem grubą książkę. Dlatego w ramach tej pracy skupiono się na głównych ko</w:t>
      </w:r>
      <w:r>
        <w:t>m</w:t>
      </w:r>
      <w:r>
        <w:t xml:space="preserve">ponentach, które służą jedynie jako przykład. </w:t>
      </w:r>
      <w:r w:rsidR="00D972E3">
        <w:t>Można je pogrupować na następujące typy</w:t>
      </w:r>
      <w:r>
        <w:t>:</w:t>
      </w:r>
    </w:p>
    <w:p w:rsidR="009A733D" w:rsidRDefault="00D972E3" w:rsidP="0072302B">
      <w:pPr>
        <w:pStyle w:val="Pierwszyakapit"/>
        <w:numPr>
          <w:ilvl w:val="0"/>
          <w:numId w:val="28"/>
        </w:numPr>
      </w:pPr>
      <w:r>
        <w:t>Element</w:t>
      </w:r>
      <w:r w:rsidR="00755893">
        <w:t xml:space="preserve"> infrastruktury budowlanej:</w:t>
      </w:r>
    </w:p>
    <w:p w:rsidR="0072302B" w:rsidRDefault="0072302B" w:rsidP="004F7CEA">
      <w:pPr>
        <w:pStyle w:val="Akapitzlist"/>
        <w:numPr>
          <w:ilvl w:val="1"/>
          <w:numId w:val="28"/>
        </w:numPr>
      </w:pPr>
      <w:r>
        <w:t>Centrum danych;</w:t>
      </w:r>
    </w:p>
    <w:p w:rsidR="0072302B" w:rsidRDefault="0072302B" w:rsidP="0072302B">
      <w:pPr>
        <w:pStyle w:val="Akapitzlist"/>
        <w:numPr>
          <w:ilvl w:val="1"/>
          <w:numId w:val="28"/>
        </w:numPr>
      </w:pPr>
      <w:r>
        <w:t>Instalacja wentylacyjna</w:t>
      </w:r>
      <w:r w:rsidR="00755893">
        <w:t>.</w:t>
      </w:r>
    </w:p>
    <w:p w:rsidR="0072302B" w:rsidRDefault="00D972E3" w:rsidP="0072302B">
      <w:pPr>
        <w:pStyle w:val="Akapitzlist"/>
        <w:numPr>
          <w:ilvl w:val="0"/>
          <w:numId w:val="28"/>
        </w:numPr>
      </w:pPr>
      <w:r>
        <w:t>Element</w:t>
      </w:r>
      <w:r w:rsidR="00755893">
        <w:t xml:space="preserve"> infrastruktury informatycznej:</w:t>
      </w:r>
    </w:p>
    <w:p w:rsidR="00755893" w:rsidRDefault="00755893" w:rsidP="00755893">
      <w:pPr>
        <w:pStyle w:val="Akapitzlist"/>
        <w:numPr>
          <w:ilvl w:val="1"/>
          <w:numId w:val="28"/>
        </w:numPr>
      </w:pPr>
      <w:r>
        <w:t>Źródło zasilania;</w:t>
      </w:r>
    </w:p>
    <w:p w:rsidR="00755893" w:rsidRDefault="00D972E3" w:rsidP="00755893">
      <w:pPr>
        <w:pStyle w:val="Akapitzlist"/>
        <w:numPr>
          <w:ilvl w:val="1"/>
          <w:numId w:val="28"/>
        </w:numPr>
      </w:pPr>
      <w:r>
        <w:t>Łącze internetowe;</w:t>
      </w:r>
    </w:p>
    <w:p w:rsidR="00D972E3" w:rsidRDefault="00D972E3" w:rsidP="00755893">
      <w:pPr>
        <w:pStyle w:val="Akapitzlist"/>
        <w:numPr>
          <w:ilvl w:val="1"/>
          <w:numId w:val="28"/>
        </w:numPr>
      </w:pPr>
      <w:r>
        <w:t>Element infrastruktury sieciowej (przełącznik, router, mostek itp.);</w:t>
      </w:r>
    </w:p>
    <w:p w:rsidR="00D972E3" w:rsidRDefault="00D972E3" w:rsidP="004F7CEA">
      <w:pPr>
        <w:pStyle w:val="Akapitzlist"/>
        <w:numPr>
          <w:ilvl w:val="1"/>
          <w:numId w:val="28"/>
        </w:numPr>
      </w:pPr>
      <w:r>
        <w:t>Szafy na serwery;</w:t>
      </w:r>
    </w:p>
    <w:p w:rsidR="00D972E3" w:rsidRDefault="00D972E3" w:rsidP="00D972E3">
      <w:pPr>
        <w:pStyle w:val="Akapitzlist"/>
        <w:numPr>
          <w:ilvl w:val="1"/>
          <w:numId w:val="28"/>
        </w:numPr>
      </w:pPr>
      <w:r>
        <w:t>Moduły serwerów.</w:t>
      </w:r>
    </w:p>
    <w:p w:rsidR="00D972E3" w:rsidRDefault="00D972E3" w:rsidP="00D972E3">
      <w:pPr>
        <w:pStyle w:val="Akapitzlist"/>
        <w:numPr>
          <w:ilvl w:val="0"/>
          <w:numId w:val="28"/>
        </w:numPr>
      </w:pPr>
      <w:r>
        <w:t>Oprogramowanie:</w:t>
      </w:r>
    </w:p>
    <w:p w:rsidR="00D972E3" w:rsidRDefault="00D972E3" w:rsidP="00D972E3">
      <w:pPr>
        <w:pStyle w:val="Akapitzlist"/>
        <w:numPr>
          <w:ilvl w:val="1"/>
          <w:numId w:val="28"/>
        </w:numPr>
      </w:pPr>
      <w:r>
        <w:t>System operacyjny;</w:t>
      </w:r>
    </w:p>
    <w:p w:rsidR="00D972E3" w:rsidRDefault="00D972E3" w:rsidP="00D972E3">
      <w:pPr>
        <w:pStyle w:val="Akapitzlist"/>
        <w:numPr>
          <w:ilvl w:val="1"/>
          <w:numId w:val="28"/>
        </w:numPr>
      </w:pPr>
      <w:r>
        <w:t>Baza danych;</w:t>
      </w:r>
    </w:p>
    <w:p w:rsidR="00D972E3" w:rsidRDefault="00D972E3" w:rsidP="00D972E3">
      <w:pPr>
        <w:pStyle w:val="Akapitzlist"/>
        <w:numPr>
          <w:ilvl w:val="1"/>
          <w:numId w:val="28"/>
        </w:numPr>
      </w:pPr>
      <w:r>
        <w:t>Program użytkowy.</w:t>
      </w:r>
    </w:p>
    <w:p w:rsidR="004F7CEA" w:rsidRDefault="004F7CEA" w:rsidP="004F7CEA">
      <w:pPr>
        <w:pStyle w:val="Akapitzlist"/>
        <w:numPr>
          <w:ilvl w:val="0"/>
          <w:numId w:val="28"/>
        </w:numPr>
      </w:pPr>
      <w:r>
        <w:t>Dokumentacja:</w:t>
      </w:r>
    </w:p>
    <w:p w:rsidR="004F7CEA" w:rsidRDefault="004F7CEA" w:rsidP="004F7CEA">
      <w:pPr>
        <w:pStyle w:val="Akapitzlist"/>
        <w:numPr>
          <w:ilvl w:val="1"/>
          <w:numId w:val="28"/>
        </w:numPr>
      </w:pPr>
      <w:r>
        <w:t>Umowa;</w:t>
      </w:r>
    </w:p>
    <w:p w:rsidR="004F7CEA" w:rsidRDefault="004F7CEA" w:rsidP="004F7CEA">
      <w:pPr>
        <w:pStyle w:val="Akapitzlist"/>
        <w:numPr>
          <w:ilvl w:val="1"/>
          <w:numId w:val="28"/>
        </w:numPr>
      </w:pPr>
      <w:r>
        <w:t>Licencja na oprogramowanie.</w:t>
      </w:r>
    </w:p>
    <w:p w:rsidR="00D972E3" w:rsidRPr="0072302B" w:rsidRDefault="00D972E3" w:rsidP="00D972E3">
      <w:pPr>
        <w:pStyle w:val="Akapitzlist"/>
        <w:numPr>
          <w:ilvl w:val="0"/>
          <w:numId w:val="28"/>
        </w:numPr>
      </w:pPr>
      <w:r>
        <w:t>Oraz wiele innych.</w:t>
      </w:r>
    </w:p>
    <w:p w:rsidR="00C36C6D" w:rsidRDefault="00C36C6D" w:rsidP="00C36C6D">
      <w:pPr>
        <w:keepNext/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F7FCD3" wp14:editId="17AB1E45">
            <wp:extent cx="8640000" cy="4795200"/>
            <wp:effectExtent l="0" t="1588" r="7303" b="7302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Hostingowa_ObiektycmdbSerwerown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40000" cy="47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6D" w:rsidRDefault="00C36C6D" w:rsidP="00C36C6D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107B67">
        <w:t>Przykładowe</w:t>
      </w:r>
      <w:r>
        <w:t xml:space="preserve"> element</w:t>
      </w:r>
      <w:r w:rsidR="00B9131D">
        <w:t>y</w:t>
      </w:r>
      <w:r>
        <w:t xml:space="preserve"> konfiguracji firmy</w:t>
      </w:r>
    </w:p>
    <w:p w:rsidR="009A733D" w:rsidRDefault="009A733D" w:rsidP="00C36C6D">
      <w:pPr>
        <w:spacing w:after="200" w:line="276" w:lineRule="auto"/>
        <w:ind w:firstLine="0"/>
        <w:jc w:val="center"/>
      </w:pPr>
      <w:r>
        <w:br w:type="page"/>
      </w:r>
    </w:p>
    <w:p w:rsidR="001901A6" w:rsidRDefault="001901A6" w:rsidP="001901A6">
      <w:pPr>
        <w:pStyle w:val="Nagwek2"/>
      </w:pPr>
      <w:bookmarkStart w:id="68" w:name="_Toc299641886"/>
      <w:r>
        <w:lastRenderedPageBreak/>
        <w:t>Wprowadzenie zarządzania zmianą</w:t>
      </w:r>
      <w:bookmarkEnd w:id="68"/>
    </w:p>
    <w:p w:rsidR="00DD4FFA" w:rsidRPr="00DD4FFA" w:rsidRDefault="00E4248D" w:rsidP="00DD4FFA">
      <w:pPr>
        <w:pStyle w:val="Pierwszyakapit"/>
      </w:pPr>
      <w:r>
        <w:t>Podstawą zarządzania zmianą i każdego</w:t>
      </w:r>
      <w:r w:rsidR="007D70BC">
        <w:t xml:space="preserve"> innego</w:t>
      </w:r>
      <w:r>
        <w:t xml:space="preserve"> procesu ITIL jest formalna dokumentacja specyfikująca proces. Oprócz celu, zasad i ról</w:t>
      </w:r>
      <w:r w:rsidR="00437F0F">
        <w:t>;</w:t>
      </w:r>
      <w:r w:rsidR="007D70BC">
        <w:t xml:space="preserve"> należy określić model zmian</w:t>
      </w:r>
      <w:r w:rsidR="007D70BC">
        <w:rPr>
          <w:rStyle w:val="Odwoanieprzypisudolnego"/>
        </w:rPr>
        <w:footnoteReference w:id="76"/>
      </w:r>
      <w:r w:rsidR="00437F0F">
        <w:t xml:space="preserve">. </w:t>
      </w:r>
      <w:r w:rsidR="00C0460D">
        <w:t>Stanowi o</w:t>
      </w:r>
      <w:r w:rsidR="00437F0F">
        <w:t>n</w:t>
      </w:r>
      <w:r w:rsidR="00C0460D">
        <w:t xml:space="preserve"> </w:t>
      </w:r>
      <w:r w:rsidR="00437F0F">
        <w:t xml:space="preserve">dokładną </w:t>
      </w:r>
      <w:r w:rsidR="00C0460D">
        <w:t xml:space="preserve">specyfikację </w:t>
      </w:r>
      <w:r w:rsidR="00437F0F">
        <w:t xml:space="preserve">wszystkich etapów przetwarzania zmiany. Jest niezbędny, ponieważ </w:t>
      </w:r>
      <w:r w:rsidR="00DD4FFA">
        <w:t>proces zarządzania zmianą</w:t>
      </w:r>
      <w:r w:rsidR="00437F0F">
        <w:t xml:space="preserve"> </w:t>
      </w:r>
      <w:r w:rsidR="00DD4FFA">
        <w:t>jest bardzo elastyczny i wiele jego aspektów wymaga doprecyz</w:t>
      </w:r>
      <w:r w:rsidR="00DD4FFA">
        <w:t>o</w:t>
      </w:r>
      <w:r w:rsidR="00DD4FFA">
        <w:t xml:space="preserve">wania </w:t>
      </w:r>
      <w:r w:rsidR="00437F0F">
        <w:t xml:space="preserve">. </w:t>
      </w:r>
      <w:r w:rsidR="00DD4FFA">
        <w:t>W modelu zmian należy określić:</w:t>
      </w:r>
    </w:p>
    <w:p w:rsidR="00FA671E" w:rsidRDefault="00FA671E" w:rsidP="00DD4FFA">
      <w:pPr>
        <w:pStyle w:val="Akapitzlist"/>
        <w:numPr>
          <w:ilvl w:val="0"/>
          <w:numId w:val="30"/>
        </w:numPr>
        <w:spacing w:before="480"/>
        <w:ind w:left="1281" w:hanging="357"/>
      </w:pPr>
      <w:r>
        <w:t>Typy, kategorie</w:t>
      </w:r>
      <w:r w:rsidR="00E7599F">
        <w:t>,</w:t>
      </w:r>
      <w:r>
        <w:t xml:space="preserve"> priorytety </w:t>
      </w:r>
      <w:r w:rsidR="00E7599F">
        <w:t>i format wniosków o zmianę</w:t>
      </w:r>
      <w:r>
        <w:t>;</w:t>
      </w:r>
    </w:p>
    <w:p w:rsidR="00DD4FFA" w:rsidRDefault="00DD4FFA" w:rsidP="00DD4FFA">
      <w:pPr>
        <w:pStyle w:val="Akapitzlist"/>
        <w:numPr>
          <w:ilvl w:val="0"/>
          <w:numId w:val="30"/>
        </w:numPr>
        <w:spacing w:before="480"/>
        <w:ind w:left="1281" w:hanging="357"/>
      </w:pPr>
      <w:r>
        <w:t xml:space="preserve">Kolejne etapy przetwarzania zmiany </w:t>
      </w:r>
      <w:r w:rsidR="00FA671E">
        <w:t>i przejścia między nimi;</w:t>
      </w:r>
    </w:p>
    <w:p w:rsidR="00DD4FFA" w:rsidRDefault="00DD4FFA" w:rsidP="00DD4FFA">
      <w:pPr>
        <w:pStyle w:val="Akapitzlist"/>
        <w:numPr>
          <w:ilvl w:val="1"/>
          <w:numId w:val="30"/>
        </w:numPr>
        <w:spacing w:before="480"/>
      </w:pPr>
      <w:r>
        <w:t>Mogą być inne dla różnych typów zmian, szczególnie pi</w:t>
      </w:r>
      <w:r>
        <w:t>l</w:t>
      </w:r>
      <w:r>
        <w:t>nych.</w:t>
      </w:r>
    </w:p>
    <w:p w:rsidR="00DD4FFA" w:rsidRDefault="00DD4FFA" w:rsidP="00DD4FFA">
      <w:pPr>
        <w:pStyle w:val="Akapitzlist"/>
        <w:numPr>
          <w:ilvl w:val="0"/>
          <w:numId w:val="30"/>
        </w:numPr>
        <w:spacing w:before="480"/>
        <w:ind w:left="1281" w:hanging="357"/>
      </w:pPr>
      <w:r>
        <w:t>Osoby odpowiedzialne za te etapy i ich obowiązki;</w:t>
      </w:r>
    </w:p>
    <w:p w:rsidR="00DD4FFA" w:rsidRDefault="00DD4FFA" w:rsidP="00DD4FFA">
      <w:pPr>
        <w:pStyle w:val="Akapitzlist"/>
        <w:numPr>
          <w:ilvl w:val="1"/>
          <w:numId w:val="30"/>
        </w:numPr>
        <w:spacing w:before="480"/>
      </w:pPr>
      <w:r>
        <w:t>Uwagę należy zwrócić na autoryzację zmiany, która nie zawsze musi być wykonywana przez Radę ds. Zmian.</w:t>
      </w:r>
    </w:p>
    <w:p w:rsidR="00FA671E" w:rsidRDefault="00FA671E" w:rsidP="00DD4FFA">
      <w:pPr>
        <w:pStyle w:val="Akapitzlist"/>
        <w:numPr>
          <w:ilvl w:val="1"/>
          <w:numId w:val="30"/>
        </w:numPr>
        <w:spacing w:before="480"/>
      </w:pPr>
      <w:r>
        <w:t>Zasady działania CAB i ECAB, częstotliwość i formę zgromadzeń</w:t>
      </w:r>
      <w:r w:rsidR="0092184D">
        <w:t>,</w:t>
      </w:r>
      <w:r>
        <w:t xml:space="preserve"> ich porządek i skład (mogą być w postaci oddzielnego dokumentu).</w:t>
      </w:r>
    </w:p>
    <w:p w:rsidR="009A733D" w:rsidRDefault="00FA671E" w:rsidP="00FA671E">
      <w:pPr>
        <w:pStyle w:val="Akapitzlist"/>
        <w:numPr>
          <w:ilvl w:val="0"/>
          <w:numId w:val="30"/>
        </w:numPr>
        <w:spacing w:before="480"/>
      </w:pPr>
      <w:r>
        <w:t>Ograniczenia czasowe i procedury eskalacji.</w:t>
      </w:r>
    </w:p>
    <w:p w:rsidR="009A733D" w:rsidRDefault="00FD57EE" w:rsidP="00FD57EE">
      <w:pPr>
        <w:pStyle w:val="Nagwek3"/>
      </w:pPr>
      <w:bookmarkStart w:id="69" w:name="_Toc299641887"/>
      <w:r>
        <w:t>Plan zarządzania zmianą</w:t>
      </w:r>
      <w:bookmarkEnd w:id="69"/>
    </w:p>
    <w:p w:rsidR="00CA028F" w:rsidRPr="00CA028F" w:rsidRDefault="00CA028F" w:rsidP="00CA028F">
      <w:pPr>
        <w:pStyle w:val="Nagwekbezkonspektu"/>
      </w:pPr>
      <w:r>
        <w:t>Cele</w:t>
      </w:r>
    </w:p>
    <w:p w:rsidR="009A733D" w:rsidRDefault="00CA028F" w:rsidP="00CA028F">
      <w:pPr>
        <w:pStyle w:val="Akapitzlist"/>
        <w:numPr>
          <w:ilvl w:val="0"/>
          <w:numId w:val="31"/>
        </w:numPr>
        <w:ind w:left="1281" w:hanging="357"/>
      </w:pPr>
      <w:r>
        <w:t xml:space="preserve">Wyeliminowanie </w:t>
      </w:r>
      <w:r>
        <w:t>awarii spowodowanych zmianami elementów ko</w:t>
      </w:r>
      <w:r>
        <w:t>n</w:t>
      </w:r>
      <w:r>
        <w:t>figuracji.</w:t>
      </w:r>
    </w:p>
    <w:p w:rsidR="00CA028F" w:rsidRDefault="00CA028F" w:rsidP="00CA028F">
      <w:pPr>
        <w:pStyle w:val="Akapitzlist"/>
        <w:numPr>
          <w:ilvl w:val="0"/>
          <w:numId w:val="31"/>
        </w:numPr>
      </w:pPr>
      <w:r>
        <w:t xml:space="preserve">Zredukowanie do zera ilości </w:t>
      </w:r>
      <w:r>
        <w:t>zmian nieautoryzowanych.</w:t>
      </w:r>
    </w:p>
    <w:p w:rsidR="00FD1F49" w:rsidRDefault="00FD1F49" w:rsidP="00CA028F">
      <w:pPr>
        <w:pStyle w:val="Akapitzlist"/>
        <w:numPr>
          <w:ilvl w:val="0"/>
          <w:numId w:val="31"/>
        </w:numPr>
      </w:pPr>
      <w:r>
        <w:t>Zmniejszenie o 80% ilości zmian</w:t>
      </w:r>
      <w:r w:rsidR="00682093">
        <w:t xml:space="preserve"> niespełniających oczekiwań.</w:t>
      </w:r>
    </w:p>
    <w:p w:rsidR="00E7599F" w:rsidRDefault="00CA028F" w:rsidP="00E7599F">
      <w:pPr>
        <w:pStyle w:val="Akapitzlist"/>
        <w:numPr>
          <w:ilvl w:val="0"/>
          <w:numId w:val="31"/>
        </w:numPr>
      </w:pPr>
      <w:r>
        <w:t>Zmniejszenie o 50% średniego czasu potrzebnego do implementacji zmiany.</w:t>
      </w:r>
    </w:p>
    <w:p w:rsidR="006405CD" w:rsidRDefault="006405CD" w:rsidP="00E7599F">
      <w:pPr>
        <w:pStyle w:val="Akapitzlist"/>
        <w:numPr>
          <w:ilvl w:val="0"/>
          <w:numId w:val="31"/>
        </w:numPr>
      </w:pPr>
      <w:r>
        <w:t>Zrealizowanie powyższych celów w ciągu sześciu miesięcy.</w:t>
      </w:r>
    </w:p>
    <w:p w:rsidR="00E7599F" w:rsidRDefault="00E7599F" w:rsidP="00E7599F">
      <w:pPr>
        <w:pStyle w:val="Nagwekbezkonspektu"/>
      </w:pPr>
      <w:r>
        <w:t>Zasady</w:t>
      </w:r>
    </w:p>
    <w:p w:rsidR="00E7599F" w:rsidRDefault="00E7599F" w:rsidP="00E7599F">
      <w:pPr>
        <w:pStyle w:val="Akapitzlist"/>
        <w:numPr>
          <w:ilvl w:val="0"/>
          <w:numId w:val="32"/>
        </w:numPr>
      </w:pPr>
      <w:r w:rsidRPr="00E7599F">
        <w:t>Narzędziem użytym do wsparcia procesu i przechowywania danych będzie system S</w:t>
      </w:r>
      <w:r w:rsidRPr="00E7599F">
        <w:t>e</w:t>
      </w:r>
      <w:r w:rsidRPr="00E7599F">
        <w:t xml:space="preserve">rvice </w:t>
      </w:r>
      <w:proofErr w:type="spellStart"/>
      <w:r w:rsidRPr="00E7599F">
        <w:t>Desk</w:t>
      </w:r>
      <w:proofErr w:type="spellEnd"/>
      <w:r w:rsidRPr="00E7599F">
        <w:t xml:space="preserve"> opracowany przez Piotra Kalańskiego i Adriana Wiśniewskiego.</w:t>
      </w:r>
    </w:p>
    <w:p w:rsidR="006405CD" w:rsidRPr="00E7599F" w:rsidRDefault="006405CD" w:rsidP="00E7599F">
      <w:pPr>
        <w:pStyle w:val="Akapitzlist"/>
        <w:numPr>
          <w:ilvl w:val="0"/>
          <w:numId w:val="32"/>
        </w:numPr>
      </w:pPr>
      <w:r>
        <w:lastRenderedPageBreak/>
        <w:t>Format wniosków jest zgodny z odpowiednim formularzem ww. systemu.</w:t>
      </w:r>
    </w:p>
    <w:p w:rsidR="00E7599F" w:rsidRDefault="00E7599F" w:rsidP="00E7599F">
      <w:pPr>
        <w:pStyle w:val="Akapitzlist"/>
        <w:numPr>
          <w:ilvl w:val="0"/>
          <w:numId w:val="32"/>
        </w:numPr>
      </w:pPr>
      <w:r>
        <w:t>Wszystkie zmiany muszą być zgłaszane w postaci wniosków, z wyłączeniem zmian standardowych, określonych w modelu zmiany.</w:t>
      </w:r>
    </w:p>
    <w:p w:rsidR="00E7599F" w:rsidRDefault="00E7599F" w:rsidP="00E7599F">
      <w:pPr>
        <w:pStyle w:val="Akapitzlist"/>
        <w:numPr>
          <w:ilvl w:val="0"/>
          <w:numId w:val="32"/>
        </w:numPr>
      </w:pPr>
      <w:r>
        <w:t>Wnioski mogą być składane przez dowolnego pracownika lub klienta.</w:t>
      </w:r>
    </w:p>
    <w:p w:rsidR="00E7599F" w:rsidRDefault="00E7599F" w:rsidP="00E7599F">
      <w:pPr>
        <w:pStyle w:val="Akapitzlist"/>
        <w:numPr>
          <w:ilvl w:val="1"/>
          <w:numId w:val="32"/>
        </w:numPr>
      </w:pPr>
      <w:r>
        <w:t>Pracownicy mogą składać wnioski</w:t>
      </w:r>
      <w:r w:rsidR="001F434E">
        <w:t xml:space="preserve"> w</w:t>
      </w:r>
      <w:r>
        <w:t xml:space="preserve"> dowolnej kategorii.</w:t>
      </w:r>
    </w:p>
    <w:p w:rsidR="00E7599F" w:rsidRDefault="001F434E" w:rsidP="00E7599F">
      <w:pPr>
        <w:pStyle w:val="Akapitzlist"/>
        <w:numPr>
          <w:ilvl w:val="1"/>
          <w:numId w:val="32"/>
        </w:numPr>
      </w:pPr>
      <w:r>
        <w:t>Klienci mogą składać wnioski w</w:t>
      </w:r>
      <w:r w:rsidR="00E7599F">
        <w:t xml:space="preserve"> specjalnie</w:t>
      </w:r>
      <w:r w:rsidR="00980D5E">
        <w:t xml:space="preserve"> dla nich</w:t>
      </w:r>
      <w:r w:rsidR="00E7599F">
        <w:t xml:space="preserve"> wydzielonych kategoriach.</w:t>
      </w:r>
    </w:p>
    <w:p w:rsidR="009A733D" w:rsidRDefault="006405CD" w:rsidP="006405CD">
      <w:pPr>
        <w:pStyle w:val="Akapitzlist"/>
        <w:numPr>
          <w:ilvl w:val="0"/>
          <w:numId w:val="32"/>
        </w:numPr>
      </w:pPr>
      <w:r>
        <w:t>Dokładny przebieg całego procesu, role i ich ob</w:t>
      </w:r>
      <w:r w:rsidR="006206EE">
        <w:t>o</w:t>
      </w:r>
      <w:r>
        <w:t>wiązki reguluje zatwierdzony model zmiany.</w:t>
      </w:r>
    </w:p>
    <w:p w:rsidR="009A733D" w:rsidRDefault="00BB495A" w:rsidP="00BB495A">
      <w:pPr>
        <w:pStyle w:val="Nagwek3"/>
      </w:pPr>
      <w:bookmarkStart w:id="70" w:name="_Toc299641888"/>
      <w:r>
        <w:t xml:space="preserve">Model </w:t>
      </w:r>
      <w:r w:rsidR="006405CD">
        <w:t>zmiany</w:t>
      </w:r>
      <w:bookmarkEnd w:id="70"/>
    </w:p>
    <w:p w:rsidR="00104C6A" w:rsidRPr="00104C6A" w:rsidRDefault="00104C6A" w:rsidP="00104C6A">
      <w:pPr>
        <w:pStyle w:val="Pierwszyakapit"/>
      </w:pPr>
      <w:bookmarkStart w:id="71" w:name="_GoBack"/>
      <w:bookmarkEnd w:id="71"/>
    </w:p>
    <w:p w:rsidR="009A733D" w:rsidRPr="009A733D" w:rsidRDefault="009A733D" w:rsidP="009A733D"/>
    <w:p w:rsidR="00F15724" w:rsidRDefault="00FD57EE" w:rsidP="003051E1">
      <w:pPr>
        <w:pStyle w:val="Nagwekbezkonspektu"/>
      </w:pPr>
      <w:r>
        <w:t>Kategorie zmian</w:t>
      </w:r>
    </w:p>
    <w:p w:rsidR="007D4E89" w:rsidRDefault="007D4E89" w:rsidP="007D4E89">
      <w:pPr>
        <w:pStyle w:val="Pierwszyakapit"/>
        <w:numPr>
          <w:ilvl w:val="0"/>
          <w:numId w:val="29"/>
        </w:numPr>
      </w:pPr>
      <w:r>
        <w:t>Zgłaszane przez klienta.</w:t>
      </w:r>
    </w:p>
    <w:p w:rsidR="007D4E89" w:rsidRPr="007D4E89" w:rsidRDefault="007D4E89" w:rsidP="007D4E89">
      <w:pPr>
        <w:pStyle w:val="Akapitzlist"/>
        <w:numPr>
          <w:ilvl w:val="1"/>
          <w:numId w:val="29"/>
        </w:numPr>
      </w:pPr>
      <w:r>
        <w:t>Zmiana usługi.</w:t>
      </w:r>
    </w:p>
    <w:p w:rsidR="00F15724" w:rsidRDefault="00FD57EE" w:rsidP="003051E1">
      <w:pPr>
        <w:pStyle w:val="Nagwekbezkonspektu"/>
      </w:pPr>
      <w:r>
        <w:t>Zmiany standardowe</w:t>
      </w:r>
    </w:p>
    <w:p w:rsidR="009A733D" w:rsidRDefault="009A733D">
      <w:pPr>
        <w:spacing w:after="200" w:line="276" w:lineRule="auto"/>
        <w:ind w:firstLine="0"/>
        <w:jc w:val="left"/>
      </w:pPr>
      <w:r>
        <w:br w:type="page"/>
      </w:r>
    </w:p>
    <w:p w:rsidR="009A733D" w:rsidRDefault="009A733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A48C4" w:rsidRDefault="005A48C4" w:rsidP="005A48C4">
      <w:p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25DCC" w:rsidRDefault="00F30116" w:rsidP="00847355">
      <w:pPr>
        <w:pStyle w:val="Nagwek1"/>
      </w:pPr>
      <w:bookmarkStart w:id="72" w:name="_Toc299641889"/>
      <w:r>
        <w:lastRenderedPageBreak/>
        <w:t>Wymagania</w:t>
      </w:r>
      <w:bookmarkEnd w:id="72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77"/>
      </w:r>
      <w:r w:rsidR="00084EAE">
        <w:t>.</w:t>
      </w:r>
    </w:p>
    <w:p w:rsidR="00225DCC" w:rsidRDefault="00226B02" w:rsidP="00225DCC">
      <w:pPr>
        <w:pStyle w:val="Nagwek2"/>
      </w:pPr>
      <w:bookmarkStart w:id="73" w:name="_Toc299641890"/>
      <w:r>
        <w:t xml:space="preserve">Technologia </w:t>
      </w:r>
      <w:r w:rsidR="00D8293D">
        <w:t>(TECH)</w:t>
      </w:r>
      <w:bookmarkEnd w:id="73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4"/>
      <w:r w:rsidRPr="00A84C31">
        <w:t>Zastosowanie</w:t>
      </w:r>
      <w:commentRangeEnd w:id="74"/>
      <w:r w:rsidR="000B6886">
        <w:rPr>
          <w:rStyle w:val="Odwoaniedokomentarza"/>
        </w:rPr>
        <w:commentReference w:id="74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5"/>
      <w:r w:rsidR="000C78ED">
        <w:t>,</w:t>
      </w:r>
      <w:commentRangeEnd w:id="75"/>
      <w:r w:rsidR="000C78ED">
        <w:rPr>
          <w:rStyle w:val="Odwoaniedokomentarza"/>
        </w:rPr>
        <w:commentReference w:id="75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6" w:name="_Toc299641891"/>
      <w:r>
        <w:lastRenderedPageBreak/>
        <w:t>Architektura</w:t>
      </w:r>
      <w:r w:rsidR="00D8293D">
        <w:t xml:space="preserve"> (ARCH)</w:t>
      </w:r>
      <w:bookmarkEnd w:id="76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78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79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80"/>
      </w:r>
      <w:r>
        <w:t xml:space="preserve"> i ERP</w:t>
      </w:r>
      <w:r>
        <w:rPr>
          <w:rStyle w:val="Odwoanieprzypisudolnego"/>
        </w:rPr>
        <w:footnoteReference w:id="81"/>
      </w:r>
      <w:r>
        <w:t xml:space="preserve">. </w:t>
      </w:r>
    </w:p>
    <w:p w:rsidR="00D06916" w:rsidRDefault="00D06916" w:rsidP="00D06916">
      <w:pPr>
        <w:pStyle w:val="Nagwek2"/>
      </w:pPr>
      <w:bookmarkStart w:id="77" w:name="_Toc299641892"/>
      <w:r>
        <w:t>Moduł zarządzania konfiguracją</w:t>
      </w:r>
      <w:r w:rsidR="009D25FC">
        <w:t xml:space="preserve"> (KONF)</w:t>
      </w:r>
      <w:bookmarkEnd w:id="77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uprawnieni </w:t>
      </w:r>
      <w:r w:rsidR="00525CCA">
        <w:t>zarządzający</w:t>
      </w:r>
      <w:r>
        <w:t xml:space="preserve"> konfiguracj</w:t>
      </w:r>
      <w:r w:rsidR="00525CCA">
        <w:t>ą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8" w:name="_Toc299641893"/>
      <w:r>
        <w:lastRenderedPageBreak/>
        <w:t>Moduł zarządzania zmianą</w:t>
      </w:r>
      <w:r w:rsidR="009D25FC">
        <w:t xml:space="preserve"> (ZMIA)</w:t>
      </w:r>
      <w:bookmarkEnd w:id="78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lastRenderedPageBreak/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 xml:space="preserve">Natomiast w przypadku sukcesu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9" w:name="_Toc299641894"/>
      <w:r>
        <w:t>Rdzeń systemu</w:t>
      </w:r>
      <w:r w:rsidR="001D16EB">
        <w:t xml:space="preserve"> (CORE)</w:t>
      </w:r>
      <w:bookmarkEnd w:id="79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80"/>
      <w:r>
        <w:t>Użytkownicy mogą być pracownikami, klientami lub kooperantami.</w:t>
      </w:r>
      <w:commentRangeEnd w:id="80"/>
      <w:r>
        <w:rPr>
          <w:rStyle w:val="Odwoaniedokomentarza"/>
        </w:rPr>
        <w:commentReference w:id="80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Prezentowanie ważnych dla użytkownika informacji na jego stronie głównej.</w:t>
      </w:r>
    </w:p>
    <w:p w:rsidR="006176A0" w:rsidRDefault="006176A0" w:rsidP="006176A0">
      <w:pPr>
        <w:pStyle w:val="Akapitzlist"/>
        <w:numPr>
          <w:ilvl w:val="0"/>
          <w:numId w:val="3"/>
        </w:numPr>
      </w:pPr>
      <w:r>
        <w:t>Zapewnienie intuicyjnego mechanizmu nawigacji, umożliwiającego dostęp do funkcjonalności wszystkich modułów.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1"/>
      <w:r>
        <w:lastRenderedPageBreak/>
        <w:t>Wysyłanie wiadomości do wskazanych użytkowników</w:t>
      </w:r>
      <w:commentRangeEnd w:id="81"/>
      <w:r>
        <w:rPr>
          <w:rStyle w:val="Odwoaniedokomentarza"/>
        </w:rPr>
        <w:commentReference w:id="81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2"/>
      <w:r>
        <w:t>Przypisywanie użytkownikom zleceń na wykonanie zadania</w:t>
      </w:r>
      <w:commentRangeEnd w:id="82"/>
      <w:r>
        <w:rPr>
          <w:rStyle w:val="Odwoaniedokomentarza"/>
        </w:rPr>
        <w:commentReference w:id="82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3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3"/>
      <w:r>
        <w:rPr>
          <w:rStyle w:val="Odwoaniedokomentarza"/>
        </w:rPr>
        <w:commentReference w:id="83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</w:t>
      </w:r>
      <w:r w:rsidR="006176A0">
        <w:t xml:space="preserve"> i rozmiar</w:t>
      </w:r>
      <w:r>
        <w:t xml:space="preserve"> przechowywanych plików powinna być ograniczona jedynie ilością wolnego miejsca na dyskach twardych serwera. </w:t>
      </w:r>
    </w:p>
    <w:p w:rsidR="005A48C4" w:rsidRDefault="005A48C4" w:rsidP="0093468D">
      <w:pPr>
        <w:pStyle w:val="Akapitzlist"/>
        <w:numPr>
          <w:ilvl w:val="0"/>
          <w:numId w:val="10"/>
        </w:numPr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4" w:name="_Toc299641895"/>
      <w:r>
        <w:lastRenderedPageBreak/>
        <w:t>Projekt</w:t>
      </w:r>
      <w:bookmarkEnd w:id="84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F3C60" w:rsidRDefault="00F30116" w:rsidP="00847355">
      <w:pPr>
        <w:pStyle w:val="Nagwek1"/>
      </w:pPr>
      <w:bookmarkStart w:id="85" w:name="_Toc299641896"/>
      <w:r>
        <w:lastRenderedPageBreak/>
        <w:t>Implementacja</w:t>
      </w:r>
      <w:bookmarkEnd w:id="85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BF3C60" w:rsidP="00847355">
      <w:pPr>
        <w:pStyle w:val="Nagwek1"/>
      </w:pPr>
      <w:bookmarkStart w:id="86" w:name="_Toc299641897"/>
      <w:r>
        <w:lastRenderedPageBreak/>
        <w:t>Użytkowanie systemu</w:t>
      </w:r>
      <w:bookmarkEnd w:id="86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</w:pPr>
      <w:bookmarkStart w:id="87" w:name="_Toc299641898"/>
      <w:r>
        <w:lastRenderedPageBreak/>
        <w:t>Uży</w:t>
      </w:r>
      <w:r w:rsidR="00474072">
        <w:t>tkowanie</w:t>
      </w:r>
      <w:r>
        <w:t xml:space="preserve"> systemu</w:t>
      </w:r>
      <w:bookmarkEnd w:id="87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8" w:name="_Toc29964189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8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89" w:name="_Toc299641900"/>
      <w:r>
        <w:lastRenderedPageBreak/>
        <w:t>Podsumowanie</w:t>
      </w:r>
      <w:bookmarkEnd w:id="89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bookmarkStart w:id="90" w:name="_Toc29964190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90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9910DE">
              <w:r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</w:pPr>
      <w:bookmarkStart w:id="91" w:name="_Toc299641902"/>
      <w:r>
        <w:lastRenderedPageBreak/>
        <w:t>Zawartość płyty CD</w:t>
      </w:r>
      <w:bookmarkEnd w:id="91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B61FBC" w:rsidRDefault="00B61FBC" w:rsidP="00B61FBC">
      <w:pPr>
        <w:pStyle w:val="Nagwek7"/>
      </w:pPr>
      <w:bookmarkStart w:id="92" w:name="_Toc299641903"/>
      <w:r>
        <w:lastRenderedPageBreak/>
        <w:t>Wykaz skrótów</w:t>
      </w:r>
      <w:bookmarkEnd w:id="92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8B164B" w:rsidP="008B164B">
      <w:pPr>
        <w:pStyle w:val="Nagwek7"/>
      </w:pPr>
      <w:bookmarkStart w:id="93" w:name="_Toc299641904"/>
      <w:r>
        <w:lastRenderedPageBreak/>
        <w:t>Spis Tabel</w:t>
      </w:r>
      <w:bookmarkEnd w:id="93"/>
    </w:p>
    <w:p w:rsidR="005A48C4" w:rsidRDefault="005A48C4" w:rsidP="005A48C4">
      <w:pPr>
        <w:pStyle w:val="Pierwszyakapit"/>
        <w:sectPr w:rsidR="005A48C4" w:rsidSect="005A48C4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4" w:name="_Toc299641905"/>
      <w:r>
        <w:lastRenderedPageBreak/>
        <w:t xml:space="preserve">Spis </w:t>
      </w:r>
      <w:r w:rsidR="007C22E3">
        <w:t>i</w:t>
      </w:r>
      <w:r w:rsidR="003C04CE">
        <w:t>lustracji</w:t>
      </w:r>
      <w:bookmarkEnd w:id="94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C5912">
        <w:rPr>
          <w:noProof/>
        </w:rPr>
        <w:t>17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C5912">
        <w:rPr>
          <w:noProof/>
        </w:rPr>
        <w:t>18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5A48C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26T16:4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sprawdzić cudzysłowy przy cytatach angielskie vs polskie</w:t>
      </w:r>
    </w:p>
  </w:comment>
  <w:comment w:id="4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25T11:16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8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4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5" w:author="Adrian" w:date="2011-07-08T14:33:00Z" w:initials="A">
    <w:p w:rsidR="00DD4FFA" w:rsidRDefault="00DD4FFA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6" w:author="Adrian" w:date="2011-07-08T16:18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7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8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19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3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4" w:author="Adrian" w:date="2011-07-08T14:3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DD4FFA" w:rsidRDefault="00DD4FFA">
      <w:pPr>
        <w:pStyle w:val="Tekstkomentarza"/>
      </w:pPr>
    </w:p>
  </w:comment>
  <w:comment w:id="26" w:author="Adrian" w:date="2011-07-09T14:29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48" w:author="Adrian" w:date="2011-07-21T18:52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49" w:author="Adrian" w:date="2011-07-21T18:52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2" w:author="Adrian" w:date="2011-07-22T16:35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3" w:author="Adrian" w:date="2011-07-22T16:35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7" w:author="Adrian" w:date="2011-07-25T16:00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58" w:author="Adrian" w:date="2011-07-25T16:41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62" w:author="Adrian" w:date="2011-07-27T09:32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Dokończyć</w:t>
      </w:r>
    </w:p>
  </w:comment>
  <w:comment w:id="74" w:author="Adrian" w:date="2011-07-14T13:1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5" w:author="Adrian" w:date="2011-07-09T16:46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80" w:author="Adrian" w:date="2011-07-09T16:11:00Z" w:initials="A">
    <w:p w:rsidR="00DD4FFA" w:rsidRDefault="00DD4FFA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81" w:author="Adrian" w:date="2011-07-09T17:13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</w:p>
  </w:comment>
  <w:comment w:id="82" w:author="Adrian" w:date="2011-07-09T17:11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</w:p>
  </w:comment>
  <w:comment w:id="83" w:author="Adrian" w:date="2011-07-09T17:11:00Z" w:initials="A">
    <w:p w:rsidR="00DD4FFA" w:rsidRDefault="00DD4FFA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FA" w:rsidRDefault="00DD4FFA" w:rsidP="00F96C73">
      <w:pPr>
        <w:spacing w:line="240" w:lineRule="auto"/>
      </w:pPr>
      <w:r>
        <w:separator/>
      </w:r>
    </w:p>
    <w:p w:rsidR="00DD4FFA" w:rsidRDefault="00DD4FFA"/>
  </w:endnote>
  <w:endnote w:type="continuationSeparator" w:id="0">
    <w:p w:rsidR="00DD4FFA" w:rsidRDefault="00DD4FFA" w:rsidP="00F96C73">
      <w:pPr>
        <w:spacing w:line="240" w:lineRule="auto"/>
      </w:pPr>
      <w:r>
        <w:continuationSeparator/>
      </w:r>
    </w:p>
    <w:p w:rsidR="00DD4FFA" w:rsidRDefault="00DD4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DD4FFA" w:rsidRDefault="00DD4FFA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C6A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FA" w:rsidRDefault="00DD4FFA" w:rsidP="00F96C73">
      <w:pPr>
        <w:spacing w:line="240" w:lineRule="auto"/>
      </w:pPr>
      <w:r>
        <w:separator/>
      </w:r>
    </w:p>
  </w:footnote>
  <w:footnote w:type="continuationSeparator" w:id="0">
    <w:p w:rsidR="00DD4FFA" w:rsidRDefault="00DD4FFA" w:rsidP="00F96C73">
      <w:pPr>
        <w:spacing w:line="240" w:lineRule="auto"/>
      </w:pPr>
      <w:r>
        <w:continuationSeparator/>
      </w:r>
    </w:p>
    <w:p w:rsidR="00DD4FFA" w:rsidRDefault="00DD4FFA"/>
  </w:footnote>
  <w:footnote w:id="1">
    <w:p w:rsidR="00DD4FFA" w:rsidRPr="00C71F5C" w:rsidRDefault="00DD4FFA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8E4A83">
        <w:t>Government</w:t>
      </w:r>
      <w:proofErr w:type="spellEnd"/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DD4FFA" w:rsidRPr="00422B7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297188891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DD4FFA" w:rsidRPr="0091786C" w:rsidRDefault="00DD4FFA" w:rsidP="00B4378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927065809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DD4FFA" w:rsidRPr="00B32A69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A6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Cloud Computing, </w:t>
      </w:r>
      <w:sdt>
        <w:sdtPr>
          <w:rPr>
            <w:lang w:val="en-US"/>
          </w:rPr>
          <w:id w:val="-11892086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Keo11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(Keogh)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DD4FFA" w:rsidRPr="000412F4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412F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Black Box</w:t>
      </w:r>
    </w:p>
  </w:footnote>
  <w:footnote w:id="6">
    <w:p w:rsidR="00DD4FFA" w:rsidRPr="00B907DA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907D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Process Owner</w:t>
      </w:r>
    </w:p>
  </w:footnote>
  <w:footnote w:id="7">
    <w:p w:rsidR="00DD4FFA" w:rsidRPr="00422B7F" w:rsidRDefault="00DD4FFA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057702532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DD4FFA" w:rsidRPr="00422B7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46016941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9">
    <w:p w:rsidR="00DD4FFA" w:rsidRPr="00422B7F" w:rsidRDefault="00DD4FFA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60268158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10">
    <w:p w:rsidR="00DD4FFA" w:rsidRPr="00422B7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75334683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DD4FFA" w:rsidRPr="000878A4" w:rsidRDefault="00DD4FFA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181872151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12">
    <w:p w:rsidR="00DD4FFA" w:rsidRPr="001B38DE" w:rsidRDefault="00DD4FFA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mierzalne parametry dotyczące wydajności i awaryjności.</w:t>
      </w:r>
    </w:p>
  </w:footnote>
  <w:footnote w:id="13">
    <w:p w:rsidR="00DD4FFA" w:rsidRPr="00DF22E8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67349092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4">
    <w:p w:rsidR="00DD4FFA" w:rsidRPr="00B32E22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-1775625717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5">
    <w:p w:rsidR="00DD4FFA" w:rsidRPr="00BD3502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D3502">
        <w:rPr>
          <w:lang w:val="en-US"/>
        </w:rPr>
        <w:t xml:space="preserve"> </w:t>
      </w:r>
      <w:sdt>
        <w:sdtPr>
          <w:rPr>
            <w:lang w:val="en-US"/>
          </w:rPr>
          <w:id w:val="1984729185"/>
          <w:citation/>
        </w:sdtPr>
        <w:sdtContent>
          <w:r>
            <w:rPr>
              <w:lang w:val="en-US"/>
            </w:rPr>
            <w:fldChar w:fldCharType="begin"/>
          </w:r>
          <w:r w:rsidRPr="00291167">
            <w:rPr>
              <w:lang w:val="en-US"/>
            </w:rPr>
            <w:instrText xml:space="preserve"> CITATION OGC10 \l 1045 </w:instrText>
          </w:r>
          <w:r>
            <w:rPr>
              <w:lang w:val="en-US"/>
            </w:rPr>
            <w:fldChar w:fldCharType="separate"/>
          </w:r>
          <w:r w:rsidRPr="0029116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DD4FFA" w:rsidRPr="00422B7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674460613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7">
    <w:p w:rsidR="00DD4FFA" w:rsidRPr="007055EB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8">
    <w:p w:rsidR="00DD4FFA" w:rsidRPr="00422B7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-1800058452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9">
    <w:p w:rsidR="00DD4FFA" w:rsidRPr="00FD1E9C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-1362812179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20">
    <w:p w:rsidR="00DD4FFA" w:rsidRPr="007055EB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21">
    <w:p w:rsidR="00DD4FFA" w:rsidRPr="00B33FF1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22">
    <w:p w:rsidR="00DD4FFA" w:rsidRPr="0067302A" w:rsidRDefault="00DD4FFA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23">
    <w:p w:rsidR="00DD4FFA" w:rsidRPr="00A26F52" w:rsidRDefault="00DD4FFA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4">
    <w:p w:rsidR="00DD4FFA" w:rsidRPr="00227166" w:rsidRDefault="00DD4FFA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771207218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5">
    <w:p w:rsidR="00DD4FFA" w:rsidRPr="000638CB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6">
    <w:p w:rsidR="00DD4FFA" w:rsidRPr="000638CB" w:rsidRDefault="00DD4FFA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7">
    <w:p w:rsidR="00DD4FFA" w:rsidRPr="005E2A9E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</w:t>
      </w:r>
      <w:proofErr w:type="spellStart"/>
      <w:r w:rsidRPr="005E2A9E">
        <w:rPr>
          <w:lang w:val="en-US"/>
        </w:rPr>
        <w:t>ang.</w:t>
      </w:r>
      <w:proofErr w:type="spellEnd"/>
      <w:r w:rsidRPr="005E2A9E">
        <w:rPr>
          <w:lang w:val="en-US"/>
        </w:rPr>
        <w:t xml:space="preserve"> Supplier </w:t>
      </w:r>
      <w:proofErr w:type="spellStart"/>
      <w:r w:rsidRPr="005E2A9E">
        <w:rPr>
          <w:lang w:val="en-US"/>
        </w:rPr>
        <w:t>Managment</w:t>
      </w:r>
      <w:proofErr w:type="spellEnd"/>
    </w:p>
  </w:footnote>
  <w:footnote w:id="28">
    <w:p w:rsidR="00DD4FFA" w:rsidRPr="00605EAC" w:rsidRDefault="00DD4FFA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9">
    <w:p w:rsidR="00DD4FFA" w:rsidRPr="00F614FD" w:rsidRDefault="00DD4FFA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30">
    <w:p w:rsidR="00DD4FFA" w:rsidRPr="001064A8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31">
    <w:p w:rsidR="00DD4FFA" w:rsidRPr="003378B6" w:rsidRDefault="00DD4FFA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32">
    <w:p w:rsidR="00DD4FFA" w:rsidRPr="00D4048E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33">
    <w:p w:rsidR="00DD4FFA" w:rsidRPr="00CF4102" w:rsidRDefault="00DD4FFA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4">
    <w:p w:rsidR="00DD4FFA" w:rsidRPr="0066093A" w:rsidRDefault="00DD4FFA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5">
    <w:p w:rsidR="00DD4FFA" w:rsidRPr="002245AB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6">
    <w:p w:rsidR="00DD4FFA" w:rsidRPr="00336FBC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7">
    <w:p w:rsidR="00DD4FFA" w:rsidRPr="00D24E46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38">
    <w:p w:rsidR="00DD4FFA" w:rsidRPr="00D24E46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39">
    <w:p w:rsidR="00DD4FFA" w:rsidRPr="00D45F92" w:rsidRDefault="00DD4FFA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40">
    <w:p w:rsidR="00DD4FFA" w:rsidRPr="0086259E" w:rsidRDefault="00DD4FFA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41">
    <w:p w:rsidR="00DD4FFA" w:rsidRPr="0086259E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42">
    <w:p w:rsidR="00DD4FFA" w:rsidRPr="00C14DE8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43">
    <w:p w:rsidR="00DD4FFA" w:rsidRPr="001F306A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4">
    <w:p w:rsidR="00DD4FFA" w:rsidRPr="00EA21E7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5">
    <w:p w:rsidR="00DD4FFA" w:rsidRPr="001F306A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902288663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6">
    <w:p w:rsidR="00DD4FFA" w:rsidRPr="00EA21E7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7">
    <w:p w:rsidR="00DD4FFA" w:rsidRPr="00EA21E7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8">
    <w:p w:rsidR="00DD4FFA" w:rsidRPr="001C28B6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9">
    <w:p w:rsidR="00DD4FFA" w:rsidRPr="001C28B6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50">
    <w:p w:rsidR="00DD4FFA" w:rsidRPr="008F2D93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51">
    <w:p w:rsidR="00DD4FFA" w:rsidRPr="008F2D93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52">
    <w:p w:rsidR="00DD4FFA" w:rsidRPr="00770DE5" w:rsidRDefault="00DD4FFA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53">
    <w:p w:rsidR="00DD4FFA" w:rsidRPr="006730F0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4">
    <w:p w:rsidR="00DD4FFA" w:rsidRPr="006730F0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5">
    <w:p w:rsidR="00DD4FFA" w:rsidRPr="00F14E89" w:rsidRDefault="00DD4FFA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2052267192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DD4FFA" w:rsidRPr="001E3F36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7">
    <w:p w:rsidR="00DD4FFA" w:rsidRPr="004F68E5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8">
    <w:p w:rsidR="00DD4FFA" w:rsidRPr="00E23683" w:rsidRDefault="00DD4FFA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9">
    <w:p w:rsidR="00DD4FFA" w:rsidRPr="00E23683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3913502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60">
    <w:p w:rsidR="00DD4FFA" w:rsidRPr="00E754D5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-1172871520"/>
          <w:citation/>
        </w:sdtPr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61">
    <w:p w:rsidR="00DD4FFA" w:rsidRPr="002F675F" w:rsidRDefault="00DD4FFA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62">
    <w:p w:rsidR="00DD4FFA" w:rsidRPr="00FD1E9C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63">
    <w:p w:rsidR="00DD4FFA" w:rsidRPr="00CA3257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4">
    <w:p w:rsidR="00DD4FFA" w:rsidRPr="00D37779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5">
    <w:p w:rsidR="00DD4FFA" w:rsidRPr="00CA3257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1661279368"/>
          <w:citation/>
        </w:sdtPr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66">
    <w:p w:rsidR="00DD4FFA" w:rsidRPr="00CF0DFC" w:rsidRDefault="00DD4FFA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67">
    <w:p w:rsidR="00DD4FFA" w:rsidRPr="00845149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68">
    <w:p w:rsidR="00DD4FFA" w:rsidRPr="00EE1A14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 w:rsidRPr="00EE1A14">
        <w:rPr>
          <w:lang w:val="en-US"/>
        </w:rPr>
        <w:t>ang.</w:t>
      </w:r>
      <w:proofErr w:type="spellEnd"/>
      <w:r w:rsidRPr="00EE1A14">
        <w:rPr>
          <w:lang w:val="en-US"/>
        </w:rPr>
        <w:t xml:space="preserve"> Change Record</w:t>
      </w:r>
    </w:p>
  </w:footnote>
  <w:footnote w:id="69">
    <w:p w:rsidR="00DD4FFA" w:rsidRPr="00525CCA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70">
    <w:p w:rsidR="00DD4FFA" w:rsidRPr="0072483F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Advisory Board</w:t>
      </w:r>
    </w:p>
  </w:footnote>
  <w:footnote w:id="71">
    <w:p w:rsidR="00DD4FFA" w:rsidRPr="00EE1A14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E1A14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Emergency Advisory Board</w:t>
      </w:r>
    </w:p>
  </w:footnote>
  <w:footnote w:id="72">
    <w:p w:rsidR="00DD4FFA" w:rsidRPr="00342FD7" w:rsidRDefault="00DD4FFA" w:rsidP="00342FD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sdt>
        <w:sdtPr>
          <w:rPr>
            <w:lang w:val="en-US"/>
          </w:rPr>
          <w:id w:val="-574904542"/>
          <w:citation/>
        </w:sdtPr>
        <w:sdtContent>
          <w:r>
            <w:rPr>
              <w:lang w:val="en-US"/>
            </w:rPr>
            <w:fldChar w:fldCharType="begin"/>
          </w:r>
          <w:r w:rsidRPr="00342FD7">
            <w:rPr>
              <w:lang w:val="en-US"/>
            </w:rPr>
            <w:instrText xml:space="preserve"> CITATION OGC073 \l 1045 </w:instrText>
          </w:r>
          <w:r>
            <w:rPr>
              <w:lang w:val="en-US"/>
            </w:rPr>
            <w:fldChar w:fldCharType="separate"/>
          </w:r>
          <w:r w:rsidRPr="00342FD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73">
    <w:p w:rsidR="00DD4FFA" w:rsidRPr="00646BC0" w:rsidRDefault="00DD4FFA" w:rsidP="00646BC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46BC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46BC0">
        <w:rPr>
          <w:lang w:val="en-US"/>
        </w:rPr>
        <w:t>Post Implementation Review</w:t>
      </w:r>
      <w:r>
        <w:rPr>
          <w:lang w:val="en-US"/>
        </w:rPr>
        <w:t xml:space="preserve"> </w:t>
      </w:r>
      <w:r w:rsidRPr="00646BC0">
        <w:rPr>
          <w:lang w:val="en-US"/>
        </w:rPr>
        <w:t>(PIR)</w:t>
      </w:r>
    </w:p>
  </w:footnote>
  <w:footnote w:id="74">
    <w:p w:rsidR="00DD4FFA" w:rsidRPr="004A6B8C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A6B8C">
        <w:rPr>
          <w:lang w:val="en-US"/>
        </w:rPr>
        <w:t xml:space="preserve"> </w:t>
      </w:r>
      <w:r w:rsidRPr="00983F30">
        <w:t>ang.</w:t>
      </w:r>
      <w:r>
        <w:rPr>
          <w:lang w:val="en-US"/>
        </w:rPr>
        <w:t xml:space="preserve"> Data Centre</w:t>
      </w:r>
    </w:p>
  </w:footnote>
  <w:footnote w:id="75">
    <w:p w:rsidR="00DD4FFA" w:rsidRPr="00AA276D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A276D">
        <w:rPr>
          <w:lang w:val="en-US"/>
        </w:rPr>
        <w:t xml:space="preserve"> </w:t>
      </w:r>
      <w:proofErr w:type="spellStart"/>
      <w:r w:rsidRPr="00AA276D">
        <w:rPr>
          <w:lang w:val="en-US"/>
        </w:rPr>
        <w:t>ang.</w:t>
      </w:r>
      <w:proofErr w:type="spellEnd"/>
      <w:r w:rsidRPr="00AA276D">
        <w:rPr>
          <w:lang w:val="en-US"/>
        </w:rPr>
        <w:t xml:space="preserve"> </w:t>
      </w:r>
      <w:r w:rsidRPr="00983F30">
        <w:rPr>
          <w:lang w:val="en-US"/>
        </w:rPr>
        <w:t>Reseller</w:t>
      </w:r>
      <w:r w:rsidRPr="00AA276D">
        <w:rPr>
          <w:lang w:val="en-US"/>
        </w:rPr>
        <w:t xml:space="preserve"> Hosting</w:t>
      </w:r>
    </w:p>
  </w:footnote>
  <w:footnote w:id="76">
    <w:p w:rsidR="00DD4FFA" w:rsidRPr="007D70BC" w:rsidRDefault="00DD4FF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D70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Model</w:t>
      </w:r>
    </w:p>
  </w:footnote>
  <w:footnote w:id="77">
    <w:p w:rsidR="00DD4FFA" w:rsidRPr="00301BC0" w:rsidRDefault="00DD4FFA">
      <w:pPr>
        <w:pStyle w:val="Tekstprzypisudolnego"/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ang.</w:t>
      </w:r>
      <w:proofErr w:type="spellEnd"/>
      <w:r w:rsidRPr="00CA3257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78">
    <w:p w:rsidR="00DD4FFA" w:rsidRPr="00C509EE" w:rsidRDefault="00DD4FFA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79">
    <w:p w:rsidR="00DD4FFA" w:rsidRPr="000658E0" w:rsidRDefault="00DD4FFA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80">
    <w:p w:rsidR="00DD4FFA" w:rsidRPr="000658E0" w:rsidRDefault="00DD4FFA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81">
    <w:p w:rsidR="00DD4FFA" w:rsidRPr="000658E0" w:rsidRDefault="00DD4FFA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3C45B9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447840"/>
    <w:multiLevelType w:val="hybridMultilevel"/>
    <w:tmpl w:val="E4B828F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74E66E62"/>
    <w:multiLevelType w:val="hybridMultilevel"/>
    <w:tmpl w:val="D710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0"/>
  </w:num>
  <w:num w:numId="5">
    <w:abstractNumId w:val="13"/>
  </w:num>
  <w:num w:numId="6">
    <w:abstractNumId w:val="25"/>
  </w:num>
  <w:num w:numId="7">
    <w:abstractNumId w:val="8"/>
  </w:num>
  <w:num w:numId="8">
    <w:abstractNumId w:val="4"/>
  </w:num>
  <w:num w:numId="9">
    <w:abstractNumId w:val="20"/>
  </w:num>
  <w:num w:numId="10">
    <w:abstractNumId w:val="14"/>
  </w:num>
  <w:num w:numId="11">
    <w:abstractNumId w:val="10"/>
  </w:num>
  <w:num w:numId="12">
    <w:abstractNumId w:val="26"/>
  </w:num>
  <w:num w:numId="13">
    <w:abstractNumId w:val="5"/>
  </w:num>
  <w:num w:numId="14">
    <w:abstractNumId w:val="9"/>
  </w:num>
  <w:num w:numId="15">
    <w:abstractNumId w:val="1"/>
  </w:num>
  <w:num w:numId="16">
    <w:abstractNumId w:val="29"/>
  </w:num>
  <w:num w:numId="17">
    <w:abstractNumId w:val="17"/>
  </w:num>
  <w:num w:numId="18">
    <w:abstractNumId w:val="11"/>
  </w:num>
  <w:num w:numId="19">
    <w:abstractNumId w:val="15"/>
  </w:num>
  <w:num w:numId="20">
    <w:abstractNumId w:val="18"/>
  </w:num>
  <w:num w:numId="21">
    <w:abstractNumId w:val="16"/>
  </w:num>
  <w:num w:numId="22">
    <w:abstractNumId w:val="28"/>
  </w:num>
  <w:num w:numId="23">
    <w:abstractNumId w:val="12"/>
  </w:num>
  <w:num w:numId="24">
    <w:abstractNumId w:val="6"/>
  </w:num>
  <w:num w:numId="25">
    <w:abstractNumId w:val="2"/>
  </w:num>
  <w:num w:numId="26">
    <w:abstractNumId w:val="22"/>
  </w:num>
  <w:num w:numId="27">
    <w:abstractNumId w:val="23"/>
  </w:num>
  <w:num w:numId="28">
    <w:abstractNumId w:val="21"/>
  </w:num>
  <w:num w:numId="29">
    <w:abstractNumId w:val="27"/>
  </w:num>
  <w:num w:numId="30">
    <w:abstractNumId w:val="3"/>
  </w:num>
  <w:num w:numId="31">
    <w:abstractNumId w:val="19"/>
  </w:num>
  <w:num w:numId="3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6BE4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BF7"/>
    <w:rsid w:val="00050034"/>
    <w:rsid w:val="00052F50"/>
    <w:rsid w:val="00054039"/>
    <w:rsid w:val="000557FB"/>
    <w:rsid w:val="00056B87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6542"/>
    <w:rsid w:val="00081F03"/>
    <w:rsid w:val="000828CE"/>
    <w:rsid w:val="00083567"/>
    <w:rsid w:val="00084D0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6886"/>
    <w:rsid w:val="000B6CA4"/>
    <w:rsid w:val="000B71C5"/>
    <w:rsid w:val="000B74DE"/>
    <w:rsid w:val="000C0AAC"/>
    <w:rsid w:val="000C17B9"/>
    <w:rsid w:val="000C4FCC"/>
    <w:rsid w:val="000C5EB2"/>
    <w:rsid w:val="000C5F85"/>
    <w:rsid w:val="000C62FA"/>
    <w:rsid w:val="000C78ED"/>
    <w:rsid w:val="000D0284"/>
    <w:rsid w:val="000D14A7"/>
    <w:rsid w:val="000D23F7"/>
    <w:rsid w:val="000D391B"/>
    <w:rsid w:val="000D4580"/>
    <w:rsid w:val="000D68C0"/>
    <w:rsid w:val="000D7E30"/>
    <w:rsid w:val="000E0080"/>
    <w:rsid w:val="000E0D20"/>
    <w:rsid w:val="000E17EF"/>
    <w:rsid w:val="000E323A"/>
    <w:rsid w:val="000E4C7C"/>
    <w:rsid w:val="000E5692"/>
    <w:rsid w:val="000E71B5"/>
    <w:rsid w:val="000E7BDD"/>
    <w:rsid w:val="000F08D1"/>
    <w:rsid w:val="000F42A9"/>
    <w:rsid w:val="000F4ACC"/>
    <w:rsid w:val="00100F8E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B44"/>
    <w:rsid w:val="00164C51"/>
    <w:rsid w:val="001655C2"/>
    <w:rsid w:val="00166137"/>
    <w:rsid w:val="001666DA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3AF6"/>
    <w:rsid w:val="001849D8"/>
    <w:rsid w:val="00186867"/>
    <w:rsid w:val="001901A6"/>
    <w:rsid w:val="001907D7"/>
    <w:rsid w:val="0019191E"/>
    <w:rsid w:val="00191C2E"/>
    <w:rsid w:val="00194274"/>
    <w:rsid w:val="00194C75"/>
    <w:rsid w:val="00195542"/>
    <w:rsid w:val="00196BF7"/>
    <w:rsid w:val="00196F8A"/>
    <w:rsid w:val="001979E4"/>
    <w:rsid w:val="00197C80"/>
    <w:rsid w:val="001A107F"/>
    <w:rsid w:val="001A183E"/>
    <w:rsid w:val="001A2FE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912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434E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107"/>
    <w:rsid w:val="00214F67"/>
    <w:rsid w:val="00215E52"/>
    <w:rsid w:val="00216287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4F4B"/>
    <w:rsid w:val="00246DD5"/>
    <w:rsid w:val="00250A26"/>
    <w:rsid w:val="002568C1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015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1167"/>
    <w:rsid w:val="002954AD"/>
    <w:rsid w:val="00297D0C"/>
    <w:rsid w:val="002A141E"/>
    <w:rsid w:val="002A1F1F"/>
    <w:rsid w:val="002A23AC"/>
    <w:rsid w:val="002A2C24"/>
    <w:rsid w:val="002A5A68"/>
    <w:rsid w:val="002A5CCA"/>
    <w:rsid w:val="002A731B"/>
    <w:rsid w:val="002A7D84"/>
    <w:rsid w:val="002B25C2"/>
    <w:rsid w:val="002C28E6"/>
    <w:rsid w:val="002C304E"/>
    <w:rsid w:val="002C65B7"/>
    <w:rsid w:val="002C6612"/>
    <w:rsid w:val="002C682D"/>
    <w:rsid w:val="002C6CAC"/>
    <w:rsid w:val="002C78EE"/>
    <w:rsid w:val="002D02C1"/>
    <w:rsid w:val="002D28DE"/>
    <w:rsid w:val="002D31E7"/>
    <w:rsid w:val="002D4419"/>
    <w:rsid w:val="002E1700"/>
    <w:rsid w:val="002E1992"/>
    <w:rsid w:val="002E349A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2411"/>
    <w:rsid w:val="002F3B63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41A3"/>
    <w:rsid w:val="003051E1"/>
    <w:rsid w:val="00311828"/>
    <w:rsid w:val="00311AB8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2FD7"/>
    <w:rsid w:val="00343407"/>
    <w:rsid w:val="00343B74"/>
    <w:rsid w:val="00343F6C"/>
    <w:rsid w:val="00347839"/>
    <w:rsid w:val="0035450A"/>
    <w:rsid w:val="00354911"/>
    <w:rsid w:val="00355616"/>
    <w:rsid w:val="00360417"/>
    <w:rsid w:val="0036207E"/>
    <w:rsid w:val="00362F6D"/>
    <w:rsid w:val="00364283"/>
    <w:rsid w:val="00365449"/>
    <w:rsid w:val="00366CAA"/>
    <w:rsid w:val="003677D6"/>
    <w:rsid w:val="00367CF6"/>
    <w:rsid w:val="0037002F"/>
    <w:rsid w:val="00371EED"/>
    <w:rsid w:val="00372ED5"/>
    <w:rsid w:val="003733FE"/>
    <w:rsid w:val="00376D5A"/>
    <w:rsid w:val="00377260"/>
    <w:rsid w:val="00377A28"/>
    <w:rsid w:val="00380218"/>
    <w:rsid w:val="00381BB1"/>
    <w:rsid w:val="0038264B"/>
    <w:rsid w:val="00383D46"/>
    <w:rsid w:val="00386C2D"/>
    <w:rsid w:val="003902F7"/>
    <w:rsid w:val="00393FA3"/>
    <w:rsid w:val="003940A0"/>
    <w:rsid w:val="00394A35"/>
    <w:rsid w:val="00395116"/>
    <w:rsid w:val="003970F3"/>
    <w:rsid w:val="003A1514"/>
    <w:rsid w:val="003A2724"/>
    <w:rsid w:val="003A2987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4DBD"/>
    <w:rsid w:val="003D5B06"/>
    <w:rsid w:val="003D6F1D"/>
    <w:rsid w:val="003D7A65"/>
    <w:rsid w:val="003E1C94"/>
    <w:rsid w:val="003E2DA2"/>
    <w:rsid w:val="003E2E82"/>
    <w:rsid w:val="003E3003"/>
    <w:rsid w:val="003E42B4"/>
    <w:rsid w:val="003E447F"/>
    <w:rsid w:val="003F0269"/>
    <w:rsid w:val="003F08AE"/>
    <w:rsid w:val="003F1D1E"/>
    <w:rsid w:val="003F5D67"/>
    <w:rsid w:val="003F60B5"/>
    <w:rsid w:val="003F65F6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78B"/>
    <w:rsid w:val="00424351"/>
    <w:rsid w:val="00424663"/>
    <w:rsid w:val="00425B09"/>
    <w:rsid w:val="00432612"/>
    <w:rsid w:val="004349E6"/>
    <w:rsid w:val="00436608"/>
    <w:rsid w:val="00437F0F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B2327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235F"/>
    <w:rsid w:val="004F2756"/>
    <w:rsid w:val="004F3024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00A8"/>
    <w:rsid w:val="0055145A"/>
    <w:rsid w:val="005539DD"/>
    <w:rsid w:val="00555CA7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93"/>
    <w:rsid w:val="0059138D"/>
    <w:rsid w:val="00591710"/>
    <w:rsid w:val="005925DE"/>
    <w:rsid w:val="005931B7"/>
    <w:rsid w:val="0059526C"/>
    <w:rsid w:val="005A1809"/>
    <w:rsid w:val="005A32D7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626"/>
    <w:rsid w:val="005B7205"/>
    <w:rsid w:val="005C1926"/>
    <w:rsid w:val="005C2394"/>
    <w:rsid w:val="005C2775"/>
    <w:rsid w:val="005C33CC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6A0"/>
    <w:rsid w:val="0061798E"/>
    <w:rsid w:val="006206EE"/>
    <w:rsid w:val="00626AD8"/>
    <w:rsid w:val="00626ED8"/>
    <w:rsid w:val="00630081"/>
    <w:rsid w:val="0063331F"/>
    <w:rsid w:val="00633427"/>
    <w:rsid w:val="006335F8"/>
    <w:rsid w:val="006343E5"/>
    <w:rsid w:val="00635C71"/>
    <w:rsid w:val="0063663D"/>
    <w:rsid w:val="006374E4"/>
    <w:rsid w:val="0064050B"/>
    <w:rsid w:val="006405CD"/>
    <w:rsid w:val="00641543"/>
    <w:rsid w:val="00643E5A"/>
    <w:rsid w:val="00644964"/>
    <w:rsid w:val="00644A55"/>
    <w:rsid w:val="00644B3C"/>
    <w:rsid w:val="00644D99"/>
    <w:rsid w:val="00646BC0"/>
    <w:rsid w:val="006475A6"/>
    <w:rsid w:val="00647CCD"/>
    <w:rsid w:val="00651340"/>
    <w:rsid w:val="00653141"/>
    <w:rsid w:val="006535FC"/>
    <w:rsid w:val="006543E5"/>
    <w:rsid w:val="00656CDD"/>
    <w:rsid w:val="0066093A"/>
    <w:rsid w:val="00660AE4"/>
    <w:rsid w:val="006620A5"/>
    <w:rsid w:val="0066227D"/>
    <w:rsid w:val="006665EE"/>
    <w:rsid w:val="00670AC2"/>
    <w:rsid w:val="0067293E"/>
    <w:rsid w:val="0067302A"/>
    <w:rsid w:val="006730F0"/>
    <w:rsid w:val="00673807"/>
    <w:rsid w:val="0067451A"/>
    <w:rsid w:val="00675635"/>
    <w:rsid w:val="0067778F"/>
    <w:rsid w:val="00677B62"/>
    <w:rsid w:val="00677C46"/>
    <w:rsid w:val="006807E4"/>
    <w:rsid w:val="00680BD5"/>
    <w:rsid w:val="00681F7F"/>
    <w:rsid w:val="00682093"/>
    <w:rsid w:val="006820DF"/>
    <w:rsid w:val="0068322E"/>
    <w:rsid w:val="00684E7E"/>
    <w:rsid w:val="00687A1D"/>
    <w:rsid w:val="00690D93"/>
    <w:rsid w:val="00690E92"/>
    <w:rsid w:val="006916CB"/>
    <w:rsid w:val="00692599"/>
    <w:rsid w:val="00693941"/>
    <w:rsid w:val="00695D8D"/>
    <w:rsid w:val="00696C9B"/>
    <w:rsid w:val="00697676"/>
    <w:rsid w:val="00697DBB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3406"/>
    <w:rsid w:val="006B4B9C"/>
    <w:rsid w:val="006C1442"/>
    <w:rsid w:val="006C2106"/>
    <w:rsid w:val="006C26D0"/>
    <w:rsid w:val="006C3AFE"/>
    <w:rsid w:val="006C4F6C"/>
    <w:rsid w:val="006C744E"/>
    <w:rsid w:val="006C7B06"/>
    <w:rsid w:val="006D0574"/>
    <w:rsid w:val="006D1DC2"/>
    <w:rsid w:val="006D1F0B"/>
    <w:rsid w:val="006D20F7"/>
    <w:rsid w:val="006D630E"/>
    <w:rsid w:val="006D6D2E"/>
    <w:rsid w:val="006E0321"/>
    <w:rsid w:val="006E3D20"/>
    <w:rsid w:val="006E3FF9"/>
    <w:rsid w:val="006E44A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12FF"/>
    <w:rsid w:val="0072209D"/>
    <w:rsid w:val="0072302B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9BC"/>
    <w:rsid w:val="00752C78"/>
    <w:rsid w:val="00754CAF"/>
    <w:rsid w:val="00755235"/>
    <w:rsid w:val="00755893"/>
    <w:rsid w:val="00763300"/>
    <w:rsid w:val="0076706F"/>
    <w:rsid w:val="007674C8"/>
    <w:rsid w:val="00767D12"/>
    <w:rsid w:val="007701F3"/>
    <w:rsid w:val="00770BB9"/>
    <w:rsid w:val="00770DE5"/>
    <w:rsid w:val="007740B4"/>
    <w:rsid w:val="0077583D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070F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E89"/>
    <w:rsid w:val="007D5B82"/>
    <w:rsid w:val="007D6D11"/>
    <w:rsid w:val="007D70BC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3790"/>
    <w:rsid w:val="008041F2"/>
    <w:rsid w:val="008048CB"/>
    <w:rsid w:val="00807CF2"/>
    <w:rsid w:val="00811CA2"/>
    <w:rsid w:val="008158A6"/>
    <w:rsid w:val="008169D1"/>
    <w:rsid w:val="00817116"/>
    <w:rsid w:val="008205D7"/>
    <w:rsid w:val="00820CBB"/>
    <w:rsid w:val="00820F90"/>
    <w:rsid w:val="00824BAE"/>
    <w:rsid w:val="008275ED"/>
    <w:rsid w:val="00827A73"/>
    <w:rsid w:val="00832BBA"/>
    <w:rsid w:val="00833F9F"/>
    <w:rsid w:val="008371DC"/>
    <w:rsid w:val="008411E1"/>
    <w:rsid w:val="00844DC5"/>
    <w:rsid w:val="00845149"/>
    <w:rsid w:val="00846C7C"/>
    <w:rsid w:val="00847355"/>
    <w:rsid w:val="008508E7"/>
    <w:rsid w:val="00851B64"/>
    <w:rsid w:val="00857817"/>
    <w:rsid w:val="008605D3"/>
    <w:rsid w:val="0086259E"/>
    <w:rsid w:val="00863B43"/>
    <w:rsid w:val="00864C01"/>
    <w:rsid w:val="008708EB"/>
    <w:rsid w:val="00872EB6"/>
    <w:rsid w:val="00874ECE"/>
    <w:rsid w:val="008837A0"/>
    <w:rsid w:val="00886CBC"/>
    <w:rsid w:val="00887535"/>
    <w:rsid w:val="00890EA6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7DE4"/>
    <w:rsid w:val="008C340F"/>
    <w:rsid w:val="008C40A2"/>
    <w:rsid w:val="008C48A7"/>
    <w:rsid w:val="008C4B4B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49F"/>
    <w:rsid w:val="008E4A83"/>
    <w:rsid w:val="008E54DB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58E3"/>
    <w:rsid w:val="00926429"/>
    <w:rsid w:val="009264E0"/>
    <w:rsid w:val="0092765F"/>
    <w:rsid w:val="00927F09"/>
    <w:rsid w:val="009309C6"/>
    <w:rsid w:val="0093468D"/>
    <w:rsid w:val="00934E3F"/>
    <w:rsid w:val="00936A4F"/>
    <w:rsid w:val="00937573"/>
    <w:rsid w:val="009403FE"/>
    <w:rsid w:val="009459A9"/>
    <w:rsid w:val="00945F6B"/>
    <w:rsid w:val="00947305"/>
    <w:rsid w:val="00951266"/>
    <w:rsid w:val="00953C5D"/>
    <w:rsid w:val="00954888"/>
    <w:rsid w:val="009556C2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0D5E"/>
    <w:rsid w:val="00981994"/>
    <w:rsid w:val="00983CC6"/>
    <w:rsid w:val="00983F30"/>
    <w:rsid w:val="009851B8"/>
    <w:rsid w:val="00985F7D"/>
    <w:rsid w:val="00990540"/>
    <w:rsid w:val="009910DE"/>
    <w:rsid w:val="0099576A"/>
    <w:rsid w:val="009A00CB"/>
    <w:rsid w:val="009A0647"/>
    <w:rsid w:val="009A2F37"/>
    <w:rsid w:val="009A3622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69CA"/>
    <w:rsid w:val="009F0157"/>
    <w:rsid w:val="009F0521"/>
    <w:rsid w:val="009F4793"/>
    <w:rsid w:val="009F7640"/>
    <w:rsid w:val="00A015E1"/>
    <w:rsid w:val="00A02204"/>
    <w:rsid w:val="00A0289C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0366"/>
    <w:rsid w:val="00A52564"/>
    <w:rsid w:val="00A52657"/>
    <w:rsid w:val="00A52ED6"/>
    <w:rsid w:val="00A53E30"/>
    <w:rsid w:val="00A55E6F"/>
    <w:rsid w:val="00A56588"/>
    <w:rsid w:val="00A5777C"/>
    <w:rsid w:val="00A57C97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76D"/>
    <w:rsid w:val="00AA2E09"/>
    <w:rsid w:val="00AA2E7A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BFB"/>
    <w:rsid w:val="00AB2FD0"/>
    <w:rsid w:val="00AB3B45"/>
    <w:rsid w:val="00AB5CD5"/>
    <w:rsid w:val="00AB70E9"/>
    <w:rsid w:val="00AC2D2E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069"/>
    <w:rsid w:val="00AF0171"/>
    <w:rsid w:val="00AF0B6B"/>
    <w:rsid w:val="00AF381C"/>
    <w:rsid w:val="00AF3A98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2619E"/>
    <w:rsid w:val="00B278E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7DA"/>
    <w:rsid w:val="00B90DFC"/>
    <w:rsid w:val="00B9131D"/>
    <w:rsid w:val="00B953D1"/>
    <w:rsid w:val="00BA0A77"/>
    <w:rsid w:val="00BA1CD5"/>
    <w:rsid w:val="00BA314A"/>
    <w:rsid w:val="00BA3880"/>
    <w:rsid w:val="00BA792D"/>
    <w:rsid w:val="00BB1E78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578D"/>
    <w:rsid w:val="00BF6E11"/>
    <w:rsid w:val="00BF7BB3"/>
    <w:rsid w:val="00C0139D"/>
    <w:rsid w:val="00C03B30"/>
    <w:rsid w:val="00C0460D"/>
    <w:rsid w:val="00C0505B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30"/>
    <w:rsid w:val="00C327B5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7A5"/>
    <w:rsid w:val="00C70983"/>
    <w:rsid w:val="00C71307"/>
    <w:rsid w:val="00C71F5C"/>
    <w:rsid w:val="00C71FA8"/>
    <w:rsid w:val="00C7481A"/>
    <w:rsid w:val="00C75526"/>
    <w:rsid w:val="00C75CA5"/>
    <w:rsid w:val="00C7766B"/>
    <w:rsid w:val="00C77C3B"/>
    <w:rsid w:val="00C80A9A"/>
    <w:rsid w:val="00C81918"/>
    <w:rsid w:val="00C843FC"/>
    <w:rsid w:val="00C85BA4"/>
    <w:rsid w:val="00C867D9"/>
    <w:rsid w:val="00C86AA8"/>
    <w:rsid w:val="00C925FB"/>
    <w:rsid w:val="00C926EC"/>
    <w:rsid w:val="00C9278D"/>
    <w:rsid w:val="00C937DC"/>
    <w:rsid w:val="00C94487"/>
    <w:rsid w:val="00C96061"/>
    <w:rsid w:val="00C97570"/>
    <w:rsid w:val="00CA028F"/>
    <w:rsid w:val="00CA3257"/>
    <w:rsid w:val="00CA453E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0F79"/>
    <w:rsid w:val="00D1371E"/>
    <w:rsid w:val="00D14D16"/>
    <w:rsid w:val="00D2086D"/>
    <w:rsid w:val="00D212B1"/>
    <w:rsid w:val="00D22F7E"/>
    <w:rsid w:val="00D23997"/>
    <w:rsid w:val="00D24E46"/>
    <w:rsid w:val="00D25CD5"/>
    <w:rsid w:val="00D26009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535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3C1B"/>
    <w:rsid w:val="00DC6253"/>
    <w:rsid w:val="00DC74C0"/>
    <w:rsid w:val="00DD0A71"/>
    <w:rsid w:val="00DD251F"/>
    <w:rsid w:val="00DD4736"/>
    <w:rsid w:val="00DD4FFA"/>
    <w:rsid w:val="00DE3EDA"/>
    <w:rsid w:val="00DE4B04"/>
    <w:rsid w:val="00DE6314"/>
    <w:rsid w:val="00DE6578"/>
    <w:rsid w:val="00DE792A"/>
    <w:rsid w:val="00DF22E8"/>
    <w:rsid w:val="00DF2D75"/>
    <w:rsid w:val="00DF4327"/>
    <w:rsid w:val="00DF4820"/>
    <w:rsid w:val="00DF4D9A"/>
    <w:rsid w:val="00DF5643"/>
    <w:rsid w:val="00DF5B71"/>
    <w:rsid w:val="00E00E3B"/>
    <w:rsid w:val="00E00FF4"/>
    <w:rsid w:val="00E01572"/>
    <w:rsid w:val="00E05B36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8A5"/>
    <w:rsid w:val="00E47881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B98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D05AB"/>
    <w:rsid w:val="00ED0929"/>
    <w:rsid w:val="00ED2887"/>
    <w:rsid w:val="00ED4C31"/>
    <w:rsid w:val="00ED6EAF"/>
    <w:rsid w:val="00ED749F"/>
    <w:rsid w:val="00ED7883"/>
    <w:rsid w:val="00EE08AF"/>
    <w:rsid w:val="00EE1A14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CBA"/>
    <w:rsid w:val="00F26143"/>
    <w:rsid w:val="00F272D3"/>
    <w:rsid w:val="00F27419"/>
    <w:rsid w:val="00F30116"/>
    <w:rsid w:val="00F30800"/>
    <w:rsid w:val="00F36C7A"/>
    <w:rsid w:val="00F3728F"/>
    <w:rsid w:val="00F4098D"/>
    <w:rsid w:val="00F41B27"/>
    <w:rsid w:val="00F432AD"/>
    <w:rsid w:val="00F43BB8"/>
    <w:rsid w:val="00F44B5C"/>
    <w:rsid w:val="00F45D1F"/>
    <w:rsid w:val="00F52BEC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1E8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4E2"/>
    <w:rsid w:val="00F85F91"/>
    <w:rsid w:val="00F92123"/>
    <w:rsid w:val="00F933E0"/>
    <w:rsid w:val="00F949C5"/>
    <w:rsid w:val="00F96C73"/>
    <w:rsid w:val="00FA650C"/>
    <w:rsid w:val="00FA671E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1DD"/>
    <w:rsid w:val="00FB5422"/>
    <w:rsid w:val="00FB6AB5"/>
    <w:rsid w:val="00FB790D"/>
    <w:rsid w:val="00FC27B2"/>
    <w:rsid w:val="00FC2E88"/>
    <w:rsid w:val="00FC36DA"/>
    <w:rsid w:val="00FC4E5C"/>
    <w:rsid w:val="00FD00BD"/>
    <w:rsid w:val="00FD0681"/>
    <w:rsid w:val="00FD15C1"/>
    <w:rsid w:val="00FD1E9C"/>
    <w:rsid w:val="00FD1F49"/>
    <w:rsid w:val="00FD57EE"/>
    <w:rsid w:val="00FD5C78"/>
    <w:rsid w:val="00FD7578"/>
    <w:rsid w:val="00FE269F"/>
    <w:rsid w:val="00FE5F5C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6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9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10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7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8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11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12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13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14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15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16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17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18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19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20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21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22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23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4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24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5</b:RefOrder>
  </b:Source>
  <b:Source>
    <b:Tag>OGC073</b:Tag>
    <b:SourceType>Book</b:SourceType>
    <b:Guid>{127FE973-B66A-40A2-B444-066EE7D2C88A}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25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26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2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3</b:RefOrder>
  </b:Source>
</b:Sources>
</file>

<file path=customXml/itemProps1.xml><?xml version="1.0" encoding="utf-8"?>
<ds:datastoreItem xmlns:ds="http://schemas.openxmlformats.org/officeDocument/2006/customXml" ds:itemID="{E63E5671-D43E-47B8-AE3D-61D621DB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62</Pages>
  <Words>12331</Words>
  <Characters>73988</Characters>
  <Application>Microsoft Office Word</Application>
  <DocSecurity>0</DocSecurity>
  <Lines>616</Lines>
  <Paragraphs>172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71</cp:revision>
  <cp:lastPrinted>2011-07-27T06:08:00Z</cp:lastPrinted>
  <dcterms:created xsi:type="dcterms:W3CDTF">2011-07-27T07:03:00Z</dcterms:created>
  <dcterms:modified xsi:type="dcterms:W3CDTF">2011-07-28T16:43:00Z</dcterms:modified>
</cp:coreProperties>
</file>