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F6B82"/>
          <w:spacing w:val="60"/>
          <w:sz w:val="22"/>
          <w:szCs w:val="22"/>
        </w:rPr>
        <w:t xml:space="preserve">BLUU ENERGY ACADEMY</w:t>
      </w:r>
    </w:p>
    <w:p>
      <w:pPr>
        <w:pBdr>
          <w:bottom w:val="single" w:color="BEC60E" w:sz="18" w:space="6"/>
        </w:pBdr>
        <w:spacing w:after="60"/>
      </w:pPr>
      <w:r>
        <w:rPr>
          <w:b/>
          <w:bCs/>
          <w:color w:val="243A4C"/>
          <w:sz w:val="40"/>
          <w:szCs w:val="40"/>
        </w:rPr>
        <w:t xml:space="preserve">Modul 1.1.1 | 1x1 der Energiewirtschaft</w:t>
      </w:r>
    </w:p>
    <w:p>
      <w:pPr>
        <w:spacing w:after="240" w:before="100"/>
      </w:pPr>
      <w:r>
        <w:rPr>
          <w:i/>
          <w:iCs/>
          <w:color w:val="4F6B82"/>
          <w:sz w:val="24"/>
          <w:szCs w:val="24"/>
        </w:rPr>
        <w:t xml:space="preserve">Lernskript für die Lernplattform | Zum Lesen und Nachschlagen</w:t>
      </w:r>
    </w:p>
    <w:p>
      <w:pPr>
        <w:pStyle w:val="Heading1"/>
        <w:keepNext/>
        <w:pBdr>
          <w:bottom w:val="single" w:color="BEC60E" w:sz="12" w:space="4"/>
        </w:pBdr>
        <w:spacing w:after="160" w:before="360"/>
      </w:pPr>
      <w:r>
        <w:rPr>
          <w:b/>
          <w:bCs/>
          <w:color w:val="243A4C"/>
          <w:sz w:val="30"/>
          <w:szCs w:val="30"/>
        </w:rPr>
        <w:t xml:space="preserve">So nutzt Du dieses Lernskript</w:t>
      </w:r>
    </w:p>
    <w:p>
      <w:pPr>
        <w:spacing w:after="100" w:before="0" w:line="276"/>
      </w:pPr>
      <w:r>
        <w:rPr>
          <w:sz w:val="21"/>
          <w:szCs w:val="21"/>
        </w:rPr>
        <w:t xml:space="preserve">Das Lernskript erklärt das Modul in Ruhe zum Nachlesen – für alle, die die Präsentation nicht gehört haben, und zum Wiederholen. Jeder Abschnitt gehört zu einem Untermodul und endet mit einem kurzen „Kurz gesagt“. Danach geht es in die Übungen und zu den Lernkarten mit dem Glühwürmchen.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938"/>
      </w:tblGrid>
      <w:tr>
        <w:trPr>
          <w:cantSplit/>
          <w:tblHeader/>
        </w:trPr>
        <w:tc>
          <w:tcPr>
            <w:tcW w:type="dxa" w:w="5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Untermodul</w:t>
            </w:r>
          </w:p>
        </w:tc>
        <w:tc>
          <w:tcPr>
            <w:tcW w:type="dxa" w:w="15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Lesezeit</w:t>
            </w:r>
          </w:p>
        </w:tc>
        <w:tc>
          <w:tcPr>
            <w:tcW w:type="dxa" w:w="29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Danach</w:t>
            </w:r>
          </w:p>
        </w:tc>
      </w:tr>
      <w:tr>
        <w:trPr>
          <w:cantSplit/>
        </w:trPr>
        <w:tc>
          <w:tcPr>
            <w:tcW w:type="dxa" w:w="52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A</w:t>
            </w:r>
            <w:r>
              <w:rPr>
                <w:sz w:val="19"/>
                <w:szCs w:val="19"/>
              </w:rPr>
              <w:t xml:space="preserve">  Der Weg des Stroms</w:t>
            </w:r>
          </w:p>
        </w:tc>
        <w:tc>
          <w:tcPr>
            <w:tcW w:type="dxa" w:w="1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ca. 4 Min.</w:t>
            </w:r>
          </w:p>
        </w:tc>
        <w:tc>
          <w:tcPr>
            <w:tcW w:type="dxa" w:w="29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Übungen A · 7 Lernkarten</w:t>
            </w:r>
          </w:p>
        </w:tc>
      </w:tr>
      <w:tr>
        <w:trPr>
          <w:cantSplit/>
        </w:trPr>
        <w:tc>
          <w:tcPr>
            <w:tcW w:type="dxa" w:w="52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B</w:t>
            </w:r>
            <w:r>
              <w:rPr>
                <w:sz w:val="19"/>
                <w:szCs w:val="19"/>
              </w:rPr>
              <w:t xml:space="preserve">  Stromnetz und Spannungsebenen</w:t>
            </w:r>
          </w:p>
        </w:tc>
        <w:tc>
          <w:tcPr>
            <w:tcW w:type="dxa" w:w="1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ca. 4 Min.</w:t>
            </w:r>
          </w:p>
        </w:tc>
        <w:tc>
          <w:tcPr>
            <w:tcW w:type="dxa" w:w="29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Übungen B · 8 Lernkarten</w:t>
            </w:r>
          </w:p>
        </w:tc>
      </w:tr>
      <w:tr>
        <w:trPr>
          <w:cantSplit/>
        </w:trPr>
        <w:tc>
          <w:tcPr>
            <w:tcW w:type="dxa" w:w="52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Der Weg des Gases</w:t>
            </w:r>
          </w:p>
        </w:tc>
        <w:tc>
          <w:tcPr>
            <w:tcW w:type="dxa" w:w="1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ca. 5 Min.</w:t>
            </w:r>
          </w:p>
        </w:tc>
        <w:tc>
          <w:tcPr>
            <w:tcW w:type="dxa" w:w="29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Übungen C · 9 Lernkarten</w:t>
            </w:r>
          </w:p>
        </w:tc>
      </w:tr>
      <w:tr>
        <w:trPr>
          <w:cantSplit/>
        </w:trPr>
        <w:tc>
          <w:tcPr>
            <w:tcW w:type="dxa" w:w="52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D</w:t>
            </w:r>
            <w:r>
              <w:rPr>
                <w:sz w:val="19"/>
                <w:szCs w:val="19"/>
              </w:rPr>
              <w:t xml:space="preserve">  Primär-, End- und Nutzenergie</w:t>
            </w:r>
          </w:p>
        </w:tc>
        <w:tc>
          <w:tcPr>
            <w:tcW w:type="dxa" w:w="1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ca. 4 Min.</w:t>
            </w:r>
          </w:p>
        </w:tc>
        <w:tc>
          <w:tcPr>
            <w:tcW w:type="dxa" w:w="29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Übungen D · 7 Lernkarten</w:t>
            </w:r>
          </w:p>
        </w:tc>
      </w:tr>
      <w:tr>
        <w:trPr>
          <w:cantSplit/>
        </w:trPr>
        <w:tc>
          <w:tcPr>
            <w:tcW w:type="dxa" w:w="52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E</w:t>
            </w:r>
            <w:r>
              <w:rPr>
                <w:sz w:val="19"/>
                <w:szCs w:val="19"/>
              </w:rPr>
              <w:t xml:space="preserve">  Energiequellen und Energiemix</w:t>
            </w:r>
          </w:p>
        </w:tc>
        <w:tc>
          <w:tcPr>
            <w:tcW w:type="dxa" w:w="1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ca. 5 Min.</w:t>
            </w:r>
          </w:p>
        </w:tc>
        <w:tc>
          <w:tcPr>
            <w:tcW w:type="dxa" w:w="29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Übungen E · 8 Lernkarten</w:t>
            </w:r>
          </w:p>
        </w:tc>
      </w:tr>
      <w:tr>
        <w:trPr>
          <w:cantSplit/>
        </w:trPr>
        <w:tc>
          <w:tcPr>
            <w:tcW w:type="dxa" w:w="52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F</w:t>
            </w:r>
            <w:r>
              <w:rPr>
                <w:sz w:val="19"/>
                <w:szCs w:val="19"/>
              </w:rPr>
              <w:t xml:space="preserve">  Energiedaten und EDM</w:t>
            </w:r>
          </w:p>
        </w:tc>
        <w:tc>
          <w:tcPr>
            <w:tcW w:type="dxa" w:w="1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ca. 4 Min.</w:t>
            </w:r>
          </w:p>
        </w:tc>
        <w:tc>
          <w:tcPr>
            <w:tcW w:type="dxa" w:w="29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Übungen F · 7 Lernkarten</w:t>
            </w:r>
          </w:p>
        </w:tc>
      </w:tr>
      <w:tr>
        <w:trPr>
          <w:cantSplit/>
        </w:trPr>
        <w:tc>
          <w:tcPr>
            <w:tcW w:type="dxa" w:w="52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w:t>
            </w:r>
            <w:r>
              <w:rPr>
                <w:sz w:val="19"/>
                <w:szCs w:val="19"/>
              </w:rPr>
              <w:t xml:space="preserve">  Leistung, Energie und Einheiten</w:t>
            </w:r>
          </w:p>
        </w:tc>
        <w:tc>
          <w:tcPr>
            <w:tcW w:type="dxa" w:w="1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ca. 4 Min.</w:t>
            </w:r>
          </w:p>
        </w:tc>
        <w:tc>
          <w:tcPr>
            <w:tcW w:type="dxa" w:w="29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Übungen G · 9 Lernkarten</w:t>
            </w:r>
          </w:p>
        </w:tc>
      </w:tr>
      <w:tr>
        <w:trPr>
          <w:cantSplit/>
        </w:trPr>
        <w:tc>
          <w:tcPr>
            <w:tcW w:type="dxa" w:w="52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H</w:t>
            </w:r>
            <w:r>
              <w:rPr>
                <w:sz w:val="19"/>
                <w:szCs w:val="19"/>
              </w:rPr>
              <w:t xml:space="preserve">  Gas: vom Kubikmeter zur Kilowattstunde</w:t>
            </w:r>
          </w:p>
        </w:tc>
        <w:tc>
          <w:tcPr>
            <w:tcW w:type="dxa" w:w="1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ca. 4 Min.</w:t>
            </w:r>
          </w:p>
        </w:tc>
        <w:tc>
          <w:tcPr>
            <w:tcW w:type="dxa" w:w="29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Übungen H · 8 Lernkarten</w:t>
            </w:r>
          </w:p>
        </w:tc>
      </w:tr>
      <w:tr>
        <w:trPr>
          <w:cantSplit/>
        </w:trPr>
        <w:tc>
          <w:tcPr>
            <w:tcW w:type="dxa" w:w="52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I</w:t>
            </w:r>
            <w:r>
              <w:rPr>
                <w:sz w:val="19"/>
                <w:szCs w:val="19"/>
              </w:rPr>
              <w:t xml:space="preserve">  Praxisfall: Die Energierechnung lesen</w:t>
            </w:r>
          </w:p>
        </w:tc>
        <w:tc>
          <w:tcPr>
            <w:tcW w:type="dxa" w:w="1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ca. 5 Min.</w:t>
            </w:r>
          </w:p>
        </w:tc>
        <w:tc>
          <w:tcPr>
            <w:tcW w:type="dxa" w:w="29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Übungen I · 7 Lernkarten</w:t>
            </w:r>
          </w:p>
        </w:tc>
      </w:tr>
    </w:tbl>
    <w:p>
      <w:pPr>
        <w:pStyle w:val="Heading1"/>
        <w:keepNext/>
        <w:pageBreakBefore/>
        <w:pBdr>
          <w:bottom w:val="single" w:color="BEC60E" w:sz="12" w:space="4"/>
        </w:pBdr>
        <w:spacing w:after="160" w:before="0"/>
      </w:pPr>
      <w:r>
        <w:rPr>
          <w:b/>
          <w:bCs/>
          <w:color w:val="243A4C"/>
          <w:sz w:val="30"/>
          <w:szCs w:val="30"/>
        </w:rPr>
        <w:t xml:space="preserve">A  Der Weg des Stroms</w:t>
      </w:r>
    </w:p>
    <w:p>
      <w:pPr>
        <w:spacing w:after="100" w:before="0" w:line="276"/>
      </w:pPr>
      <w:r>
        <w:rPr>
          <w:i/>
          <w:iCs/>
          <w:color w:val="34495E"/>
          <w:sz w:val="21"/>
          <w:szCs w:val="21"/>
        </w:rPr>
        <w:t xml:space="preserve">Strom kommt aus der Steckdose – aber woher kommt er vorher? In diesem Abschnitt verfolgst Du den Weg des Stroms von der Erzeugung bis zum Verbrauch.</w:t>
      </w:r>
    </w:p>
    <w:p>
      <w:pPr>
        <w:spacing w:after="100" w:before="0" w:line="276"/>
      </w:pPr>
      <w:r>
        <w:rPr>
          <w:sz w:val="21"/>
          <w:szCs w:val="21"/>
        </w:rPr>
        <w:t xml:space="preserve">Am Anfang steht die Erzeugung. Strom entsteht in Kraftwerken, in Windparks oder in Photovoltaikanlagen auf Dächern und Freiflächen. Am Ende steht der Verbrauch: Haushalte, Gewerbe und Industrie nutzen den Strom für Licht, Maschinen, Wärme oder Mobilität.</w:t>
      </w:r>
    </w:p>
    <w:p>
      <w:pPr>
        <w:spacing w:after="100" w:before="0" w:line="276"/>
      </w:pPr>
      <w:r>
        <w:rPr>
          <w:sz w:val="21"/>
          <w:szCs w:val="21"/>
        </w:rPr>
        <w:t xml:space="preserve">Dazwischen liegt das Stromnetz. Es ist nötig, weil Erzeugung und Verbrauch fast nie am selben Ort stattfinden: Der Windpark steht an der Küste oder auf dem Land, der Industriebetrieb im Gewerbegebiet, die Wohnung in der Stadt. Das Netz transportiert den Strom über weite Strecken, verteilt ihn in die Regionen und sorgt dafür, dass er gesteuert beim Verbraucher ankommt.</w:t>
      </w:r>
    </w:p>
    <w:p>
      <w:pPr>
        <w:spacing w:after="100" w:before="0" w:line="276"/>
      </w:pPr>
      <w:r>
        <w:rPr>
          <w:sz w:val="21"/>
          <w:szCs w:val="21"/>
        </w:rPr>
        <w:t xml:space="preserve">Für Deine künftige Arbeit ist diese Kette der rote Faden: Jede Rolle im Energiemarkt lässt sich einer Station zuordnen – oder sie verbindet die Stationen über Verträge und Daten. Das vertiefen die Module 1.1.2 und 1.1.3.</w:t>
      </w:r>
    </w:p>
    <w:p>
      <w:pPr>
        <w:spacing w:after="100" w:before="120" w:line="276"/>
      </w:pPr>
      <w:r>
        <w:rPr>
          <w:b/>
          <w:bCs/>
          <w:sz w:val="21"/>
          <w:szCs w:val="21"/>
        </w:rPr>
        <w:t xml:space="preserve">Beispiel:</w:t>
      </w:r>
      <w:r>
        <w:rPr>
          <w:sz w:val="21"/>
          <w:szCs w:val="21"/>
        </w:rPr>
        <w:t xml:space="preserve"> Ein Windpark speist Strom ins Netz ein. Über Übertragungs- und Verteilnetze gelangt er in eine Bäckerei, die damit ihre Öfen betreibt. Windpark und Bäckerei haben keinen direkten Draht zueinander – das Netz verbindet beide.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 Kurz gesagt</w:t>
            </w:r>
          </w:p>
          <w:p>
            <w:pPr>
              <w:spacing w:after="40" w:line="268"/>
            </w:pPr>
            <w:r>
              <w:rPr>
                <w:sz w:val="21"/>
                <w:szCs w:val="21"/>
              </w:rPr>
              <w:t xml:space="preserve">• Strom fließt von der Erzeugung über das Netz zum Verbrauch.</w:t>
            </w:r>
          </w:p>
          <w:p>
            <w:pPr>
              <w:spacing w:after="40" w:line="268"/>
            </w:pPr>
            <w:r>
              <w:rPr>
                <w:sz w:val="21"/>
                <w:szCs w:val="21"/>
              </w:rPr>
              <w:t xml:space="preserve">• Das Netz ist nötig, weil Erzeugung und Verbrauch räumlich getrennt sind.</w:t>
            </w:r>
          </w:p>
          <w:p>
            <w:pPr>
              <w:spacing w:after="40" w:line="268"/>
            </w:pPr>
            <w:r>
              <w:rPr>
                <w:sz w:val="21"/>
                <w:szCs w:val="21"/>
              </w:rPr>
              <w:t xml:space="preserve">• Das Netz transportiert, verteilt und steuert den Strom.</w:t>
            </w:r>
          </w:p>
        </w:tc>
      </w:tr>
    </w:tbl>
    <w:p>
      <w:pPr>
        <w:spacing w:after="100" w:before="100" w:line="276"/>
      </w:pPr>
      <w:r>
        <w:rPr>
          <w:color w:val="4F6B82"/>
          <w:sz w:val="19"/>
          <w:szCs w:val="19"/>
        </w:rPr>
        <w:t xml:space="preserve">Weiter geht es mit den Übungen A auf der Lernplattform und 7 Lernkarten – das Abzeichen „Stromläufer“ wartet.</w:t>
      </w:r>
    </w:p>
    <w:p>
      <w:pPr>
        <w:pStyle w:val="Heading1"/>
        <w:keepNext/>
        <w:pageBreakBefore/>
        <w:pBdr>
          <w:bottom w:val="single" w:color="BEC60E" w:sz="12" w:space="4"/>
        </w:pBdr>
        <w:spacing w:after="160" w:before="0"/>
      </w:pPr>
      <w:r>
        <w:rPr>
          <w:b/>
          <w:bCs/>
          <w:color w:val="243A4C"/>
          <w:sz w:val="30"/>
          <w:szCs w:val="30"/>
        </w:rPr>
        <w:t xml:space="preserve">B  Stromnetz und Spannungsebenen</w:t>
      </w:r>
    </w:p>
    <w:p>
      <w:pPr>
        <w:spacing w:after="100" w:before="0" w:line="276"/>
      </w:pPr>
      <w:r>
        <w:rPr>
          <w:i/>
          <w:iCs/>
          <w:color w:val="34495E"/>
          <w:sz w:val="21"/>
          <w:szCs w:val="21"/>
        </w:rPr>
        <w:t xml:space="preserve">Das Stromnetz ist nicht ein einziges Netz, sondern ein System aus vier Ebenen – vom Höchstspannungsnetz bis zur Steckdose.</w:t>
      </w:r>
    </w:p>
    <w:p>
      <w:pPr>
        <w:spacing w:after="100" w:before="0" w:line="276"/>
      </w:pPr>
      <w:r>
        <w:rPr>
          <w:sz w:val="21"/>
          <w:szCs w:val="21"/>
        </w:rPr>
        <w:t xml:space="preserve">Ganz oben liegt die Höchstspannung mit bis zu etwa 380 kV. Sie bildet das Übertragungsnetz, das Strom über weite Strecken transportiert und große Kraftwerke und Regionen verbindet. In Deutschland betreiben es vier Übertragungsnetzbetreiber; ihre Stromkreise sind zusammen rund 38.400 km lang (Bundesnetzagentur, Monitoringbericht 2025).</w:t>
      </w:r>
    </w:p>
    <w:p>
      <w:pPr>
        <w:spacing w:after="100" w:before="0" w:line="276"/>
      </w:pPr>
      <w:r>
        <w:rPr>
          <w:sz w:val="21"/>
          <w:szCs w:val="21"/>
        </w:rPr>
        <w:t xml:space="preserve">Darunter liegen die Verteilnetze: Die Hochspannung mit etwa 110 kV übernimmt die regionale Verteilung, die Mittelspannung mit etwa 10 bis 20 kV versorgt Industrie und größere Gewerbebetriebe, die Niederspannung mit 230/400 V Haushalte und kleine Betriebe. Verteilnetze betreiben sehr viele Unternehmen – am Monitoring 2025 der Bundesnetzagentur haben sich über 800 Verteilernetzbetreiber beteiligt, viele davon Stadtwerke oder ihre Netzgesellschaften.</w:t>
      </w:r>
    </w:p>
    <w:p>
      <w:pPr>
        <w:spacing w:after="100" w:before="0" w:line="276"/>
      </w:pPr>
      <w:r>
        <w:rPr>
          <w:sz w:val="21"/>
          <w:szCs w:val="21"/>
        </w:rPr>
        <w:t xml:space="preserve">Warum der Aufwand? Je höher die Spannung, desto geringer sind die Verluste beim Transport. Deshalb wird Strom auf langen Strecken mit hoher Spannung übertragen und erst nahe am Kunden in Umspannwerken schrittweise abgesenkt.</w:t>
      </w:r>
    </w:p>
    <w:p>
      <w:pPr>
        <w:spacing w:after="100" w:before="100" w:line="276"/>
      </w:pPr>
      <w:r>
        <w:rPr>
          <w:b/>
          <w:bCs/>
          <w:sz w:val="21"/>
          <w:szCs w:val="21"/>
        </w:rPr>
        <w:t xml:space="preserve">Die vier Spannungsebenen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34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Ebene</w:t>
            </w:r>
          </w:p>
        </w:tc>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Spannung</w:t>
            </w:r>
          </w:p>
        </w:tc>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Netz</w:t>
            </w:r>
          </w:p>
        </w:tc>
        <w:tc>
          <w:tcPr>
            <w:tcW w:type="dxa" w:w="34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Typisch für</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Höchstspannung</w:t>
            </w:r>
          </w:p>
        </w:tc>
        <w:tc>
          <w:tcPr>
            <w:tcW w:type="dxa" w:w="1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bis ca. 380 kV</w:t>
            </w:r>
          </w:p>
        </w:tc>
        <w:tc>
          <w:tcPr>
            <w:tcW w:type="dxa" w:w="1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Übertragungsnetz</w:t>
            </w:r>
          </w:p>
        </w:tc>
        <w:tc>
          <w:tcPr>
            <w:tcW w:type="dxa" w:w="34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Transport über weite Strecken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Hochspannung</w:t>
            </w:r>
          </w:p>
        </w:tc>
        <w:tc>
          <w:tcPr>
            <w:tcW w:type="dxa" w:w="1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ca. 110 kV</w:t>
            </w:r>
          </w:p>
        </w:tc>
        <w:tc>
          <w:tcPr>
            <w:tcW w:type="dxa" w:w="1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Verteilnetz</w:t>
            </w:r>
          </w:p>
        </w:tc>
        <w:tc>
          <w:tcPr>
            <w:tcW w:type="dxa" w:w="34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regionale Verteilung</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Mittelspannung</w:t>
            </w:r>
          </w:p>
        </w:tc>
        <w:tc>
          <w:tcPr>
            <w:tcW w:type="dxa" w:w="1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ca. 10–20 kV</w:t>
            </w:r>
          </w:p>
        </w:tc>
        <w:tc>
          <w:tcPr>
            <w:tcW w:type="dxa" w:w="1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Verteilnetz</w:t>
            </w:r>
          </w:p>
        </w:tc>
        <w:tc>
          <w:tcPr>
            <w:tcW w:type="dxa" w:w="34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Industrie, größere Gewerbebetriebe</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Niederspannung</w:t>
            </w:r>
          </w:p>
        </w:tc>
        <w:tc>
          <w:tcPr>
            <w:tcW w:type="dxa" w:w="1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230/400 V</w:t>
            </w:r>
          </w:p>
        </w:tc>
        <w:tc>
          <w:tcPr>
            <w:tcW w:type="dxa" w:w="1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Verteilnetz</w:t>
            </w:r>
          </w:p>
        </w:tc>
        <w:tc>
          <w:tcPr>
            <w:tcW w:type="dxa" w:w="34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Haushalte, kleine Betriebe</w:t>
            </w:r>
          </w:p>
        </w:tc>
      </w:tr>
    </w:tbl>
    <w:p>
      <w:pPr>
        <w:spacing w:after="100" w:before="120" w:line="276"/>
      </w:pPr>
      <w:r>
        <w:rPr>
          <w:b/>
          <w:bCs/>
          <w:sz w:val="21"/>
          <w:szCs w:val="21"/>
        </w:rPr>
        <w:t xml:space="preserve">Beispiel:</w:t>
      </w:r>
      <w:r>
        <w:rPr>
          <w:sz w:val="21"/>
          <w:szCs w:val="21"/>
        </w:rPr>
        <w:t xml:space="preserve"> Ein Haushalt hängt an der Niederspannung, ein größerer Industriebetrieb an der Mittelspannung, der Transport zwischen Regionen läuft über die Höchstspannung.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 Kurz gesagt</w:t>
            </w:r>
          </w:p>
          <w:p>
            <w:pPr>
              <w:spacing w:after="40" w:line="268"/>
            </w:pPr>
            <w:r>
              <w:rPr>
                <w:sz w:val="21"/>
                <w:szCs w:val="21"/>
              </w:rPr>
              <w:t xml:space="preserve">• Vier Spannungsebenen: Höchst-, Hoch-, Mittel- und Niederspannung.</w:t>
            </w:r>
          </w:p>
          <w:p>
            <w:pPr>
              <w:spacing w:after="40" w:line="268"/>
            </w:pPr>
            <w:r>
              <w:rPr>
                <w:sz w:val="21"/>
                <w:szCs w:val="21"/>
              </w:rPr>
              <w:t xml:space="preserve">• Nur die Höchstspannung ist Übertragungsnetz – alle anderen Ebenen sind Verteilnetze.</w:t>
            </w:r>
          </w:p>
          <w:p>
            <w:pPr>
              <w:spacing w:after="40" w:line="268"/>
            </w:pPr>
            <w:r>
              <w:rPr>
                <w:sz w:val="21"/>
                <w:szCs w:val="21"/>
              </w:rPr>
              <w:t xml:space="preserve">• Hohe Spannung bedeutet geringe Transportverluste.</w:t>
            </w:r>
          </w:p>
        </w:tc>
      </w:tr>
    </w:tbl>
    <w:p>
      <w:pPr>
        <w:spacing w:after="100" w:before="100" w:line="276"/>
      </w:pPr>
      <w:r>
        <w:rPr>
          <w:color w:val="4F6B82"/>
          <w:sz w:val="19"/>
          <w:szCs w:val="19"/>
        </w:rPr>
        <w:t xml:space="preserve">Weiter geht es mit den Übungen B auf der Lernplattform und 8 Lernkarten – das Abzeichen „Spannungsprofi“ wartet.</w:t>
      </w:r>
    </w:p>
    <w:p>
      <w:pPr>
        <w:pStyle w:val="Heading1"/>
        <w:keepNext/>
        <w:pageBreakBefore/>
        <w:pBdr>
          <w:bottom w:val="single" w:color="BEC60E" w:sz="12" w:space="4"/>
        </w:pBdr>
        <w:spacing w:after="160" w:before="0"/>
      </w:pPr>
      <w:r>
        <w:rPr>
          <w:b/>
          <w:bCs/>
          <w:color w:val="243A4C"/>
          <w:sz w:val="30"/>
          <w:szCs w:val="30"/>
        </w:rPr>
        <w:t xml:space="preserve">C  Der Weg des Gases</w:t>
      </w:r>
    </w:p>
    <w:p>
      <w:pPr>
        <w:spacing w:after="100" w:before="0" w:line="276"/>
      </w:pPr>
      <w:r>
        <w:rPr>
          <w:i/>
          <w:iCs/>
          <w:color w:val="34495E"/>
          <w:sz w:val="21"/>
          <w:szCs w:val="21"/>
        </w:rPr>
        <w:t xml:space="preserve">Auch Gas hat einen Weg zum Kunden – mit einigen Unterschieden zum Strom.</w:t>
      </w:r>
    </w:p>
    <w:p>
      <w:pPr>
        <w:spacing w:after="100" w:before="0" w:line="276"/>
      </w:pPr>
      <w:r>
        <w:rPr>
          <w:sz w:val="21"/>
          <w:szCs w:val="21"/>
        </w:rPr>
        <w:t xml:space="preserve">Deutschland deckt seinen Erdgasbedarf fast vollständig aus Importen: 2025 waren es rund 95 %, wichtigster Lieferant war Norwegen mit über 42 %. Ein Teil kommt als verflüssigtes Erdgas (LNG) per Schiff; Ende 2025 waren an den Standorten Wilhelmshaven, Brunsbüttel und Mukran vier LNG-Terminals in Betrieb. Die heimische Förderung deckt nur noch knapp 5 % (AG Energiebilanzen, vorläufige Werte).</w:t>
      </w:r>
    </w:p>
    <w:p>
      <w:pPr>
        <w:spacing w:after="100" w:before="0" w:line="276"/>
      </w:pPr>
      <w:r>
        <w:rPr>
          <w:sz w:val="21"/>
          <w:szCs w:val="21"/>
        </w:rPr>
        <w:t xml:space="preserve">Nach dem Import übernehmen die Fernleitungsnetzbetreiber. Sie transportieren das Gas unter hohem Druck über weite Strecken; Verdichterstationen halten den Druck. Das Fernleitungsnetz ist das Gegenstück zum Übertragungsnetz beim Strom und umfasst rund 45.800 km. Die Verteilernetzbetreiber bringen das Gas anschließend in die Regionen und bis zum Hausanschluss – dabei wird der Druck stufenweise abgesenkt. Die Verteilernetze sind zusammen gut 557.000 km lang, einschließlich der Hausanschlussleitungen (Bundesnetzagentur, Stand Ende 2023).</w:t>
      </w:r>
    </w:p>
    <w:p>
      <w:pPr>
        <w:spacing w:after="100" w:before="0" w:line="276"/>
      </w:pPr>
      <w:r>
        <w:rPr>
          <w:sz w:val="21"/>
          <w:szCs w:val="21"/>
        </w:rPr>
        <w:t xml:space="preserve">Ein großer Unterschied zum Strom: Gas lässt sich in großen Mengen speichern. Untergrundspeicher nehmen im Sommer Gas auf und geben es im Winter ab, wenn viel geheizt wird. Strom lässt sich dagegen nur sehr begrenzt speichern.</w:t>
      </w:r>
    </w:p>
    <w:p>
      <w:pPr>
        <w:spacing w:after="100" w:before="100" w:line="276"/>
      </w:pPr>
      <w:r>
        <w:rPr>
          <w:b/>
          <w:bCs/>
          <w:sz w:val="21"/>
          <w:szCs w:val="21"/>
        </w:rPr>
        <w:t xml:space="preserve">Strom und Gas im Vergleich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19"/>
        <w:gridCol w:w="3019"/>
      </w:tblGrid>
      <w:tr>
        <w:trPr>
          <w:cantSplit/>
          <w:tblHeader/>
        </w:trPr>
        <w:tc>
          <w:tcPr>
            <w:tcW w:type="dxa" w:w="3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Merkmal</w:t>
            </w:r>
          </w:p>
        </w:tc>
        <w:tc>
          <w:tcPr>
            <w:tcW w:type="dxa" w:w="301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Strom</w:t>
            </w:r>
          </w:p>
        </w:tc>
        <w:tc>
          <w:tcPr>
            <w:tcW w:type="dxa" w:w="301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Gas</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Überregionaler Transport</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Übertragungsnetz (Höchstspannung)</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Fernleitungsnetz (hoher Druck)</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Regionale Verteilung</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Verteilnetze</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Verteilernetze</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Herkunft</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überwiegend Erzeugung im Inland</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rund 95 % Import</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Speichern</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nur sehr begrenzt</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in großen Mengen, z. B. Untergrundspeicher</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Gemessen in</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kWh</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m³, umgerechnet in kWh</w:t>
            </w:r>
          </w:p>
        </w:tc>
      </w:tr>
    </w:tbl>
    <w:p>
      <w:pPr>
        <w:spacing w:after="100" w:before="120" w:line="276"/>
      </w:pPr>
      <w:r>
        <w:rPr>
          <w:b/>
          <w:bCs/>
          <w:sz w:val="21"/>
          <w:szCs w:val="21"/>
        </w:rPr>
        <w:t xml:space="preserve">Beispiel:</w:t>
      </w:r>
      <w:r>
        <w:rPr>
          <w:sz w:val="21"/>
          <w:szCs w:val="21"/>
        </w:rPr>
        <w:t xml:space="preserve"> Das Gas für eine Gasheizung in Musterstadt kommt per Pipeline aus Norwegen, läuft durch das Fernleitungsnetz, dann durch das Verteilernetz der örtlichen Netzgesellschaft und schließlich über den Hausanschluss zur Heizung.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 Kurz gesagt</w:t>
            </w:r>
          </w:p>
          <w:p>
            <w:pPr>
              <w:spacing w:after="40" w:line="268"/>
            </w:pPr>
            <w:r>
              <w:rPr>
                <w:sz w:val="21"/>
                <w:szCs w:val="21"/>
              </w:rPr>
              <w:t xml:space="preserve">• Rund 95 % des Erdgases werden importiert, vor allem aus Norwegen; dazu kommt LNG.</w:t>
            </w:r>
          </w:p>
          <w:p>
            <w:pPr>
              <w:spacing w:after="40" w:line="268"/>
            </w:pPr>
            <w:r>
              <w:rPr>
                <w:sz w:val="21"/>
                <w:szCs w:val="21"/>
              </w:rPr>
              <w:t xml:space="preserve">• Import → Fernleitungsnetz → Verteilernetz → Hausanschluss.</w:t>
            </w:r>
          </w:p>
          <w:p>
            <w:pPr>
              <w:spacing w:after="40" w:line="268"/>
            </w:pPr>
            <w:r>
              <w:rPr>
                <w:sz w:val="21"/>
                <w:szCs w:val="21"/>
              </w:rPr>
              <w:t xml:space="preserve">• Gas lässt sich in großen Mengen speichern – Strom kaum.</w:t>
            </w:r>
          </w:p>
        </w:tc>
      </w:tr>
    </w:tbl>
    <w:p>
      <w:pPr>
        <w:spacing w:after="100" w:before="100" w:line="276"/>
      </w:pPr>
      <w:r>
        <w:rPr>
          <w:color w:val="4F6B82"/>
          <w:sz w:val="19"/>
          <w:szCs w:val="19"/>
        </w:rPr>
        <w:t xml:space="preserve">Weiter geht es mit den Übungen C auf der Lernplattform und 9 Lernkarten – das Abzeichen „Gasdetektiv“ wartet.</w:t>
      </w:r>
    </w:p>
    <w:p>
      <w:pPr>
        <w:pStyle w:val="Heading1"/>
        <w:keepNext/>
        <w:pageBreakBefore/>
        <w:pBdr>
          <w:bottom w:val="single" w:color="BEC60E" w:sz="12" w:space="4"/>
        </w:pBdr>
        <w:spacing w:after="160" w:before="0"/>
      </w:pPr>
      <w:r>
        <w:rPr>
          <w:b/>
          <w:bCs/>
          <w:color w:val="243A4C"/>
          <w:sz w:val="30"/>
          <w:szCs w:val="30"/>
        </w:rPr>
        <w:t xml:space="preserve">D  Primär-, End- und Nutzenergie</w:t>
      </w:r>
    </w:p>
    <w:p>
      <w:pPr>
        <w:spacing w:after="100" w:before="0" w:line="276"/>
      </w:pPr>
      <w:r>
        <w:rPr>
          <w:i/>
          <w:iCs/>
          <w:color w:val="34495E"/>
          <w:sz w:val="21"/>
          <w:szCs w:val="21"/>
        </w:rPr>
        <w:t xml:space="preserve">Energie wird mehrfach umgewandelt, bevor sie Dir nützt. Drei Begriffe beschreiben diese Stufen.</w:t>
      </w:r>
    </w:p>
    <w:p>
      <w:pPr>
        <w:spacing w:after="100" w:before="0" w:line="276"/>
      </w:pPr>
      <w:r>
        <w:rPr>
          <w:sz w:val="21"/>
          <w:szCs w:val="21"/>
        </w:rPr>
        <w:t xml:space="preserve">Primärenergie ist die ursprüngliche Energiequelle: fossile Brennstoffe wie Erdöl, Erdgas und Kohle, erneuerbare Quellen wie Wind, Sonne, Wasser, Biomasse und Geothermie – und früher auch die Kernenergie.</w:t>
      </w:r>
    </w:p>
    <w:p>
      <w:pPr>
        <w:spacing w:after="100" w:before="0" w:line="276"/>
      </w:pPr>
      <w:r>
        <w:rPr>
          <w:sz w:val="21"/>
          <w:szCs w:val="21"/>
        </w:rPr>
        <w:t xml:space="preserve">Endenergie ist das, was beim Verbraucher ankommt: Strom aus der Steckdose, Heizöl im Tank, Erdgas am Hausanschluss, Kraftstoff oder Fernwärme. Strom ist dabei immer Endenergie – er wird aus Primärenergie erzeugt, auch wenn er aus Wind oder Sonne stammt.</w:t>
      </w:r>
    </w:p>
    <w:p>
      <w:pPr>
        <w:spacing w:after="100" w:before="0" w:line="276"/>
      </w:pPr>
      <w:r>
        <w:rPr>
          <w:sz w:val="21"/>
          <w:szCs w:val="21"/>
        </w:rPr>
        <w:t xml:space="preserve">Nutzenergie ist der eigentliche Nutzen: das Licht im Raum, die warme Wohnung, die Kühlung im Kühlschrank, die Bewegung des Autos. Bei jeder Umwandlung geht ein Teil der Energie verloren, zum Beispiel als Abwärme. Deshalb kommt beim Nutzen weniger an, als ursprünglich in der Primärenergie steckte.</w:t>
      </w:r>
    </w:p>
    <w:p>
      <w:pPr>
        <w:spacing w:after="100" w:before="120" w:line="276"/>
      </w:pPr>
      <w:r>
        <w:rPr>
          <w:b/>
          <w:bCs/>
          <w:sz w:val="21"/>
          <w:szCs w:val="21"/>
        </w:rPr>
        <w:t xml:space="preserve">Beispiel:</w:t>
      </w:r>
      <w:r>
        <w:rPr>
          <w:sz w:val="21"/>
          <w:szCs w:val="21"/>
        </w:rPr>
        <w:t xml:space="preserve"> Erdgas in der Lagerstätte ist Primärenergie, Erdgas am Hausanschluss ist Endenergie, und das warme Wasser unter der Dusche ist Nutzenergie.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 Kurz gesagt</w:t>
            </w:r>
          </w:p>
          <w:p>
            <w:pPr>
              <w:spacing w:after="40" w:line="268"/>
            </w:pPr>
            <w:r>
              <w:rPr>
                <w:sz w:val="21"/>
                <w:szCs w:val="21"/>
              </w:rPr>
              <w:t xml:space="preserve">• Primärenergie = Quelle, Endenergie = was ankommt, Nutzenergie = der Nutzen.</w:t>
            </w:r>
          </w:p>
          <w:p>
            <w:pPr>
              <w:spacing w:after="40" w:line="268"/>
            </w:pPr>
            <w:r>
              <w:rPr>
                <w:sz w:val="21"/>
                <w:szCs w:val="21"/>
              </w:rPr>
              <w:t xml:space="preserve">• Strom ist immer Endenergie.</w:t>
            </w:r>
          </w:p>
          <w:p>
            <w:pPr>
              <w:spacing w:after="40" w:line="268"/>
            </w:pPr>
            <w:r>
              <w:rPr>
                <w:sz w:val="21"/>
                <w:szCs w:val="21"/>
              </w:rPr>
              <w:t xml:space="preserve">• Bei jeder Umwandlung geht Energie verloren.</w:t>
            </w:r>
          </w:p>
        </w:tc>
      </w:tr>
    </w:tbl>
    <w:p>
      <w:pPr>
        <w:spacing w:after="100" w:before="100" w:line="276"/>
      </w:pPr>
      <w:r>
        <w:rPr>
          <w:color w:val="4F6B82"/>
          <w:sz w:val="19"/>
          <w:szCs w:val="19"/>
        </w:rPr>
        <w:t xml:space="preserve">Weiter geht es mit den Übungen D auf der Lernplattform und 7 Lernkarten – das Abzeichen „Energiewandler“ wartet.</w:t>
      </w:r>
    </w:p>
    <w:p>
      <w:pPr>
        <w:pStyle w:val="Heading1"/>
        <w:keepNext/>
        <w:pageBreakBefore/>
        <w:pBdr>
          <w:bottom w:val="single" w:color="BEC60E" w:sz="12" w:space="4"/>
        </w:pBdr>
        <w:spacing w:after="160" w:before="0"/>
      </w:pPr>
      <w:r>
        <w:rPr>
          <w:b/>
          <w:bCs/>
          <w:color w:val="243A4C"/>
          <w:sz w:val="30"/>
          <w:szCs w:val="30"/>
        </w:rPr>
        <w:t xml:space="preserve">E  Energiequellen und Energiemix</w:t>
      </w:r>
    </w:p>
    <w:p>
      <w:pPr>
        <w:spacing w:after="100" w:before="0" w:line="276"/>
      </w:pPr>
      <w:r>
        <w:rPr>
          <w:i/>
          <w:iCs/>
          <w:color w:val="34495E"/>
          <w:sz w:val="21"/>
          <w:szCs w:val="21"/>
        </w:rPr>
        <w:t xml:space="preserve">Woher kommt die Energie in Deutschland – und wie liest man eine Energiegrafik richtig?</w:t>
      </w:r>
    </w:p>
    <w:p>
      <w:pPr>
        <w:spacing w:after="100" w:before="0" w:line="276"/>
      </w:pPr>
      <w:r>
        <w:rPr>
          <w:sz w:val="21"/>
          <w:szCs w:val="21"/>
        </w:rPr>
        <w:t xml:space="preserve">Der Primärenergieverbrauch lag 2025 bei rund 10.530 Petajoule – deutlich weniger als 1990 mit rund 14.905 PJ. Ein Petajoule sind 10¹⁵ Joule. Wichtigster Energieträger ist weiterhin das Mineralöl mit 36,0 %, gefolgt von Erdgas mit 26,6 %. Die erneuerbaren Energien kamen auf 20,8 % – 1990 waren es nur 1,3 %. Stein- und Braunkohle haben stark verloren, die Kernenergie spielt keine Rolle mehr (AG Energiebilanzen, Jahresbericht 2025, vorläufige Werte).</w:t>
      </w:r>
    </w:p>
    <w:p>
      <w:pPr>
        <w:spacing w:after="100" w:before="0" w:line="276"/>
      </w:pPr>
      <w:r>
        <w:rPr>
          <w:sz w:val="21"/>
          <w:szCs w:val="21"/>
        </w:rPr>
        <w:t xml:space="preserve">Vorsicht bei der Stromerzeugung: Hier lag der Anteil der Erneuerbaren 2025 bei 57,3 %, mit Windenergie (26,3 %) und Photovoltaik (18,1 %) an der Spitze. Der Unterschied entsteht, weil die Primärenergie auch Wärme und Verkehr umfasst – und dort dominieren Mineralöl und Erdgas.</w:t>
      </w:r>
    </w:p>
    <w:p>
      <w:pPr>
        <w:spacing w:after="100" w:before="0" w:line="276"/>
      </w:pPr>
      <w:r>
        <w:rPr>
          <w:sz w:val="21"/>
          <w:szCs w:val="21"/>
        </w:rPr>
        <w:t xml:space="preserve">Beim Lesen jeder Energiegrafik helfen vier Fragen: Auf welche Jahre bezieht sie sich? In welcher Einheit? Zeigt sie Anteile oder Mengen? Und woher stammen die Zahlen – sind sie endgültig oder noch vorläufig?</w:t>
      </w:r>
    </w:p>
    <w:p>
      <w:pPr>
        <w:spacing w:after="100" w:before="100" w:line="276"/>
      </w:pPr>
      <w:r>
        <w:rPr>
          <w:b/>
          <w:bCs/>
          <w:sz w:val="21"/>
          <w:szCs w:val="21"/>
        </w:rPr>
        <w:t xml:space="preserve">Primärenergieverbrauch nach Energieträgern (Anteile in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19"/>
        <w:gridCol w:w="3019"/>
      </w:tblGrid>
      <w:tr>
        <w:trPr>
          <w:cantSplit/>
          <w:tblHeader/>
        </w:trPr>
        <w:tc>
          <w:tcPr>
            <w:tcW w:type="dxa" w:w="3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Energieträger</w:t>
            </w:r>
          </w:p>
        </w:tc>
        <w:tc>
          <w:tcPr>
            <w:tcW w:type="dxa" w:w="301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1990</w:t>
            </w:r>
          </w:p>
        </w:tc>
        <w:tc>
          <w:tcPr>
            <w:tcW w:type="dxa" w:w="301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2025</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Mineralöl</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35,1</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36,0</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Erdgas</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15,5</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26,6</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Braunkohle</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21,5</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7,1</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Steinkohle</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15,5</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6,8</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Kernenergie</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11,2</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Erneuerbare Energien</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1,3</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20,8</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Sonstige (2025 inkl. Stromaustauschsaldo)</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2,7</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Gesamt</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14.905 PJ</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10.530 PJ</w:t>
            </w:r>
          </w:p>
        </w:tc>
      </w:tr>
    </w:tbl>
    <w:p>
      <w:pPr>
        <w:spacing w:after="100" w:before="120" w:line="276"/>
      </w:pPr>
      <w:r>
        <w:rPr>
          <w:b/>
          <w:bCs/>
          <w:sz w:val="21"/>
          <w:szCs w:val="21"/>
        </w:rPr>
        <w:t xml:space="preserve">Beispiel:</w:t>
      </w:r>
      <w:r>
        <w:rPr>
          <w:sz w:val="21"/>
          <w:szCs w:val="21"/>
        </w:rPr>
        <w:t xml:space="preserve"> Liest Du „Erneuerbare 20,8 %“, frag zuerst: Primärenergie oder Strom? Für den Strom wäre die richtige Zahl 57,3 %.</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 Kurz gesagt</w:t>
            </w:r>
          </w:p>
          <w:p>
            <w:pPr>
              <w:spacing w:after="40" w:line="268"/>
            </w:pPr>
            <w:r>
              <w:rPr>
                <w:sz w:val="21"/>
                <w:szCs w:val="21"/>
              </w:rPr>
              <w:t xml:space="preserve">• Mineralöl bleibt vorn; Erneuerbare decken 20,8 % der Primärenergie (2025).</w:t>
            </w:r>
          </w:p>
          <w:p>
            <w:pPr>
              <w:spacing w:after="40" w:line="268"/>
            </w:pPr>
            <w:r>
              <w:rPr>
                <w:sz w:val="21"/>
                <w:szCs w:val="21"/>
              </w:rPr>
              <w:t xml:space="preserve">• Beim Strom liegen die Erneuerbaren bei 57,3 % – Energiemix ist nicht Strommix.</w:t>
            </w:r>
          </w:p>
          <w:p>
            <w:pPr>
              <w:spacing w:after="40" w:line="268"/>
            </w:pPr>
            <w:r>
              <w:rPr>
                <w:sz w:val="21"/>
                <w:szCs w:val="21"/>
              </w:rPr>
              <w:t xml:space="preserve">• Vier Leseregeln: Zeitpunkt, Einheit, Anteil oder Menge, Quelle und Stand.</w:t>
            </w:r>
          </w:p>
        </w:tc>
      </w:tr>
    </w:tbl>
    <w:p>
      <w:pPr>
        <w:spacing w:after="100" w:before="100" w:line="276"/>
      </w:pPr>
      <w:r>
        <w:rPr>
          <w:color w:val="4F6B82"/>
          <w:sz w:val="19"/>
          <w:szCs w:val="19"/>
        </w:rPr>
        <w:t xml:space="preserve">Weiter geht es mit den Übungen E auf der Lernplattform und 8 Lernkarten – das Abzeichen „Mix-Meister“ wartet.</w:t>
      </w:r>
    </w:p>
    <w:p>
      <w:pPr>
        <w:pStyle w:val="Heading1"/>
        <w:keepNext/>
        <w:pageBreakBefore/>
        <w:pBdr>
          <w:bottom w:val="single" w:color="BEC60E" w:sz="12" w:space="4"/>
        </w:pBdr>
        <w:spacing w:after="160" w:before="0"/>
      </w:pPr>
      <w:r>
        <w:rPr>
          <w:b/>
          <w:bCs/>
          <w:color w:val="243A4C"/>
          <w:sz w:val="30"/>
          <w:szCs w:val="30"/>
        </w:rPr>
        <w:t xml:space="preserve">F  Energiedaten und EDM</w:t>
      </w:r>
    </w:p>
    <w:p>
      <w:pPr>
        <w:spacing w:after="100" w:before="0" w:line="276"/>
      </w:pPr>
      <w:r>
        <w:rPr>
          <w:i/>
          <w:iCs/>
          <w:color w:val="34495E"/>
          <w:sz w:val="21"/>
          <w:szCs w:val="21"/>
        </w:rPr>
        <w:t xml:space="preserve">Ohne Daten keine Rechnung: Hier erfährst Du, warum Energiedaten so wichtig sind und wie sie vom Zähler in die Abrechnung kommen.</w:t>
      </w:r>
    </w:p>
    <w:p>
      <w:pPr>
        <w:spacing w:after="100" w:before="0" w:line="276"/>
      </w:pPr>
      <w:r>
        <w:rPr>
          <w:sz w:val="21"/>
          <w:szCs w:val="21"/>
        </w:rPr>
        <w:t xml:space="preserve">Viele Beteiligte brauchen dieselben Messwerte. Der Lieferant benötigt sie für die Rechnung an den Kunden, der Netzbetreiber für die Netzabrechnung und die Bilanzierung. Gemessen wird vom Messstellenbetreiber – häufig ist das der Netzbetreiber selbst als grundzuständiger Messstellenbetreiber. Der Kunde ist übrigens keine eigene Marktrolle; er wird im Markt über die Marktlokation abgebildet.</w:t>
      </w:r>
    </w:p>
    <w:p>
      <w:pPr>
        <w:spacing w:after="100" w:before="0" w:line="276"/>
      </w:pPr>
      <w:r>
        <w:rPr>
          <w:sz w:val="21"/>
          <w:szCs w:val="21"/>
        </w:rPr>
        <w:t xml:space="preserve">Damit aus einem Zählerstand eine verlässliche Abrechnungsgrundlage wird, durchläuft er vier Schritte: Er wird gemessen, geprüft, dem richtigen Datensatz zugeordnet und erst dann genutzt – in der Abrechnung und in der Bilanzierung. Diese Arbeit nennt man Energiedatenmanagement (EDM).</w:t>
      </w:r>
    </w:p>
    <w:p>
      <w:pPr>
        <w:spacing w:after="100" w:before="0" w:line="276"/>
      </w:pPr>
      <w:r>
        <w:rPr>
          <w:sz w:val="21"/>
          <w:szCs w:val="21"/>
        </w:rPr>
        <w:t xml:space="preserve">Der Prüfschritt ist entscheidend: Unplausible Werte müssen auffallen, bevor sie weiterverwendet werden. Sonst wird die Rechnung falsch, oder es entstehen Abweichungen in der Bilanzierung.</w:t>
      </w:r>
    </w:p>
    <w:p>
      <w:pPr>
        <w:spacing w:after="100" w:before="100" w:line="276"/>
      </w:pPr>
      <w:r>
        <w:rPr>
          <w:b/>
          <w:bCs/>
          <w:sz w:val="21"/>
          <w:szCs w:val="21"/>
        </w:rPr>
        <w:t xml:space="preserve">Vom Zählerstand zur Abrechnung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Schritt</w:t>
            </w:r>
          </w:p>
        </w:tc>
        <w:tc>
          <w:tcPr>
            <w:tcW w:type="dxa" w:w="6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Was passiert?</w:t>
            </w:r>
          </w:p>
        </w:tc>
      </w:tr>
      <w:tr>
        <w:trPr>
          <w:cantSplit/>
        </w:trPr>
        <w:tc>
          <w:tcPr>
            <w:tcW w:type="dxa" w:w="28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1 Messen</w:t>
            </w:r>
          </w:p>
        </w:tc>
        <w:tc>
          <w:tcPr>
            <w:tcW w:type="dxa" w:w="6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 Zähler wird der Verbrauch erfasst.</w:t>
            </w:r>
          </w:p>
        </w:tc>
      </w:tr>
      <w:tr>
        <w:trPr>
          <w:cantSplit/>
        </w:trPr>
        <w:tc>
          <w:tcPr>
            <w:tcW w:type="dxa" w:w="28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2 Prüfen</w:t>
            </w:r>
          </w:p>
        </w:tc>
        <w:tc>
          <w:tcPr>
            <w:tcW w:type="dxa" w:w="6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Fehlerhafte oder unplausible Werte fallen auf.</w:t>
            </w:r>
          </w:p>
        </w:tc>
      </w:tr>
      <w:tr>
        <w:trPr>
          <w:cantSplit/>
        </w:trPr>
        <w:tc>
          <w:tcPr>
            <w:tcW w:type="dxa" w:w="28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3 Zuordnen</w:t>
            </w:r>
          </w:p>
        </w:tc>
        <w:tc>
          <w:tcPr>
            <w:tcW w:type="dxa" w:w="6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Wert wird dem richtigen Datensatz zugeordnet.</w:t>
            </w:r>
          </w:p>
        </w:tc>
      </w:tr>
      <w:tr>
        <w:trPr>
          <w:cantSplit/>
        </w:trPr>
        <w:tc>
          <w:tcPr>
            <w:tcW w:type="dxa" w:w="28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4 Nutzen</w:t>
            </w:r>
          </w:p>
        </w:tc>
        <w:tc>
          <w:tcPr>
            <w:tcW w:type="dxa" w:w="6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Abrechnung und Bilanzierung verwenden den Wert.</w:t>
            </w:r>
          </w:p>
        </w:tc>
      </w:tr>
    </w:tbl>
    <w:p>
      <w:pPr>
        <w:spacing w:after="100" w:before="120" w:line="276"/>
      </w:pPr>
      <w:r>
        <w:rPr>
          <w:b/>
          <w:bCs/>
          <w:sz w:val="21"/>
          <w:szCs w:val="21"/>
        </w:rPr>
        <w:t xml:space="preserve">Beispiel:</w:t>
      </w:r>
      <w:r>
        <w:rPr>
          <w:sz w:val="21"/>
          <w:szCs w:val="21"/>
        </w:rPr>
        <w:t xml:space="preserve"> Ein Zählerstand ist zehnmal so hoch wie im Vorjahr. Statt ihn direkt abzurechnen, fällt er bei der Prüfung auf und wird geklärt.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 Kurz gesagt</w:t>
            </w:r>
          </w:p>
          <w:p>
            <w:pPr>
              <w:spacing w:after="40" w:line="268"/>
            </w:pPr>
            <w:r>
              <w:rPr>
                <w:sz w:val="21"/>
                <w:szCs w:val="21"/>
              </w:rPr>
              <w:t xml:space="preserve">• Lieferant, Netzbetreiber und Messstellenbetreiber brauchen dieselben Daten.</w:t>
            </w:r>
          </w:p>
          <w:p>
            <w:pPr>
              <w:spacing w:after="40" w:line="268"/>
            </w:pPr>
            <w:r>
              <w:rPr>
                <w:sz w:val="21"/>
                <w:szCs w:val="21"/>
              </w:rPr>
              <w:t xml:space="preserve">• Messen – Prüfen – Zuordnen – Nutzen.</w:t>
            </w:r>
          </w:p>
          <w:p>
            <w:pPr>
              <w:spacing w:after="40" w:line="268"/>
            </w:pPr>
            <w:r>
              <w:rPr>
                <w:sz w:val="21"/>
                <w:szCs w:val="21"/>
              </w:rPr>
              <w:t xml:space="preserve">• Nur geprüfte und zugeordnete Werte sind für Abrechnung und Bilanzierung nutzbar.</w:t>
            </w:r>
          </w:p>
        </w:tc>
      </w:tr>
    </w:tbl>
    <w:p>
      <w:pPr>
        <w:spacing w:after="100" w:before="100" w:line="276"/>
      </w:pPr>
      <w:r>
        <w:rPr>
          <w:color w:val="4F6B82"/>
          <w:sz w:val="19"/>
          <w:szCs w:val="19"/>
        </w:rPr>
        <w:t xml:space="preserve">Weiter geht es mit den Übungen F auf der Lernplattform und 7 Lernkarten – das Abzeichen „Datenlotse“ wartet.</w:t>
      </w:r>
    </w:p>
    <w:p>
      <w:pPr>
        <w:pStyle w:val="Heading1"/>
        <w:keepNext/>
        <w:pageBreakBefore/>
        <w:pBdr>
          <w:bottom w:val="single" w:color="BEC60E" w:sz="12" w:space="4"/>
        </w:pBdr>
        <w:spacing w:after="160" w:before="0"/>
      </w:pPr>
      <w:r>
        <w:rPr>
          <w:b/>
          <w:bCs/>
          <w:color w:val="243A4C"/>
          <w:sz w:val="30"/>
          <w:szCs w:val="30"/>
        </w:rPr>
        <w:t xml:space="preserve">G  Leistung, Energie und Einheiten</w:t>
      </w:r>
    </w:p>
    <w:p>
      <w:pPr>
        <w:spacing w:after="100" w:before="0" w:line="276"/>
      </w:pPr>
      <w:r>
        <w:rPr>
          <w:i/>
          <w:iCs/>
          <w:color w:val="34495E"/>
          <w:sz w:val="21"/>
          <w:szCs w:val="21"/>
        </w:rPr>
        <w:t xml:space="preserve">Die Kilowattstunde begleitet Dich ab jetzt jeden Tag. Hier lernst Du, sie sicher von der Leistung zu unterscheiden und mit Einheiten zu rechnen.</w:t>
      </w:r>
    </w:p>
    <w:p>
      <w:pPr>
        <w:spacing w:after="100" w:before="0" w:line="276"/>
      </w:pPr>
      <w:r>
        <w:rPr>
          <w:sz w:val="21"/>
          <w:szCs w:val="21"/>
        </w:rPr>
        <w:t xml:space="preserve">Leistung beschreibt den Moment: Wie stark ist ein Gerät oder eine Anlage gerade? Sie wird in Watt angegeben, im Energiemarkt meist in Kilowatt (kW) oder Megawatt (MW). Energie beschreibt die Menge über die Zeit und wird in Kilowattstunden (kWh) angegeben. Es gilt: Energie = Leistung × Zeit. Abgerechnet wird immer die Energie.</w:t>
      </w:r>
    </w:p>
    <w:p>
      <w:pPr>
        <w:spacing w:after="100" w:before="0" w:line="276"/>
      </w:pPr>
      <w:r>
        <w:rPr>
          <w:sz w:val="21"/>
          <w:szCs w:val="21"/>
        </w:rPr>
        <w:t xml:space="preserve">Damit Zahlen handlich bleiben, gibt es Vorsätze: kilo (Tausend), Mega (Million), Giga (Milliarde), Tera (Billion) und Peta (Billiarde). Jeder Schritt bedeutet den Faktor 1.000. Für Umrechnungen gilt: 1 Wh = 3.600 Ws = 0,001 kWh, und 1 kWh entspricht 3,6 MJ.</w:t>
      </w:r>
    </w:p>
    <w:p>
      <w:pPr>
        <w:spacing w:after="100" w:before="0" w:line="276"/>
      </w:pPr>
      <w:r>
        <w:rPr>
          <w:sz w:val="21"/>
          <w:szCs w:val="21"/>
        </w:rPr>
        <w:t xml:space="preserve">Aus der Elektrotechnik brauchst Du vor allem eine Formel: Leistung = Spannung × Stromstärke (P = U × I). Die Größen haben Formelzeichen (P, U, I, R), ihre Einheiten heißen Watt, Volt, Ampere und Ohm.</w:t>
      </w:r>
    </w:p>
    <w:p>
      <w:pPr>
        <w:spacing w:after="100" w:before="100" w:line="276"/>
      </w:pPr>
      <w:r>
        <w:rPr>
          <w:b/>
          <w:bCs/>
          <w:sz w:val="21"/>
          <w:szCs w:val="21"/>
        </w:rPr>
        <w:t xml:space="preserve">Die Vorsätze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19"/>
        <w:gridCol w:w="3019"/>
      </w:tblGrid>
      <w:tr>
        <w:trPr>
          <w:cantSplit/>
          <w:tblHeader/>
        </w:trPr>
        <w:tc>
          <w:tcPr>
            <w:tcW w:type="dxa" w:w="3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Vorsatz</w:t>
            </w:r>
          </w:p>
        </w:tc>
        <w:tc>
          <w:tcPr>
            <w:tcW w:type="dxa" w:w="301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Faktor</w:t>
            </w:r>
          </w:p>
        </w:tc>
        <w:tc>
          <w:tcPr>
            <w:tcW w:type="dxa" w:w="301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Typisch für</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kilo (k)</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10³ – Tausend</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Haushalt, Gerät (kW, kWh)</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Mega (M)</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10⁶ – Million</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Kraftwerk, Windpark (MW, MWh)</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Giga (G)</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10⁹ – Milliarde</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Netz, Region (GW, GWh)</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Tera (T)</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10¹² – Billion</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Jahresmengen eines Landes (TWh)</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Peta (P)</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10¹⁵ – Billiarde</w:t>
            </w:r>
          </w:p>
        </w:tc>
        <w:tc>
          <w:tcPr>
            <w:tcW w:type="dxa" w:w="301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Primärenergie (PJ)</w:t>
            </w:r>
          </w:p>
        </w:tc>
      </w:tr>
    </w:tbl>
    <w:p>
      <w:pPr>
        <w:spacing w:after="100" w:before="120" w:line="276"/>
      </w:pPr>
      <w:r>
        <w:rPr>
          <w:b/>
          <w:bCs/>
          <w:sz w:val="21"/>
          <w:szCs w:val="21"/>
        </w:rPr>
        <w:t xml:space="preserve">Beispiel:</w:t>
      </w:r>
      <w:r>
        <w:rPr>
          <w:sz w:val="21"/>
          <w:szCs w:val="21"/>
        </w:rPr>
        <w:t xml:space="preserve"> Ein Wasserkocher mit 2 kW, der 6 Minuten läuft, braucht 2 kW × 0,1 h = 0,2 kWh.</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 Kurz gesagt</w:t>
            </w:r>
          </w:p>
          <w:p>
            <w:pPr>
              <w:spacing w:after="40" w:line="268"/>
            </w:pPr>
            <w:r>
              <w:rPr>
                <w:sz w:val="21"/>
                <w:szCs w:val="21"/>
              </w:rPr>
              <w:t xml:space="preserve">• kW = Leistung (Moment), kWh = Energie (Menge über die Zeit).</w:t>
            </w:r>
          </w:p>
          <w:p>
            <w:pPr>
              <w:spacing w:after="40" w:line="268"/>
            </w:pPr>
            <w:r>
              <w:rPr>
                <w:sz w:val="21"/>
                <w:szCs w:val="21"/>
              </w:rPr>
              <w:t xml:space="preserve">• Energie = Leistung × Zeit; abgerechnet wird die Energie.</w:t>
            </w:r>
          </w:p>
          <w:p>
            <w:pPr>
              <w:spacing w:after="40" w:line="268"/>
            </w:pPr>
            <w:r>
              <w:rPr>
                <w:sz w:val="21"/>
                <w:szCs w:val="21"/>
              </w:rPr>
              <w:t xml:space="preserve">• Vorsätze in Tausenderschritten: kilo, Mega, Giga, Tera, Peta.</w:t>
            </w:r>
          </w:p>
        </w:tc>
      </w:tr>
    </w:tbl>
    <w:p>
      <w:pPr>
        <w:spacing w:after="100" w:before="100" w:line="276"/>
      </w:pPr>
      <w:r>
        <w:rPr>
          <w:color w:val="4F6B82"/>
          <w:sz w:val="19"/>
          <w:szCs w:val="19"/>
        </w:rPr>
        <w:t xml:space="preserve">Weiter geht es mit den Übungen G auf der Lernplattform und 9 Lernkarten – das Abzeichen „Einheiten-Ass“ wartet.</w:t>
      </w:r>
    </w:p>
    <w:p>
      <w:pPr>
        <w:pStyle w:val="Heading1"/>
        <w:keepNext/>
        <w:pageBreakBefore/>
        <w:pBdr>
          <w:bottom w:val="single" w:color="BEC60E" w:sz="12" w:space="4"/>
        </w:pBdr>
        <w:spacing w:after="160" w:before="0"/>
      </w:pPr>
      <w:r>
        <w:rPr>
          <w:b/>
          <w:bCs/>
          <w:color w:val="243A4C"/>
          <w:sz w:val="30"/>
          <w:szCs w:val="30"/>
        </w:rPr>
        <w:t xml:space="preserve">H  Gas: vom Kubikmeter zur Kilowattstunde</w:t>
      </w:r>
    </w:p>
    <w:p>
      <w:pPr>
        <w:spacing w:after="100" w:before="0" w:line="276"/>
      </w:pPr>
      <w:r>
        <w:rPr>
          <w:i/>
          <w:iCs/>
          <w:color w:val="34495E"/>
          <w:sz w:val="21"/>
          <w:szCs w:val="21"/>
        </w:rPr>
        <w:t xml:space="preserve">Gas wird in Kubikmetern gemessen, aber in Kilowattstunden abgerechnet. So funktioniert die Umrechnung.</w:t>
      </w:r>
    </w:p>
    <w:p>
      <w:pPr>
        <w:spacing w:after="100" w:before="0" w:line="276"/>
      </w:pPr>
      <w:r>
        <w:rPr>
          <w:sz w:val="21"/>
          <w:szCs w:val="21"/>
        </w:rPr>
        <w:t xml:space="preserve">Der Gaszähler misst ein Volumen. Wie viel Energie darin steckt, hängt von der Gasqualität und vom Zustand des Gases ab. Deshalb gilt: kWh = m³ × Brennwert × Zustandszahl.</w:t>
      </w:r>
    </w:p>
    <w:p>
      <w:pPr>
        <w:spacing w:after="100" w:before="0" w:line="276"/>
      </w:pPr>
      <w:r>
        <w:rPr>
          <w:sz w:val="21"/>
          <w:szCs w:val="21"/>
        </w:rPr>
        <w:t xml:space="preserve">Der Brennwert (Hs,eff) gibt an, wie viel Energie in einem Kubikmeter Gas im Normzustand steckt, in kWh/m³. Die Zustandszahl rechnet das gemessene Betriebsvolumen auf diesen Normzustand um – 0 °C und 1.013,25 mbar –, denn das Volumen von Gas hängt von Druck und Temperatur ab. Beide Werte stehen auf der Gasrechnung.</w:t>
      </w:r>
    </w:p>
    <w:p>
      <w:pPr>
        <w:spacing w:after="100" w:before="0" w:line="276"/>
      </w:pPr>
      <w:r>
        <w:rPr>
          <w:sz w:val="21"/>
          <w:szCs w:val="21"/>
        </w:rPr>
        <w:t xml:space="preserve">Ein Hinweis für Statistiken: Abgerechnet wird mit dem Brennwert. Viele Energiestatistiken, etwa die der AG Energiebilanzen, verwenden dagegen den Heizwert; der Brennwert liegt um etwa 10 % darüber. Vergleiche Gasmengen deshalb nur, wenn klar ist, welcher Wert gemeint ist.</w:t>
      </w:r>
    </w:p>
    <w:p>
      <w:pPr>
        <w:spacing w:after="100" w:before="120" w:line="276"/>
      </w:pPr>
      <w:r>
        <w:rPr>
          <w:b/>
          <w:bCs/>
          <w:sz w:val="21"/>
          <w:szCs w:val="21"/>
        </w:rPr>
        <w:t xml:space="preserve">Beispiel:</w:t>
      </w:r>
      <w:r>
        <w:rPr>
          <w:sz w:val="21"/>
          <w:szCs w:val="21"/>
        </w:rPr>
        <w:t xml:space="preserve"> 100 m³ × 11 kWh/m³ × 0,95 = 1.045 kWh.</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 Kurz gesagt</w:t>
            </w:r>
          </w:p>
          <w:p>
            <w:pPr>
              <w:spacing w:after="40" w:line="268"/>
            </w:pPr>
            <w:r>
              <w:rPr>
                <w:sz w:val="21"/>
                <w:szCs w:val="21"/>
              </w:rPr>
              <w:t xml:space="preserve">• kWh = m³ × Brennwert × Zustandszahl.</w:t>
            </w:r>
          </w:p>
          <w:p>
            <w:pPr>
              <w:spacing w:after="40" w:line="268"/>
            </w:pPr>
            <w:r>
              <w:rPr>
                <w:sz w:val="21"/>
                <w:szCs w:val="21"/>
              </w:rPr>
              <w:t xml:space="preserve">• Brennwert = Energie je m³ im Normzustand; Zustandszahl = Umrechnung auf den Normzustand.</w:t>
            </w:r>
          </w:p>
          <w:p>
            <w:pPr>
              <w:spacing w:after="40" w:line="268"/>
            </w:pPr>
            <w:r>
              <w:rPr>
                <w:sz w:val="21"/>
                <w:szCs w:val="21"/>
              </w:rPr>
              <w:t xml:space="preserve">• Abrechnung nach Brennwert, Statistik oft nach Heizwert.</w:t>
            </w:r>
          </w:p>
        </w:tc>
      </w:tr>
    </w:tbl>
    <w:p>
      <w:pPr>
        <w:spacing w:after="100" w:before="100" w:line="276"/>
      </w:pPr>
      <w:r>
        <w:rPr>
          <w:color w:val="4F6B82"/>
          <w:sz w:val="19"/>
          <w:szCs w:val="19"/>
        </w:rPr>
        <w:t xml:space="preserve">Weiter geht es mit den Übungen H auf der Lernplattform und 8 Lernkarten – das Abzeichen „Gasrechner“ wartet.</w:t>
      </w:r>
    </w:p>
    <w:p>
      <w:pPr>
        <w:pStyle w:val="Heading1"/>
        <w:keepNext/>
        <w:pageBreakBefore/>
        <w:pBdr>
          <w:bottom w:val="single" w:color="BEC60E" w:sz="12" w:space="4"/>
        </w:pBdr>
        <w:spacing w:after="160" w:before="0"/>
      </w:pPr>
      <w:r>
        <w:rPr>
          <w:b/>
          <w:bCs/>
          <w:color w:val="243A4C"/>
          <w:sz w:val="30"/>
          <w:szCs w:val="30"/>
        </w:rPr>
        <w:t xml:space="preserve">I  Praxisfall: Die Energierechnung lesen</w:t>
      </w:r>
    </w:p>
    <w:p>
      <w:pPr>
        <w:spacing w:after="100" w:before="0" w:line="276"/>
      </w:pPr>
      <w:r>
        <w:rPr>
          <w:i/>
          <w:iCs/>
          <w:color w:val="34495E"/>
          <w:sz w:val="21"/>
          <w:szCs w:val="21"/>
        </w:rPr>
        <w:t xml:space="preserve">Jetzt kommt alles zusammen: Mit dem Wissen aus diesem Modul kannst Du eine Strom- und eine Gasrechnung nachrechnen.</w:t>
      </w:r>
    </w:p>
    <w:p>
      <w:pPr>
        <w:spacing w:after="100" w:before="0" w:line="276"/>
      </w:pPr>
      <w:r>
        <w:rPr>
          <w:sz w:val="21"/>
          <w:szCs w:val="21"/>
        </w:rPr>
        <w:t xml:space="preserve">Bei der Stromrechnung ergibt sich der Verbrauch aus der Differenz der Zählerstände: In der Musterrechnung sind das 27.810 − 24.310 = 3.500 kWh. Mit dem Arbeitspreis von 30,00 ct/kWh ergeben sich Energiekosten von 1.050,00 €. Dazu kommt der Grundpreis von 120,00 € netto; mit 19 % Umsatzsteuer beträgt die Rechnung 1.392,30 €. Abzüglich der Abschläge von 12 × 115,00 € bleibt eine Nachzahlung von 12,30 €.</w:t>
      </w:r>
    </w:p>
    <w:p>
      <w:pPr>
        <w:spacing w:after="100" w:before="0" w:line="276"/>
      </w:pPr>
      <w:r>
        <w:rPr>
          <w:sz w:val="21"/>
          <w:szCs w:val="21"/>
        </w:rPr>
        <w:t xml:space="preserve">Bei der Gasrechnung kommt ein Schritt dazu: Die gemessenen 1.185 m³ werden mit Brennwert (11,200 kWh/m³) und Zustandszahl (0,9600) in 12.741 kWh umgerechnet. Bei 10,00 ct/kWh sind das 1.274,10 € Energiekosten; mit 150,00 € Grundpreis und 19 % Umsatzsteuer ergeben sich 1.694,68 €, nach Abzug der Abschläge von 12 × 140,00 € eine Nachzahlung von 14,68 €.</w:t>
      </w:r>
    </w:p>
    <w:p>
      <w:pPr>
        <w:spacing w:after="100" w:before="0" w:line="276"/>
      </w:pPr>
      <w:r>
        <w:rPr>
          <w:sz w:val="21"/>
          <w:szCs w:val="21"/>
        </w:rPr>
        <w:t xml:space="preserve">Auf der Stromrechnung steht außerdem die Marktlokations-ID 51238609130. Sie bezeichnet den Ort der Belieferung – mehr dazu in Modul 1.1.5. Genau diese Werte laufen später durch Energiedatenmanagement und Abrechnung, zum Beispiel in SAP IS-U.</w:t>
      </w:r>
    </w:p>
    <w:p>
      <w:pPr>
        <w:spacing w:after="100" w:before="120" w:line="276"/>
      </w:pPr>
      <w:r>
        <w:rPr>
          <w:b/>
          <w:bCs/>
          <w:sz w:val="21"/>
          <w:szCs w:val="21"/>
        </w:rPr>
        <w:t xml:space="preserve">Beispiel:</w:t>
      </w:r>
      <w:r>
        <w:rPr>
          <w:sz w:val="21"/>
          <w:szCs w:val="21"/>
        </w:rPr>
        <w:t xml:space="preserve"> Prüfreihenfolge für jede Rechnung: Verbrauch, Energiekosten, Grundpreis, Nettosumme, Umsatzsteuer, Bruttobetrag, Abschläge, Nachzahlung oder Guthaben.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 Kurz gesagt</w:t>
            </w:r>
          </w:p>
          <w:p>
            <w:pPr>
              <w:spacing w:after="40" w:line="268"/>
            </w:pPr>
            <w:r>
              <w:rPr>
                <w:sz w:val="21"/>
                <w:szCs w:val="21"/>
              </w:rPr>
              <w:t xml:space="preserve">• Verbrauch = Zählerstand neu − Zählerstand alt.</w:t>
            </w:r>
          </w:p>
          <w:p>
            <w:pPr>
              <w:spacing w:after="40" w:line="268"/>
            </w:pPr>
            <w:r>
              <w:rPr>
                <w:sz w:val="21"/>
                <w:szCs w:val="21"/>
              </w:rPr>
              <w:t xml:space="preserve">• Rechnungsbetrag = (Energiekosten + Grundpreis) × 1,19.</w:t>
            </w:r>
          </w:p>
          <w:p>
            <w:pPr>
              <w:spacing w:after="40" w:line="268"/>
            </w:pPr>
            <w:r>
              <w:rPr>
                <w:sz w:val="21"/>
                <w:szCs w:val="21"/>
              </w:rPr>
              <w:t xml:space="preserve">• Gas: erst in kWh umrechnen, dann rechnen wie beim Strom.</w:t>
            </w:r>
          </w:p>
        </w:tc>
      </w:tr>
    </w:tbl>
    <w:p>
      <w:pPr>
        <w:spacing w:after="100" w:before="100" w:line="276"/>
      </w:pPr>
      <w:r>
        <w:rPr>
          <w:color w:val="4F6B82"/>
          <w:sz w:val="19"/>
          <w:szCs w:val="19"/>
        </w:rPr>
        <w:t xml:space="preserve">Weiter geht es mit den Übungen I auf der Lernplattform und 7 Lernkarten – das Abzeichen „Rechnungsprofi“ wartet.</w:t>
      </w:r>
    </w:p>
    <w:p>
      <w:pPr>
        <w:pStyle w:val="Heading1"/>
        <w:keepNext/>
        <w:pageBreakBefore/>
        <w:pBdr>
          <w:bottom w:val="single" w:color="BEC60E" w:sz="12" w:space="4"/>
        </w:pBdr>
        <w:spacing w:after="160" w:before="0"/>
      </w:pPr>
      <w:r>
        <w:rPr>
          <w:b/>
          <w:bCs/>
          <w:color w:val="243A4C"/>
          <w:sz w:val="30"/>
          <w:szCs w:val="30"/>
        </w:rPr>
        <w:t xml:space="preserve">Quellen</w:t>
      </w:r>
    </w:p>
    <w:p>
      <w:pPr>
        <w:spacing w:after="100" w:before="0" w:line="276"/>
      </w:pPr>
      <w:r>
        <w:rPr>
          <w:sz w:val="21"/>
          <w:szCs w:val="21"/>
        </w:rPr>
        <w:t xml:space="preserve">AG Energiebilanzen, Energieverbrauch in Deutschland im Jahr 2025 (Jahresbericht, Stand 28.05.2026, vorläufige Werte); Umweltbundesamt auf Basis AG Energiebilanzen (Werte 1990); Bundesnetzagentur/Bundeskartellamt, Monitoringberichte 2024 und 2025; DVGW-Arbeitsblatt G 685 (Gasabrechnung). Alle Beispielwerte der Musterrechnung sind fiktiv.</w:t>
      </w:r>
    </w:p>
    <w:sectPr>
      <w:headerReference w:type="default" r:id="rId7"/>
      <w:footerReference w:type="default" r:id="rId8"/>
      <w:pgSz w:w="11906" w:h="16838" w:orient="portrait"/>
      <w:pgMar w:top="1250" w:right="1134" w:bottom="1134"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F6B82"/>
        <w:sz w:val="17"/>
        <w:szCs w:val="17"/>
      </w:rPr>
      <w:t xml:space="preserve">Modul 1.1.1 | 1x1 der Energiewirtschaft | Lernskript für die Lernplattform</w:t>
    </w:r>
    <w:r>
      <w:rPr>
        <w:color w:val="4F6B82"/>
        <w:sz w:val="17"/>
        <w:szCs w:val="17"/>
      </w:rPr>
      <w:t xml:space="preserve">	Seite </w:t>
    </w:r>
    <w:r>
      <w:rPr>
        <w:color w:val="4F6B8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4F6B82"/>
        <w:sz w:val="17"/>
        <w:szCs w:val="17"/>
      </w:rPr>
      <w:t xml:space="preserve">BLUU ENERGY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43A4C"/>
      <w:sz w:val="30"/>
      <w:szCs w:val="30"/>
    </w:rPr>
  </w:style>
  <w:style w:type="paragraph" w:styleId="Heading2">
    <w:name w:val="Heading 2"/>
    <w:basedOn w:val="Normal"/>
    <w:next w:val="Normal"/>
    <w:qFormat/>
    <w:pPr>
      <w:outlineLvl w:val="1"/>
    </w:pPr>
    <w:rPr>
      <w:b/>
      <w:bCs/>
      <w:color w:val="243A4C"/>
      <w:sz w:val="25"/>
      <w:szCs w:val="25"/>
    </w:rPr>
  </w:style>
  <w:style w:type="paragraph" w:styleId="Heading3">
    <w:name w:val="Heading 3"/>
    <w:basedOn w:val="Normal"/>
    <w:next w:val="Normal"/>
    <w:qFormat/>
    <w:pPr>
      <w:outlineLvl w:val="2"/>
    </w:pPr>
    <w:rPr>
      <w:b/>
      <w:bCs/>
      <w:color w:val="243A4C"/>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F82EAC76B33FE4FBC59A159734A04AB" ma:contentTypeVersion="12" ma:contentTypeDescription="Ein neues Dokument erstellen." ma:contentTypeScope="" ma:versionID="acd763a308f2abdbe13b299e462fd05e">
  <xsd:schema xmlns:xsd="http://www.w3.org/2001/XMLSchema" xmlns:xs="http://www.w3.org/2001/XMLSchema" xmlns:p="http://schemas.microsoft.com/office/2006/metadata/properties" xmlns:ns2="8b7a228e-651d-46de-9a17-2ccf6e3ee19e" xmlns:ns3="8ac3d7bd-cdc4-41d6-9caf-6ede71898e95" targetNamespace="http://schemas.microsoft.com/office/2006/metadata/properties" ma:root="true" ma:fieldsID="15e992f5e50bb43129dd14359d25a31f" ns2:_="" ns3:_="">
    <xsd:import namespace="8b7a228e-651d-46de-9a17-2ccf6e3ee19e"/>
    <xsd:import namespace="8ac3d7bd-cdc4-41d6-9caf-6ede71898e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7a228e-651d-46de-9a17-2ccf6e3ee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4be6b2de-4295-42ef-90b2-ac55ca3c214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c3d7bd-cdc4-41d6-9caf-6ede71898e9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6e5d78b-78d8-4594-9858-1bf162f2ffdb}" ma:internalName="TaxCatchAll" ma:showField="CatchAllData" ma:web="8ac3d7bd-cdc4-41d6-9caf-6ede71898e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c3d7bd-cdc4-41d6-9caf-6ede71898e95" xsi:nil="true"/>
    <lcf76f155ced4ddcb4097134ff3c332f xmlns="8b7a228e-651d-46de-9a17-2ccf6e3ee1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A0D776-D784-44CB-8B06-EA1F0B54219D}"/>
</file>

<file path=customXml/itemProps2.xml><?xml version="1.0" encoding="utf-8"?>
<ds:datastoreItem xmlns:ds="http://schemas.openxmlformats.org/officeDocument/2006/customXml" ds:itemID="{C17C4585-437D-4C2A-8696-D20C39A3125F}"/>
</file>

<file path=customXml/itemProps3.xml><?xml version="1.0" encoding="utf-8"?>
<ds:datastoreItem xmlns:ds="http://schemas.openxmlformats.org/officeDocument/2006/customXml" ds:itemID="{3BC059DD-1F4A-4F94-8E3E-167CD99350B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1.1.1 1x1 der Energiewirtschaft – Lernskript für die Lernplattform</dc:title>
  <dc:creator>Bluu Energy Academy</dc:creator>
  <cp:lastModifiedBy>Un-named</cp:lastModifiedBy>
  <cp:revision>1</cp:revision>
  <dcterms:created xsi:type="dcterms:W3CDTF">2026-10-17T08:36:15Z</dcterms:created>
  <dcterms:modified xsi:type="dcterms:W3CDTF">2026-10-17T08:36:15Z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0x0101007F82EAC76B33FE4FBC59A159734A04AB</vt:lpwstr>
  </property>
</Properties>
</file>