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FD5" w:rsidRDefault="006F2FD5" w:rsidP="006F2FD5">
      <w:pPr>
        <w:ind w:left="720" w:hanging="360"/>
        <w:jc w:val="both"/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 xml:space="preserve">     </w:t>
      </w:r>
      <w:proofErr w:type="spellStart"/>
      <w:r w:rsidR="005318EF" w:rsidRPr="005318EF">
        <w:rPr>
          <w:rFonts w:ascii="Century Gothic" w:hAnsi="Century Gothic"/>
          <w:b/>
          <w:bCs/>
          <w:color w:val="434343"/>
        </w:rPr>
        <w:t>Strategy</w:t>
      </w:r>
      <w:proofErr w:type="spellEnd"/>
      <w:r w:rsidR="005318EF" w:rsidRPr="005318EF">
        <w:rPr>
          <w:rFonts w:ascii="Century Gothic" w:hAnsi="Century Gothic"/>
          <w:b/>
          <w:bCs/>
          <w:color w:val="434343"/>
        </w:rPr>
        <w:t xml:space="preserve"> </w:t>
      </w:r>
      <w:proofErr w:type="spellStart"/>
      <w:r w:rsidR="005318EF" w:rsidRPr="005318EF">
        <w:rPr>
          <w:rFonts w:ascii="Century Gothic" w:hAnsi="Century Gothic"/>
          <w:b/>
          <w:bCs/>
          <w:color w:val="434343"/>
        </w:rPr>
        <w:t>Pattern</w:t>
      </w:r>
      <w:proofErr w:type="spellEnd"/>
      <w:r w:rsidR="005318EF" w:rsidRPr="005318EF">
        <w:rPr>
          <w:rFonts w:ascii="Century Gothic" w:hAnsi="Century Gothic"/>
          <w:b/>
          <w:bCs/>
          <w:color w:val="434343"/>
        </w:rPr>
        <w:t>:</w:t>
      </w:r>
      <w:r w:rsidR="005318EF">
        <w:rPr>
          <w:rFonts w:ascii="Century Gothic" w:hAnsi="Century Gothic"/>
          <w:color w:val="434343"/>
        </w:rPr>
        <w:t xml:space="preserve"> </w:t>
      </w:r>
      <w:r>
        <w:rPr>
          <w:rFonts w:ascii="Tahoma" w:hAnsi="Tahoma" w:cs="Tahoma"/>
          <w:color w:val="444444"/>
          <w:shd w:val="clear" w:color="auto" w:fill="FFFFFF"/>
        </w:rPr>
        <w:t>es un patrón de diseño de comportamiento que le permite definir una familia de algoritmos, colocar cada uno de ellos en una clase separada y hacer que sus objetos sean intercambiables.</w:t>
      </w:r>
    </w:p>
    <w:p w:rsidR="005318EF" w:rsidRDefault="005318EF" w:rsidP="006F2FD5">
      <w:pPr>
        <w:ind w:left="720" w:hanging="360"/>
        <w:jc w:val="both"/>
      </w:pPr>
    </w:p>
    <w:p w:rsidR="005318EF" w:rsidRDefault="005318EF" w:rsidP="005318EF">
      <w:pPr>
        <w:ind w:left="720" w:hanging="360"/>
        <w:jc w:val="center"/>
      </w:pPr>
      <w:bookmarkStart w:id="0" w:name="_GoBack"/>
      <w:r w:rsidRPr="006F2FD5">
        <w:rPr>
          <w:rFonts w:ascii="Tahoma" w:eastAsia="Times New Roman" w:hAnsi="Tahoma" w:cs="Tahoma"/>
          <w:noProof/>
          <w:color w:val="444444"/>
          <w:sz w:val="24"/>
          <w:szCs w:val="24"/>
          <w:lang w:eastAsia="es-CO"/>
        </w:rPr>
        <w:drawing>
          <wp:inline distT="0" distB="0" distL="0" distR="0" wp14:anchorId="14E18768" wp14:editId="2B1462A5">
            <wp:extent cx="4286250" cy="3714750"/>
            <wp:effectExtent l="0" t="0" r="0" b="0"/>
            <wp:docPr id="1" name="Imagen 1" descr="Estructura del patrón de diseño de la estrategi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ctura del patrón de diseño de la estrategia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F2FD5" w:rsidRPr="005318EF" w:rsidRDefault="006F2FD5" w:rsidP="006F2FD5">
      <w:pPr>
        <w:pStyle w:val="Prrafodelista"/>
        <w:numPr>
          <w:ilvl w:val="0"/>
          <w:numId w:val="2"/>
        </w:numPr>
        <w:rPr>
          <w:rFonts w:ascii="Century Gothic" w:hAnsi="Century Gothic"/>
          <w:b/>
          <w:bCs/>
          <w:color w:val="434343"/>
        </w:rPr>
      </w:pPr>
      <w:r w:rsidRPr="005318EF">
        <w:rPr>
          <w:rFonts w:ascii="Century Gothic" w:hAnsi="Century Gothic"/>
          <w:b/>
          <w:bCs/>
          <w:color w:val="434343"/>
        </w:rPr>
        <w:t>Estructura</w:t>
      </w:r>
    </w:p>
    <w:p w:rsidR="006F2FD5" w:rsidRDefault="006F2FD5" w:rsidP="006F2FD5">
      <w:pPr>
        <w:pStyle w:val="Prrafodelista"/>
      </w:pPr>
    </w:p>
    <w:p w:rsidR="006F2FD5" w:rsidRPr="006F2FD5" w:rsidRDefault="006F2FD5" w:rsidP="006F2FD5">
      <w:pPr>
        <w:pStyle w:val="Prrafodelista"/>
        <w:numPr>
          <w:ilvl w:val="1"/>
          <w:numId w:val="2"/>
        </w:numPr>
      </w:pPr>
      <w:r>
        <w:t xml:space="preserve"> </w:t>
      </w:r>
      <w:r>
        <w:rPr>
          <w:rFonts w:ascii="Tahoma" w:hAnsi="Tahoma" w:cs="Tahoma"/>
          <w:color w:val="444444"/>
          <w:shd w:val="clear" w:color="auto" w:fill="FFFFFF"/>
        </w:rPr>
        <w:t>El </w:t>
      </w:r>
      <w:r>
        <w:rPr>
          <w:rStyle w:val="Textoennegrita"/>
          <w:rFonts w:ascii="Tahoma" w:hAnsi="Tahoma" w:cs="Tahoma"/>
          <w:color w:val="444444"/>
          <w:shd w:val="clear" w:color="auto" w:fill="FFFFFF"/>
        </w:rPr>
        <w:t>contexto</w:t>
      </w:r>
      <w:r>
        <w:rPr>
          <w:rFonts w:ascii="Tahoma" w:hAnsi="Tahoma" w:cs="Tahoma"/>
          <w:color w:val="444444"/>
          <w:shd w:val="clear" w:color="auto" w:fill="FFFFFF"/>
        </w:rPr>
        <w:t> mantiene una referencia a una de las estrategias concretas y se comunica con este objeto solo a través de la interfaz de la estrategia.</w:t>
      </w:r>
    </w:p>
    <w:p w:rsidR="006F2FD5" w:rsidRPr="006F2FD5" w:rsidRDefault="006F2FD5" w:rsidP="006F2FD5">
      <w:pPr>
        <w:pStyle w:val="Prrafodelista"/>
        <w:ind w:left="1080"/>
      </w:pPr>
    </w:p>
    <w:p w:rsidR="006F2FD5" w:rsidRPr="006F2FD5" w:rsidRDefault="006F2FD5" w:rsidP="006F2FD5">
      <w:pPr>
        <w:pStyle w:val="Prrafodelista"/>
        <w:numPr>
          <w:ilvl w:val="1"/>
          <w:numId w:val="2"/>
        </w:numPr>
      </w:pPr>
      <w:r>
        <w:rPr>
          <w:rFonts w:ascii="Tahoma" w:hAnsi="Tahoma" w:cs="Tahoma"/>
          <w:color w:val="444444"/>
          <w:shd w:val="clear" w:color="auto" w:fill="FFFFFF"/>
        </w:rPr>
        <w:t>La interfaz de </w:t>
      </w:r>
      <w:r>
        <w:rPr>
          <w:rStyle w:val="Textoennegrita"/>
          <w:rFonts w:ascii="Tahoma" w:hAnsi="Tahoma" w:cs="Tahoma"/>
          <w:color w:val="444444"/>
          <w:shd w:val="clear" w:color="auto" w:fill="FFFFFF"/>
        </w:rPr>
        <w:t>estrategia</w:t>
      </w:r>
      <w:r>
        <w:rPr>
          <w:rFonts w:ascii="Tahoma" w:hAnsi="Tahoma" w:cs="Tahoma"/>
          <w:color w:val="444444"/>
          <w:shd w:val="clear" w:color="auto" w:fill="FFFFFF"/>
        </w:rPr>
        <w:t> es común a todas las estrategias concretas. Declara un método que el contexto utiliza para ejecutar una estrategia.</w:t>
      </w:r>
    </w:p>
    <w:p w:rsidR="006F2FD5" w:rsidRDefault="006F2FD5" w:rsidP="006F2FD5">
      <w:pPr>
        <w:pStyle w:val="Prrafodelista"/>
      </w:pPr>
    </w:p>
    <w:p w:rsidR="006F2FD5" w:rsidRPr="006F2FD5" w:rsidRDefault="006F2FD5" w:rsidP="006F2FD5">
      <w:pPr>
        <w:pStyle w:val="Prrafodelista"/>
        <w:numPr>
          <w:ilvl w:val="1"/>
          <w:numId w:val="2"/>
        </w:numPr>
      </w:pPr>
      <w:r>
        <w:rPr>
          <w:rStyle w:val="Textoennegrita"/>
          <w:rFonts w:ascii="Tahoma" w:hAnsi="Tahoma" w:cs="Tahoma"/>
          <w:color w:val="444444"/>
          <w:shd w:val="clear" w:color="auto" w:fill="FFFFFF"/>
        </w:rPr>
        <w:t>Las estrategias concretas</w:t>
      </w:r>
      <w:r>
        <w:rPr>
          <w:rFonts w:ascii="Tahoma" w:hAnsi="Tahoma" w:cs="Tahoma"/>
          <w:color w:val="444444"/>
          <w:shd w:val="clear" w:color="auto" w:fill="FFFFFF"/>
        </w:rPr>
        <w:t> implementan diferentes variaciones de un algoritmo que utiliza el contexto.</w:t>
      </w:r>
    </w:p>
    <w:p w:rsidR="006F2FD5" w:rsidRPr="006F2FD5" w:rsidRDefault="006F2FD5" w:rsidP="006F2FD5">
      <w:pPr>
        <w:pStyle w:val="Prrafodelista"/>
        <w:ind w:left="1080"/>
      </w:pPr>
    </w:p>
    <w:p w:rsidR="006F2FD5" w:rsidRPr="006F2FD5" w:rsidRDefault="006F2FD5" w:rsidP="006F2FD5">
      <w:pPr>
        <w:pStyle w:val="Prrafodelista"/>
        <w:numPr>
          <w:ilvl w:val="1"/>
          <w:numId w:val="2"/>
        </w:numPr>
      </w:pPr>
      <w:r>
        <w:rPr>
          <w:rFonts w:ascii="Tahoma" w:hAnsi="Tahoma" w:cs="Tahoma"/>
          <w:color w:val="444444"/>
          <w:shd w:val="clear" w:color="auto" w:fill="FFFFFF"/>
        </w:rPr>
        <w:t>El contexto llama al método de ejecución en el objeto de estrategia vinculada cada vez que necesita ejecutar el algoritmo. El contexto no sabe con qué tipo de estrategia funciona o cómo se ejecuta el algoritmo.</w:t>
      </w:r>
    </w:p>
    <w:p w:rsidR="006F2FD5" w:rsidRPr="006F2FD5" w:rsidRDefault="006F2FD5" w:rsidP="006F2FD5">
      <w:pPr>
        <w:pStyle w:val="Prrafodelista"/>
        <w:ind w:left="1080"/>
      </w:pPr>
    </w:p>
    <w:p w:rsidR="006F2FD5" w:rsidRPr="006F2FD5" w:rsidRDefault="006F2FD5" w:rsidP="006F2FD5">
      <w:pPr>
        <w:pStyle w:val="Prrafodelista"/>
        <w:numPr>
          <w:ilvl w:val="1"/>
          <w:numId w:val="2"/>
        </w:numPr>
      </w:pPr>
      <w:r>
        <w:rPr>
          <w:rFonts w:ascii="Tahoma" w:hAnsi="Tahoma" w:cs="Tahoma"/>
          <w:color w:val="444444"/>
          <w:shd w:val="clear" w:color="auto" w:fill="FFFFFF"/>
        </w:rPr>
        <w:t>El </w:t>
      </w:r>
      <w:r>
        <w:rPr>
          <w:rStyle w:val="Textoennegrita"/>
          <w:rFonts w:ascii="Tahoma" w:hAnsi="Tahoma" w:cs="Tahoma"/>
          <w:color w:val="444444"/>
          <w:shd w:val="clear" w:color="auto" w:fill="FFFFFF"/>
        </w:rPr>
        <w:t>Cliente</w:t>
      </w:r>
      <w:r>
        <w:rPr>
          <w:rFonts w:ascii="Tahoma" w:hAnsi="Tahoma" w:cs="Tahoma"/>
          <w:color w:val="444444"/>
          <w:shd w:val="clear" w:color="auto" w:fill="FFFFFF"/>
        </w:rPr>
        <w:t> crea un objeto de estrategia específico y lo pasa al contexto. El contexto expone un setter que permite a los clientes reemplazar la estrategia asociada con el contexto en tiempo de ejecución.</w:t>
      </w:r>
    </w:p>
    <w:p w:rsidR="006F2FD5" w:rsidRDefault="006F2FD5" w:rsidP="006F2FD5">
      <w:pPr>
        <w:pStyle w:val="Prrafodelista"/>
      </w:pPr>
    </w:p>
    <w:p w:rsidR="006F2FD5" w:rsidRPr="006F2FD5" w:rsidRDefault="006F2FD5" w:rsidP="006F2FD5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444444"/>
          <w:sz w:val="24"/>
          <w:szCs w:val="24"/>
          <w:lang w:eastAsia="es-CO"/>
        </w:rPr>
      </w:pPr>
    </w:p>
    <w:p w:rsidR="006F2FD5" w:rsidRDefault="006F2FD5" w:rsidP="006F2FD5"/>
    <w:p w:rsidR="006F2FD5" w:rsidRPr="00B03D1B" w:rsidRDefault="006F2FD5" w:rsidP="00B03D1B"/>
    <w:sectPr w:rsidR="006F2FD5" w:rsidRPr="00B03D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74CBD"/>
    <w:multiLevelType w:val="hybridMultilevel"/>
    <w:tmpl w:val="CCA68A0A"/>
    <w:lvl w:ilvl="0" w:tplc="0FB4E4CA">
      <w:start w:val="1"/>
      <w:numFmt w:val="decimal"/>
      <w:lvlText w:val="%1."/>
      <w:lvlJc w:val="left"/>
      <w:pPr>
        <w:ind w:left="360" w:hanging="360"/>
      </w:pPr>
      <w:rPr>
        <w:rFonts w:ascii="Tahoma" w:eastAsia="Times New Roman" w:hAnsi="Tahoma" w:cs="Tahoma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E20064"/>
    <w:multiLevelType w:val="multilevel"/>
    <w:tmpl w:val="4E5A3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62"/>
    <w:rsid w:val="000C1308"/>
    <w:rsid w:val="001777D0"/>
    <w:rsid w:val="00364462"/>
    <w:rsid w:val="005318EF"/>
    <w:rsid w:val="006F2FD5"/>
    <w:rsid w:val="0070417F"/>
    <w:rsid w:val="009D261E"/>
    <w:rsid w:val="00AF2FB6"/>
    <w:rsid w:val="00B0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FE70A"/>
  <w15:chartTrackingRefBased/>
  <w15:docId w15:val="{843B39AC-717B-4314-8AF2-241F159D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F2F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2FD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2FD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6F2F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7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Canacuan</dc:creator>
  <cp:keywords/>
  <dc:description/>
  <cp:lastModifiedBy>Adrián Canacuan</cp:lastModifiedBy>
  <cp:revision>3</cp:revision>
  <dcterms:created xsi:type="dcterms:W3CDTF">2019-11-15T15:35:00Z</dcterms:created>
  <dcterms:modified xsi:type="dcterms:W3CDTF">2019-11-15T16:13:00Z</dcterms:modified>
</cp:coreProperties>
</file>