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Delta Architecture</w:t>
      </w:r>
    </w:p>
    <w:p>
      <w:r>
        <w:t>Meeting Minutes</w:t>
      </w:r>
    </w:p>
    <w:p>
      <w:pPr>
        <w:pStyle w:val="Heading1"/>
      </w:pPr>
      <w:r>
        <w:t>Discussion</w:t>
      </w:r>
    </w:p>
    <w:p>
      <w:r>
        <w:t>Frank: Using Microservices seems unnecessary for the MVP.</w:t>
      </w:r>
    </w:p>
    <w:p>
      <w:r>
        <w:t>Grace: But we need to scale later.</w:t>
      </w:r>
    </w:p>
    <w:p>
      <w:r>
        <w:t>Frank: OK, let's separate the auth service at least.</w:t>
      </w:r>
    </w:p>
    <w:p>
      <w:pPr>
        <w:pStyle w:val="Heading1"/>
      </w:pPr>
      <w:r>
        <w:t>Action Items</w:t>
      </w:r>
    </w:p>
    <w:p>
      <w:pPr>
        <w:pStyle w:val="ListBullet"/>
      </w:pPr>
      <w:r>
        <w:t>Grace to draft the architecture diagram.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