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SELECT codfac , fecha , codcli 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COALESCE ( iva , 0 ) AS iva , iva AS iva_null ,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COALESCE ( dto , 0 ) AS dto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FROM facturas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WHERE codcli &lt; 50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AND ( iva = 0 OR iva IS NULL ) 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SELECT codfac , Coalesce(codcli,-1)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FROM facturas 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SELECT codart,codfac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FROM LINEAS_FAC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WHERE cant = 1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AND   precio &gt; 100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ORDER BY codart,codfac;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SELECT codart,descrip, stock_min - stock AS unidades_necesarias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FROM ARTICULOS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WHERE stock &lt; stock_min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ORDER BY descrip;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SELECT distinct(COALESCE(iva,0))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FROM FACTURAS;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SELECT codfac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FROM FACTURAS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WHERE COALESCE(codcli,0) = 0;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Select DISTINCT(codart)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FROM LINEAS_FAC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WHERE codfac BETWEEN 5776 AND 5781;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SELECT codart,descrip,precio * 2 AS precio,stock,stock_min,dto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FROM ARTICULOS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WHERE precio &lt; 0.05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ORDER BY codart;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SELECT codfac,linea,cant,codart,precio,precio*cant AS total,dto,TRUNC((precio*cant) - ((dto*(precio*cant))/100),2) AS total_con_dto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FROM LINEAS_FAC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where COALESCE(dto,0) &gt; 0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ORDER BY codfac DESC, linea ASC;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11)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SELECT codart,descrip,stock_min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FROM ARTICULOS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WHERE precio &gt; 1.00 AND (stock_min IS NULL OR stock IS NULL 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ORDER BY descrip;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