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codfac,fecha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FACTURAS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EXTRACT(MONTH FROM fecha) = 3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EXTRACT(YEAR FROM fecha) IN (2020,2019,2018)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ORDER  BY fecha DESC;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codfac,fecha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FACTURAS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EXTRACT(doy FROM fecha) &lt;= 50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EXTRACT(year FROM fecha) = 2020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codcli BETWEEN 100 AND 250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ORDER BY fecha;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codfac,fecha,codcli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FACTURAS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EXTRACT(YEAR FROM fecha) = 2020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EXTRACT( MONTH FROM fecha) &gt;= 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codcli BETWEEN 50 AND 100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ORDER BY fecha;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codfac,fecha,COALESCE(iva,0),COALESCE(dto,0),codcli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FACTURAS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codcli IN (90,99)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(COALESCE(dto,0) = 0 OR COALESCE(iva,0) = 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ORDER BY fecha;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nombre,codpro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PUEBLOS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COALESCE(codpro,'00') IN ('03','12','46')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UPPER(nombre) LIKE '%BO'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ORDER BY nombre;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v.nombre,pr.nombre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VENDEDORES AS v JOIN PUEBLOS AS pu USING(codpue)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JOIN PROVINCIAS AS pr USING(codpro)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v.codpostal LIKE '03%' OR v.codpostal LIKE '12%' OR v.codpostal LIKE '46%';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nombre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CLIENTES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codcli &lt;=50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GROUP BY codcli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HAVING COUNT(*) &gt; 10;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codcli, COUNT(*) AS facturas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facturas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iva = 18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GROUP BY codcli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HAVING COUNT(*) &gt; 5;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