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ЖУРНАЛ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учёта обращений, претензий и запросов пациентов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Заполняется администратором в день поступления обращения. Журнал подтверждает дату получения обращения и дату ответа — именно от них считаются сроки по ст. 31 Закона РФ «О защите прав потребителей» и по ст. 20 Федерального закона № 152-ФЗ. Журнал прошивается и нумеруется.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"/>
        <w:gridCol w:w="1134"/>
        <w:gridCol w:w="2268"/>
        <w:gridCol w:w="2948"/>
        <w:gridCol w:w="3175"/>
        <w:gridCol w:w="1474"/>
        <w:gridCol w:w="2608"/>
        <w:gridCol w:w="1304"/>
      </w:tblGrid>
      <w:tr>
        <w:tc>
          <w:tcPr>
            <w:tcW w:type="dxa" w:w="5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№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Дата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Ф. И. О. заявителя, контакт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Характер обращения (претензия / запрос документов / вопрос по персональным данным / благодарность)</w:t>
            </w:r>
          </w:p>
        </w:tc>
        <w:tc>
          <w:tcPr>
            <w:tcW w:type="dxa" w:w="317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Суть обращения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Кому передано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Дата и содержание ответа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Подпись</w:t>
            </w:r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113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2948"/>
          </w:tcPr>
          <w:p>
            <w:pPr>
              <w:spacing w:after="0"/>
            </w:pPr>
            <w:r/>
          </w:p>
        </w:tc>
        <w:tc>
          <w:tcPr>
            <w:tcW w:type="dxa" w:w="3175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1304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Претензия и любое требование о деньгах в тот же день передаются руководителю: срок ответа — 10 дней, и он не продлевается.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Запрос о персональных данных (сведения об обработке, уточнение, уничтожение, отзыв согласия) передаётся ответственному за организацию обработки персональных данных.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19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19"/>
        </w:rPr>
        <w:t>Устное обращение, по которому пациент требует ответа, оформляется письменно с его слов и подписывается пациентом.</w:t>
      </w:r>
    </w:p>
    <w:sectPr w:rsidR="00FC693F" w:rsidRPr="0006063C" w:rsidSect="00034616">
      <w:footerReference w:type="default" r:id="rId9"/>
      <w:pgSz w:w="16838" w:h="11906" w:orient="landscape"/>
      <w:pgMar w:top="794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Журнал учёта обращений, претензий и запросов пациентов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