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Услуги оказываются в отношении следующих сайтов Заказчика: angel-denta.ru (стоматология «Ангел-Дент», г. Реутов); versal-dent.ru (стоматология «Версаль», г. Реутов); venecia-dent.ru (стоматология «Венеция», г. Мытищи). Перечень сайтов может быть изменён дополнительным соглашением Сторон с одновременным согласованием изменения стоимости услуг. Если сайт администрируется иным лицом, чем Заказчик, Заказчик гарантирует наличие у него полномочий заказывать услуги в отношении такого сайта.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150 000,00 (сто пятьдесят тысяч рублей 00 копеек) за один календарный месяц (расчётный период) за весь перечень сайтов, указанный в п. 1.2 Договора, без распределения стоимости по отдельным сайтам.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двумя равными платежами по 75 000,00 (семьдесят пять тысяч рублей 00 копеек) каждый: не позднее 1-го числа и не позднее 15-го числа каждого календарного месяца. Платёж, вносимый не позднее 1-го числа, оплачивает услуги за период с 1-го по 14-е число месяца включительно; платёж, вносимый не позднее 15-го числа, — за период с 15-го числа по последний день месяца. Оплата производится на основании настоящего Договора; счёт выставляется Исполнителем для удобства Заказчика, невыставление счёта не освобождает Заказчика от обязанности внести платёж в установленный срок.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начинает действовать или прекращается внутри платёжного периода, указанного в п. 3.2, стоимость услуг за такой период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расчётного месяца внесённая Заказчиком за этот месяц оплата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Исключительные права на созданные Исполнителем в рамках Договора объекты авторского права (тексты, изображения, элементы дизайна, программный код, макеты) принадлежат Исполнителю и Заказчику не отчуждаются. Передача (отчуждение) исключительных прав настоящим Договором не предусмотрена.</w:t>
      </w:r>
    </w:p>
    <w:p>
      <w:pPr>
        <w:spacing w:after="80"/>
        <w:jc w:val="both"/>
      </w:pPr>
      <w:r>
        <w:rPr>
          <w:b w:val="0"/>
          <w:i w:val="0"/>
        </w:rPr>
        <w:t>4.2. Заказчику предоставляется простая (неисключительная) лицензия на использование указанных материалов на сайтах, перечисленных в п. 1.2 Договора, и в собственных информационных и рекламных целях — на срок действия Договора, при условии оплаты расчётных периодов, в которые материалы созданы. Отдельное вознаграждение за лицензию не взимается (входит в стоимость услуг). При неоплате либо при прекращении Договора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подготовке и размещению рекламы по заданию Заказчика. Ответственность за нарушение требований законодательства о рекламе в части содержания рекламной информации несёт Заказчик как рекламодатель (статья 38 Федерального закона «О рекламе»).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80"/>
        <w:jc w:val="both"/>
      </w:pPr>
      <w:r>
        <w:rPr>
          <w:b w:val="0"/>
          <w:i w:val="0"/>
        </w:rPr>
        <w:t>5.6. Если в связи с содержанием или распространением рекламных и информационных материалов о деятельности Заказчика, его услугах, ценах или специалистах к Исполнителю будут применены меры административной или иной ответственности либо предъявлены требования или иски государственных органов или третьих лиц, Заказчик возмещает Исполнителю возникшие в связи с этим имущественные потери (суммы штрафов, компенсаций, судебных и иных расходов) в порядке статьи 406.1 Гражданского кодекса Российской Федерации в течение 10 (десяти) рабочих дней с даты предъявления требования Исполнителя с приложением подтверждающих документов.</w:t>
      </w:r>
    </w:p>
    <w:p>
      <w:pPr>
        <w:spacing w:after="80"/>
        <w:jc w:val="both"/>
      </w:pPr>
      <w:r>
        <w:rPr>
          <w:b w:val="0"/>
          <w:i w:val="0"/>
        </w:rPr>
        <w:t>5.7. Материалы (тексты, изображения, объявления, публикации), направленные Исполнителем Заказчику любым способом, предусмотренным п. 10.2 Договора, считаются согласованными Заказчиком, если в течение 3 (трёх) рабочих дней с даты направления Заказчик не заявил письменных возражений. Материалы, размещённые до истечения этого срока, считаются размещёнными с ведома и по заданию Заказчика, если Заказчик не потребовал их удаления в тот же срок.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его подписания обеими Сторонами и заключён на неопределённый срок. Договор действует до его прекращения по основаниям, предусмотренным настоящим Договором или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в мессенджерах с номеров телефонов, указанных в разделе 11, а также с иных адресов электронной почты и номеров телефонов работников и иных представителей Сторон, когда из содержания переписки и обстановки, в которой она ведётся, явствует, что лицо действует от имени соответствующей Стороны (абзац второй пункта 1 статьи 182 Гражданского кодекса Российской Федерации). Задания, согласования, подтверждения и иные сообщения, полученные Исполнителем от таких лиц со стороны Заказчика, считаются исходящими от Заказчика, и Заказчик не вправе ссылаться на отсутствие у этих лиц полномочий. Юридическая сила признаётся в том числе за скан-копиями подписанных документов до обмена оригиналами;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