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АКТ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об оказании медицинских услуг и гарантийный талон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Акт подтверждает факт оказания услуг и является первичным учётным документом (ч. 2 ст. 9 Федерального закона от 06.12.2011 № 402-ФЗ «О бухгалтерском учёте»). Со дня подписания акта исчисляются гарантийный срок и срок службы на результат услуги.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Пациент: фамилия, имя, отчество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Договор от (дата), план лечения от (дата)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Лечащий врач: Ф. И. О., специальность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Период оказания услуг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Оказанные услуги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4649"/>
        <w:gridCol w:w="1361"/>
        <w:gridCol w:w="1020"/>
        <w:gridCol w:w="1701"/>
      </w:tblGrid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№</w:t>
            </w:r>
          </w:p>
        </w:tc>
        <w:tc>
          <w:tcPr>
            <w:tcW w:type="dxa" w:w="464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Наименование оказанной услуги, зуб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Дата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Кол-во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Сумма, ₽</w:t>
            </w:r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4649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4649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4649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4649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4649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4649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4649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4649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4649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4649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</w:tbl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Итого оказано услуг на сумму, ₽ (сумма прописью)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Оплачено, ₽ / способ оплаты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Задолженность (при наличии), ₽ и срок погашения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Услуги оказаны в объёме, указанном в настоящем акте. Информация о состоянии здоровья, о результатах лечения, о применённых материалах и медицинских изделиях, а также рекомендации на период после лечения Пациенту предоставлены.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На момент подписания акта видимых недостатков оказанных услуг не обнаружено; объём оказанных услуг соответствует настоящему акту.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Подписание акта не лишает Пациента права предъявить требования, связанные с недостатками услуг, в течение гарантийного срока, а если он не установлен — в течение двух лет со дня принятия услуги (ст. 29 Закона РФ «О защите прав потребителей»).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Если Пациент не подписал акт и не заявил мотивированных возражений в течение 5 (пяти) рабочих дней с даты его получения, услуги считаются оказанными надлежащим образом и принятыми (п. 2.6 договора).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Гарантийный талон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75"/>
        <w:gridCol w:w="2608"/>
        <w:gridCol w:w="1928"/>
        <w:gridCol w:w="1928"/>
      </w:tblGrid>
      <w:tr>
        <w:tc>
          <w:tcPr>
            <w:tcW w:type="dxa" w:w="317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Вид работы, зуб</w:t>
            </w:r>
          </w:p>
        </w:tc>
        <w:tc>
          <w:tcPr>
            <w:tcW w:type="dxa" w:w="260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Материал / конструкция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Гарантийный срок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Срок службы</w:t>
            </w:r>
          </w:p>
        </w:tc>
      </w:tr>
      <w:tr>
        <w:trPr>
          <w:trHeight w:val="351"/>
        </w:trPr>
        <w:tc>
          <w:tcPr>
            <w:tcW w:type="dxa" w:w="317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1928"/>
          </w:tcPr>
          <w:p>
            <w:pPr>
              <w:spacing w:after="0"/>
            </w:pPr>
            <w:r/>
          </w:p>
        </w:tc>
        <w:tc>
          <w:tcPr>
            <w:tcW w:type="dxa" w:w="1928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317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1928"/>
          </w:tcPr>
          <w:p>
            <w:pPr>
              <w:spacing w:after="0"/>
            </w:pPr>
            <w:r/>
          </w:p>
        </w:tc>
        <w:tc>
          <w:tcPr>
            <w:tcW w:type="dxa" w:w="1928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317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1928"/>
          </w:tcPr>
          <w:p>
            <w:pPr>
              <w:spacing w:after="0"/>
            </w:pPr>
            <w:r/>
          </w:p>
        </w:tc>
        <w:tc>
          <w:tcPr>
            <w:tcW w:type="dxa" w:w="1928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317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1928"/>
          </w:tcPr>
          <w:p>
            <w:pPr>
              <w:spacing w:after="0"/>
            </w:pPr>
            <w:r/>
          </w:p>
        </w:tc>
        <w:tc>
          <w:tcPr>
            <w:tcW w:type="dxa" w:w="1928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317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1928"/>
          </w:tcPr>
          <w:p>
            <w:pPr>
              <w:spacing w:after="0"/>
            </w:pPr>
            <w:r/>
          </w:p>
        </w:tc>
        <w:tc>
          <w:tcPr>
            <w:tcW w:type="dxa" w:w="1928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317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1928"/>
          </w:tcPr>
          <w:p>
            <w:pPr>
              <w:spacing w:after="0"/>
            </w:pPr>
            <w:r/>
          </w:p>
        </w:tc>
        <w:tc>
          <w:tcPr>
            <w:tcW w:type="dxa" w:w="1928"/>
          </w:tcPr>
          <w:p>
            <w:pPr>
              <w:spacing w:after="0"/>
            </w:pPr>
            <w:r/>
          </w:p>
        </w:tc>
      </w:tr>
    </w:tbl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19"/>
        </w:rPr>
        <w:t>Гарантийный срок — период, в течение которого Исполнитель безвозмездно устраняет недостатки, возникшие по его вине. Срок службы — период, в течение которого конструкция сохраняет функциональные свойства при обычных условиях пользования; истечение срока службы само по себе недостатком не является.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19"/>
        </w:rPr>
        <w:t>Гарантия действует при соблюдении Пациентом правил пользования результатом услуги: профилактический осмотр не реже одного раза в 6 месяцев, профессиональная гигиена по назначению врача, соблюдение рекомендаций, отсутствие вмешательства третьих лиц в результат лечения.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19"/>
        </w:rPr>
        <w:t>Гарантия не распространяется на временные конструкции и временные пломбы, на результат лечения, выполненного в объёме меньшем рекомендованного, на повреждения вследствие травмы, перегрузки и бруксизма при отказе от защитной капы, на изменения, вызванные развитием общих заболеваний и естественными возрастными изменениями тканей (п. 6.5 договора).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19"/>
        </w:rPr>
        <w:t>При обнаружении недостатка Пациент обращается к Исполнителю для осмотра; устранение недостатка, возникшего по вине Исполнителя, производится безвозмездно.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624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Пациента (законного представителя), расшифровка, дата: услуги приняты, рекомендации и гарантийный талон получены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Исполнитель: должность, подпись, расшифровка, дата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Акт об оказании медицинских услуг и гарантийный талон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