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«31» июля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Перечень сайтов, в отношении которых оказываются услуги, приведён в Приложении № 1 к настоящему Договору, являющемся его неотъемлемой частью.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90 000,00 (девяносто тысяч рублей 00 копеек) за один календарный месяц (расчётный период) за весь перечень сайтов, указанный в Приложении № 1.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в порядке 100 % предоплаты за расчётный месяц на основании счёта Исполнителя, в течение 5 (пяти) рабочих дней с даты его выставления.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действует неполный календарный месяц, стоимость за этот месяц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оплаченного расчётного месяца указанная сумма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80"/>
        <w:jc w:val="both"/>
      </w:pPr>
      <w:r>
        <w:rPr>
          <w:b w:val="0"/>
          <w:i w:val="0"/>
        </w:rPr>
        <w:t>3.9. За просрочку оплаты Исполнитель вправе потребовать неустойку в размере 0,1 % от просроченной суммы за каждый день просрочки, но не более 10 % от такой суммы. Неустойка начисляется с момента предъявления письменного требования.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Исключительное право на созданные Исполнителем в рамках Договора объекты авторского права (тексты, изображения, элементы дизайна, программный код) переходит к Заказчику в момент поступления Исполнителю полной оплаты за расчётный месяц, в котором они созданы, в объёме, необходимом для использования на сайтах Заказчика.</w:t>
      </w:r>
    </w:p>
    <w:p>
      <w:pPr>
        <w:spacing w:after="80"/>
        <w:jc w:val="both"/>
      </w:pPr>
      <w:r>
        <w:rPr>
          <w:b w:val="0"/>
          <w:i w:val="0"/>
        </w:rPr>
        <w:t>4.2. До момента полной оплаты соответствующего расчётного месяца Заказчику предоставляется отзывная безвозмездная простая (неисключительная) лицензия на использование указанных материалов. При неоплате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размещению рекламы по заданию Заказчика.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подписания и действует 1 (один) год. Если ни одна из Сторон не заявит о прекращении не менее чем за 14 (четырнадцать) календарных дней до окончания срока, Договор считается продлённым на тот же срок; число продлений не ограничено.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а также в мессенджерах с номеров телефонов, указанных в разделе 12, включая скан-копии подписанных документов, до обмена оригиналами.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Приложения</w:t>
      </w:r>
    </w:p>
    <w:p>
      <w:pPr>
        <w:spacing w:after="80"/>
        <w:jc w:val="both"/>
      </w:pPr>
      <w:r>
        <w:rPr>
          <w:b w:val="0"/>
          <w:i w:val="0"/>
        </w:rPr>
        <w:t>11.1. Приложение № 1 «Перечень сайтов и состав услуг» — является неотъемлемой частью Договора.</w:t>
      </w:r>
    </w:p>
    <w:p>
      <w:pPr>
        <w:spacing w:after="40"/>
        <w:jc w:val="left"/>
      </w:pPr>
      <w:r>
        <w:rPr>
          <w:b/>
          <w:i w:val="0"/>
        </w:rPr>
        <w:t>12.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