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361"/>
        <w:gridCol w:w="8277"/>
      </w:tblGrid>
      <w:tr>
        <w:tc>
          <w:tcPr>
            <w:tcW w:type="dxa" w:w="1361"/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684000" cy="684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-doc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00" cy="68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27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Стоматология «Ангел-Дент»</w:t>
            </w:r>
          </w:p>
          <w:p>
            <w:pPr>
              <w:spacing w:after="2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143968, Московская область, г. Реутов, ул. Победы, д. 22, тел. +7 (910) 458-88-08</w:t>
            </w:r>
          </w:p>
          <w:p>
            <w:pPr>
              <w:spacing w:after="2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Общество с ограниченной ответственностью «АНГЕЛ-ДЕНТ»</w:t>
            </w:r>
          </w:p>
          <w:p>
            <w:pPr>
              <w:spacing w:after="2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Лицензия на медицинскую деятельность № Л041-01162-50/00299266 от 19.07.2016, предоставлена бессрочно</w:t>
            </w:r>
          </w:p>
        </w:tc>
      </w:tr>
    </w:tbl>
    <w:p>
      <w:pPr>
        <w:keepNext w:val="0"/>
        <w:spacing w:after="12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02"/>
        <w:gridCol w:w="4535"/>
      </w:tblGrid>
      <w:tr>
        <w:tc>
          <w:tcPr>
            <w:tcW w:type="dxa" w:w="5102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  <w:tc>
          <w:tcPr>
            <w:tcW w:type="dxa" w:w="4535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УТВЕРЖДАЮ</w:t>
            </w:r>
          </w:p>
          <w:p>
            <w:pPr>
              <w:spacing w:after="2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Генеральный директор ООО «АНГЕЛ-ДЕНТ»</w:t>
            </w:r>
          </w:p>
          <w:p>
            <w:pPr>
              <w:spacing w:after="2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__________________ / С. И. Геворкян</w:t>
            </w:r>
          </w:p>
          <w:p>
            <w:pPr>
              <w:spacing w:after="2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«____» ______________ 20___ г.</w:t>
            </w:r>
          </w:p>
        </w:tc>
      </w:tr>
    </w:tbl>
    <w:p>
      <w:pPr>
        <w:keepNext w:val="0"/>
        <w:spacing w:after="12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40"/>
        <w:jc w:val="center"/>
      </w:pPr>
      <w:r>
        <w:rPr>
          <w:rFonts w:ascii="Times New Roman" w:hAnsi="Times New Roman" w:eastAsia="Times New Roman"/>
          <w:b/>
          <w:i w:val="0"/>
          <w:sz w:val="25"/>
        </w:rPr>
        <w:t>ПОЛИТИКА</w:t>
      </w:r>
    </w:p>
    <w:p>
      <w:pPr>
        <w:keepNext/>
        <w:spacing w:after="40"/>
        <w:jc w:val="center"/>
      </w:pPr>
      <w:r>
        <w:rPr>
          <w:rFonts w:ascii="Times New Roman" w:hAnsi="Times New Roman" w:eastAsia="Times New Roman"/>
          <w:b/>
          <w:i w:val="0"/>
          <w:sz w:val="25"/>
        </w:rPr>
        <w:t>в отношении обработки персональных данных</w:t>
      </w:r>
    </w:p>
    <w:p>
      <w:pPr>
        <w:keepNext w:val="0"/>
        <w:spacing w:after="160"/>
        <w:jc w:val="center"/>
      </w:pPr>
      <w:r>
        <w:rPr>
          <w:rFonts w:ascii="Times New Roman" w:hAnsi="Times New Roman" w:eastAsia="Times New Roman"/>
          <w:b w:val="0"/>
          <w:i/>
          <w:sz w:val="18"/>
        </w:rPr>
        <w:t>Утверждена приказом руководителя. Разработана в соответствии с ч. 2 ст. 18.1 Федерального закона от 27.07.2006 № 152-ФЗ «О персональных данных». Размещается в свободном доступе на сайте оператора и на информационном стенде.</w:t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1. Общие положения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Оператор персональных данных — Общество с ограниченной ответственностью «АНГЕЛ-ДЕНТ» (ОГРН 1135012000936, ИНН 5012077543, КПП 504101001), место нахождения: 143968, Московская область, г. Реутов, ул. Победы, д. 22, помещение V; далее — Оператор или Клиника. Медицинская деятельность осуществляется на основании лицензии № Л041-01162-50/00299266 от 19.07.2016, предоставленной бессрочно.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Политика определяет порядок обработки персональных данных и сведения о реализуемых требованиях к их защите. Политика применяется ко всем персональным данным, которые Оператор получает от субъектов и третьих лиц, независимо от способа обработки — на бумаге, в медицинской информационной системе, в телефонии и мессенджерах, на сайте Клиники.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Политика действует бессрочно, до утверждения новой редакции. Действующая редакция размещена на сайте angel-denta.ru в свободном доступе.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Основные понятия используются в значениях, установленных ст. 3 Федерального закона № 152-ФЗ.</w:t>
      </w:r>
    </w:p>
    <w:p>
      <w:pPr>
        <w:keepNext w:val="0"/>
        <w:spacing w:after="8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2. Правовые основания обработки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Федеральный закон от 27.07.2006 № 152-ФЗ «О персональных данных»; Федеральный закон от 21.11.2011 № 323-ФЗ «Об основах охраны здоровья граждан в Российской Федерации» (в том числе ст. 13 — врачебная тайна, ст. 22 — информация о состоянии здоровья, ст. 79 — обязанности медицинской организации); Закон РФ от 07.02.1992 № 2300-1 «О защите прав потребителей».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Правила предоставления медицинскими организациями платных медицинских услуг, утв. постановлением Правительства РФ от 30.05.2026 № 659; договор на оказание платных медицинских услуг, заключаемый с пациентом; информированное добровольное согласие на медицинское вмешательство.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Налоговый кодекс РФ (пп. 3 п. 1 ст. 219 — социальный налоговый вычет, выдача справки об оплате медицинских услуг); Федеральный закон от 06.12.2011 № 402-ФЗ «О бухгалтерском учёте»; Трудовой кодекс РФ — в части данных работников; согласие субъекта — в случаях, когда оно требуется.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Обработка сведений о состоянии здоровья ведётся в медико-профилактических целях, для оказания медицинских услуг лицом, обязанным сохранять врачебную тайну; в этом случае согласие субъекта не требуется (п. 4 ч. 2 ст. 10 Федерального закона № 152-ФЗ). Это не освобождает Оператора ни от одной из прочих обязанностей, предусмотренных законом.</w:t>
      </w:r>
    </w:p>
    <w:p>
      <w:pPr>
        <w:keepNext w:val="0"/>
        <w:spacing w:after="8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3. Категории субъектов и состав обрабатываемых данных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Пациенты и их законные представители: фамилия, имя, отчество, дата рождения, пол, данные документа, удостоверяющего личность, адрес места жительства, номер телефона, адрес электронной почты, сведения о состоянии здоровья (анамнез, диагнозы, планы и результаты лечения, рентгеновские изображения, фотопротоколы, слепки и цифровые модели), сведения об оплате.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Лица, обратившиеся за консультацией, но не заключившие договор: фамилия, имя, номер телефона, содержание обращения, источник обращения.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Работники, кандидаты на трудоустройство, представители контрагентов — в объёме, необходимом для трудовых и гражданско-правовых отношений.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Посетители сайта Клиники: данные, передаваемые браузером (IP-адрес, сведения о браузере и устройстве, файлы cookie, данные систем веб-аналитики), а также сведения, которые посетитель вводит в форму записи.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Посетители помещений Клиники: изображение, полученное системой видеонаблюдения в зонах общего пользования. Биометрическая обработка (распознавание лиц) не применяется.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Оператор не обрабатывает персональные данные, не относящиеся к заявленным целям, и не собирает избыточных сведений.</w:t>
      </w:r>
    </w:p>
    <w:p>
      <w:pPr>
        <w:keepNext w:val="0"/>
        <w:spacing w:after="8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4. Цели обработки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Заключение и исполнение договора на оказание платных медицинских услуг, включая запись на приём, напоминание о визите, ведение медицинской документации и расчёты.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Оказание медицинской помощи, в том числе диагностика, лечение, профилактика, изготовление ортопедических и ортодонтических конструкций с привлечением зуботехнической лаборатории.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Исполнение обязанностей, установленных законом: ведение и хранение медицинской документации, бухгалтерский и налоговый учёт, выдача справок об оплате медицинских услуг для налогового вычета, передача сведений в единую государственную информационную систему в сфере здравоохранения, ответы на запросы уполномоченных органов.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Рассмотрение обращений, претензий и заявлений, защита прав и законных интересов Оператора, в том числе в суде.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Информирование о работе Клиники и об услугах — только при наличии отдельного согласия субъекта, которое может быть отозвано в любой момент.</w:t>
      </w:r>
    </w:p>
    <w:p>
      <w:pPr>
        <w:keepNext w:val="0"/>
        <w:spacing w:after="8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5. Принципы и условия обработки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Обработка ведётся законно и справедливо, только для заявленных целей; объём и содержание данных не избыточны по отношению к целям; данные точны и при необходимости актуализируются.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Хранение ведётся в форме, позволяющей определить субъекта, не дольше, чем этого требуют цели обработки или закон. Медицинская документация хранится в сроки, установленные для медицинских документов; бухгалтерские документы — не менее 5 лет; записи видеонаблюдения — 30 дней; данные лиц, обратившихся, но не заключивших договор, — не более 1 года.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По достижении целей обработки, а также при отзыве согласия (если обработка велась на его основании) данные уничтожаются или обезличиваются в сроки, установленные ст. 21 Федерального закона № 152-ФЗ. Факт уничтожения фиксируется актом.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Базы данных, в которых ведётся сбор персональных данных граждан Российской Федерации, находятся на территории Российской Федерации (ч. 5 ст. 18 Федерального закона № 152-ФЗ). Трансграничная передача не осуществляется.</w:t>
      </w:r>
    </w:p>
    <w:p>
      <w:pPr>
        <w:keepNext w:val="0"/>
        <w:spacing w:after="8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6. Передача персональных данных третьим лицам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Сведения, составляющие врачебную тайну, разглашению не подлежат, кроме случаев, предусмотренных ст. 13 Федерального закона № 323-ФЗ, и случаев, когда пациент дал письменное согласие.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Данные могут передаваться: зуботехнической лаборатории и диагностическому центру — в объёме, необходимом для изготовления конструкции или проведения исследования; оператору медицинской информационной системы и оператору связи — в рамках технической поддержки; банкам и операторам фискальных данных — при расчётах; аудиторам, юридическим представителям и страховщикам профессиональной ответственности — при защите интересов Оператора.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Если обработка поручается другому лицу, поручение оформляется договором, в котором указаны перечень действий, цели, обязанность соблюдать конфиденциальность и требования к защите данных (ч. 3 ст. 6 Федерального закона № 152-ФЗ). Согласие субъекта на такое поручение не требуется, ответственность перед субъектом несёт Оператор.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Передача сведений в государственные информационные системы в сфере здравоохранения и уполномоченным органам осуществляется в случаях и порядке, установленных законом.</w:t>
      </w:r>
    </w:p>
    <w:p>
      <w:pPr>
        <w:keepNext w:val="0"/>
        <w:spacing w:after="8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7. Меры по обеспечению безопасности данных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Назначены ответственный за организацию обработки персональных данных (ст. 22.1 Федерального закона № 152-ФЗ) и лицо, ответственное за обеспечение безопасности данных в информационных системах.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Утверждён перечень работников, допущенных к обработке; с каждого из них взято письменное обязательство о неразглашении врачебной тайны и персональных данных, работники ознакомлены с Политикой и локальными актами.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Бумажные носители (медицинские карты, договоры, согласия) хранятся в запираемых шкафах в помещениях с ограниченным доступом; документы не оставляются на стойке администратора без присмотра; монитор администратора развёрнут так, чтобы данные не были видны посетителям.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В информационных системах применяются разграничение прав доступа, индивидуальные учётные записи и пароли, антивирусная защита, резервное копирование, средства защиты информации, прошедшие оценку соответствия; определены угрозы безопасности и необходимый уровень защищённости (постановление Правительства РФ от 01.11.2012 № 1119).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Проводится внутренний контроль соответствия обработки требованиям закона; результаты оформляются актом не реже одного раза в год.</w:t>
      </w:r>
    </w:p>
    <w:p>
      <w:pPr>
        <w:keepNext w:val="0"/>
        <w:spacing w:after="8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8. Права субъекта персональных данных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Субъект вправе получить сведения об обработке своих данных, требовать их уточнения, блокирования или уничтожения, если они неполны, устарели, неточны, получены незаконно или не нужны для заявленной цели, а также отозвать согласие, если обработка ведётся на его основании.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Пациент вправе непосредственно знакомиться с медицинской документацией и получать её копии (ч. 4 и ч. 5 ст. 22 Федерального закона № 323-ФЗ) — на основании письменного заявления, в порядке, утверждённом приказом Министерства здравоохранения Российской Федерации от 12.11.2021 № 1050н. Плата за это не взимается.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Запрос направляется в письменной форме по адресу Клиники либо по электронной почте angel.dent@bk.ru. Запрос должен содержать сведения, подтверждающие личность заявителя (в том числе данные документа, удостоверяющего личность), и сведения о взаимоотношениях с Оператором. Ответ даётся в срок, установленный законом.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Отзыв согласия на информирование об услугах не влечёт отказа в медицинской помощи: лечение и ведение документации ведутся на основании закона и договора.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Субъект вправе обжаловать действия Оператора в Роскомнадзоре (Управление Роскомнадзора по Центральному федеральному округу) и в суде.</w:t>
      </w:r>
    </w:p>
    <w:p>
      <w:pPr>
        <w:keepNext w:val="0"/>
        <w:spacing w:after="8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9. Действия при инцидентах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При неправомерной или случайной передаче (предоставлении, распространении, доступе) персональных данных Оператор уведомляет Роскомнадзор в течение 24 часов о произошедшем инциденте и в течение 72 часов — о результатах внутреннего расследования и о виновных лицах (ч. 3.1 ст. 21 Федерального закона № 152-ФЗ).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Инцидент фиксируется актом, проводится внутреннее расследование, принимаются меры по устранению причин; при наличии оснований субъекты уведомляются о случившемся.</w:t>
      </w:r>
    </w:p>
    <w:p>
      <w:pPr>
        <w:keepNext w:val="0"/>
        <w:spacing w:after="8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10. Сайт, файлы cookie и аналитика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Сайт Клиники использует файлы cookie и системы веб-аналитики для обеспечения работы форм, оценки посещаемости и качества рекламы. Посетитель может отключить cookie в настройках браузера; часть функций сайта при этом может стать недоступной.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Отправляя форму записи, посетитель передаёт имя и номер телефона для обратной связи. Эти данные используются только для ответа на обращение и записи на приём.</w:t>
      </w:r>
    </w:p>
    <w:p>
      <w:pPr>
        <w:keepNext w:val="0"/>
        <w:spacing w:after="8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11. Заключительные положения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Политика пересматривается при изменении законодательства, а также при изменении состава обрабатываемых данных или используемых систем.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Вопросы по обработке персональных данных направляются ответственному за организацию обработки: 143968, Московская область, г. Реутов, ул. Победы, д. 22, тел. +7 (910) 458-88-08, angel.dent@bk.ru.</w:t>
      </w:r>
    </w:p>
    <w:sectPr w:rsidR="00FC693F" w:rsidRPr="0006063C" w:rsidSect="00034616">
      <w:footerReference w:type="default" r:id="rId9"/>
      <w:pgSz w:w="11906" w:h="16838"/>
      <w:pgMar w:top="1020" w:right="850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Times New Roman" w:hAnsi="Times New Roman" w:eastAsia="Times New Roman"/>
        <w:b w:val="0"/>
        <w:i w:val="0"/>
        <w:sz w:val="16"/>
      </w:rPr>
      <w:t xml:space="preserve">Политика в отношении обработки персональных данных · страница </w:t>
    </w:r>
    <w:r>
      <w:rPr>
        <w:rFonts w:ascii="Times New Roman" w:hAnsi="Times New Roman" w:eastAsia="Times New Roman"/>
        <w:b w:val="0"/>
        <w:i w:val="0"/>
        <w:sz w:val="16"/>
      </w:rPr>
      <w:fldChar w:fldCharType="begin"/>
    </w:r>
    <w:r>
      <w:rPr>
        <w:rFonts w:ascii="Times New Roman" w:hAnsi="Times New Roman" w:eastAsia="Times New Roman"/>
        <w:b w:val="0"/>
        <w:i w:val="0"/>
        <w:sz w:val="16"/>
      </w:rPr>
      <w:instrText xml:space="preserve"> PAGE </w:instrText>
    </w:r>
    <w:r>
      <w:rPr>
        <w:rFonts w:ascii="Times New Roman" w:hAnsi="Times New Roman" w:eastAsia="Times New Roman"/>
        <w:b w:val="0"/>
        <w:i w:val="0"/>
        <w:sz w:val="16"/>
      </w:rPr>
      <w:fldChar w:fldCharType="end"/>
    </w:r>
    <w:r>
      <w:rPr>
        <w:rFonts w:ascii="Times New Roman" w:hAnsi="Times New Roman" w:eastAsia="Times New Roman"/>
        <w:b w:val="0"/>
        <w:i w:val="0"/>
        <w:sz w:val="16"/>
      </w:rPr>
      <w:t xml:space="preserve"> из </w:t>
    </w:r>
    <w:r>
      <w:rPr>
        <w:rFonts w:ascii="Times New Roman" w:hAnsi="Times New Roman" w:eastAsia="Times New Roman"/>
        <w:b w:val="0"/>
        <w:i w:val="0"/>
        <w:sz w:val="16"/>
      </w:rPr>
      <w:fldChar w:fldCharType="begin"/>
    </w:r>
    <w:r>
      <w:rPr>
        <w:rFonts w:ascii="Times New Roman" w:hAnsi="Times New Roman" w:eastAsia="Times New Roman"/>
        <w:b w:val="0"/>
        <w:i w:val="0"/>
        <w:sz w:val="16"/>
      </w:rPr>
      <w:instrText xml:space="preserve"> NUMPAGES </w:instrText>
    </w:r>
    <w:r>
      <w:rPr>
        <w:rFonts w:ascii="Times New Roman" w:hAnsi="Times New Roman" w:eastAsia="Times New Roman"/>
        <w:b w:val="0"/>
        <w:i w:val="0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47" w:lineRule="auto"/>
    </w:pPr>
    <w:rPr>
      <w:rFonts w:ascii="Times New Roman" w:hAnsi="Times New Roman" w:eastAsia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