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выполняемых работ (услуг), составляющих медицинскую деятельность, указанных в едином реестре лицензий Федеральной службы по надзору в сфере здравоохранения: при оказании первичной специализированной медико-санитарной помощи в амбулаторных условиях по: стоматологии терапевтической, стоматологии хирургической, стоматологии ортопедической, стоматологии детской, ортодонтии, рентгенологии, сестринскому делу, организации здравоохранения и общественному здоровью; выписка из реестра лицензий размещена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оказывать Пациенту платные медицинские (стоматологические) услуги, а Пациент — оплачивать их в порядке и в размере, установленных Договором, действующим прейскурантом и планом лечения. Договор заключается при первичном обращении Пациента и действует на весь период его лечения у Исполнителя; при последующих обращениях Договор повторно не заключается.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Договор является рамочным (ст. 429.1 ГК РФ). При заключении Договора Исполнитель оказывает Пациенту первичную консультацию, осмотр и диагностику, а при острой боли — помощь по показаниям; их стоимость определяется действующим прейскурантом. Перечень последующих услуг, их стоимость, последовательность, сроки и гарантийные сроки определяются планом лечения, который составляется по результатам диагностики и подписывается Сторонами (Приложение № 1). С момента подписания план лечения становится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её составление обязательно, и она является неотъемлемой частью Договора (п. 25 Правил). Если в плане лечения не указано иное, смета считается твёрдой. До составления плана лечения услуги оказываются по прейскуранту; это не лишает Пациента права потребовать составления сметы.</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оказания услуги. Стоимость услуг, включённых в подписанный план лечения, фиксируется этим планом на весь срок его исполнения; её изменение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оказанные до составления плана лечения (первичная консультация, осмотр, диагностика, помощь при острой боли), а также услуги, не включённые в план, оплачиваются по прейскуранту, действующему на дату их оказания, после предварительного согласования их стоимости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график платежей согласуется дополнительным соглашением к Договору.</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 оказания первичной консультации, осмотра и диагностики — дата и время приёма, согласованные Сторонами при записи. Сроки последующих услуг (сроки этапов и общий срок лечения) устанавливаются планом лечения. Дата и время каждого приёма согласуются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 а до его составления — согласуются Сторонами при записи на приём.</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по форме, утверждённой Минздравом России (ст. 20 Федерального закона № 323-ФЗ); согласие оформляется отдельным документом и хранится в медицинской карте. Ознакомить Пациента с прейскурантом, а после диагностики — с планом лечения.</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прейскурантом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 Если услуга оказана до составления плана лечения, гарантийный срок и срок службы указываются в акте или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tabs>
          <w:tab w:pos="510" w:val="left"/>
        </w:tabs>
        <w:spacing w:after="60"/>
        <w:ind w:left="510" w:hanging="510"/>
        <w:jc w:val="both"/>
      </w:pPr>
      <w:r>
        <w:rPr>
          <w:rFonts w:ascii="Times New Roman" w:hAnsi="Times New Roman" w:eastAsia="Times New Roman"/>
          <w:b/>
          <w:i w:val="0"/>
          <w:sz w:val="21"/>
        </w:rPr>
        <w:t>8.7.</w:t>
        <w:tab/>
      </w:r>
      <w:r>
        <w:rPr>
          <w:rFonts w:ascii="Times New Roman" w:hAnsi="Times New Roman" w:eastAsia="Times New Roman"/>
          <w:b w:val="0"/>
          <w:i w:val="0"/>
          <w:sz w:val="21"/>
        </w:rPr>
        <w:t>Обращения (жалобы) и требования, связанные с оказанием услуг, направляются Исполнителю в любой форме и любым способом, в том числе: письменно по адресу 143968, Московская область, г. Реутов, ул. Победы, д. 22; по электронной почте angel.dent@bk.ru; устно администратору или руководителю клиники. Обращение может быть направлено также в контролирующие органы: Министерство здравоохранения Московской области (143407, Московская область, г. Красногорск, бульвар Строителей, д. 1, телефон 8 (498) 602-03-19); Территориальный орган Росздравнадзора по г. Москве и Московской области (109316, г. Москва, Волгоградский проспект, д. 27, office@reg77.roszdravnadzor.gov.ru); Управление Роспотребнадзора по Московской области (141014, Московская область, г. Мытищи, ул. Семашко, д. 2, телефон 8 (498) 684-49-09). Ответ на письменное обращение направляется по адресу или на адрес электронной почты, указанные Пациентом в разделе 15 Договора.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Персональные данные Пациента и его законного представителя, включая сведения о состоянии здоровья, обрабатываются Исполнителем в целях заключения и исполнения Договора и оказания медицинской помощи. Отдельное согласие на такую обработку не требуется: она необходима для исполнения Договора (п. 5 ч. 1 ст. 6 Федерального закона № 152-ФЗ) и осуществляется в медицинских целях лицами, обязанными сохранять врачебную тайну (п. 4 ч. 2 ст. 10 того же закона). Данные хранятся в составе медицинской документации в сроки, установленные законодательством.</w:t>
      </w:r>
    </w:p>
    <w:p>
      <w:pPr>
        <w:tabs>
          <w:tab w:pos="510" w:val="left"/>
        </w:tabs>
        <w:spacing w:after="60"/>
        <w:ind w:left="510" w:hanging="510"/>
        <w:jc w:val="both"/>
      </w:pPr>
      <w:r>
        <w:rPr>
          <w:rFonts w:ascii="Times New Roman" w:hAnsi="Times New Roman" w:eastAsia="Times New Roman"/>
          <w:b/>
          <w:i w:val="0"/>
          <w:sz w:val="21"/>
        </w:rPr>
        <w:t>9.1.1.</w:t>
        <w:tab/>
      </w:r>
      <w:r>
        <w:rPr>
          <w:rFonts w:ascii="Times New Roman" w:hAnsi="Times New Roman" w:eastAsia="Times New Roman"/>
          <w:b w:val="0"/>
          <w:i w:val="0"/>
          <w:sz w:val="21"/>
        </w:rPr>
        <w:t>Подписывая Договор, Пациент даёт письменное согласие на передачу сведений, составляющих врачебную тайну, третьим лицам, привлекаемым к исполнению Договора (зуботехническая лаборатория, диагностический центр), в объёме, необходимом для оказания услуг (ч. 3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зонах общего пользования (входная группа, зона ресепшена, коридоры, зона ожидания) ведётся видеонаблюдение в целях обеспечения безопасности граждан и сохранности имущества. Видеонаблюдение не ведётся в лечебных кабинетах, санитарных комнатах и иных помещениях, где оно недопустимо. Записи не используются для установления личности (распознавание лиц не применяется), хранятся не более 30 календарных дней и доступны только уполномоченным работникам Исполнителя. Порядок видеонаблюдения определён локальным актом Исполнителя.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в соответствии с частью 3 статьи 27 Федерального закона № 323-ФЗ граждане, находящиеся на лечении, обязаны соблюдать режим лечения, в том числе определённый на период их временной нетрудоспособности, и правила поведения пациента в медицинских организациях. Правила поведения пациента (правила внутреннего распорядка для пациентов) утверждены Исполнителем, размещены на информационном стенде и на сайте Исполнителя и предоставляются Пациенту по его требованию.</w:t>
      </w:r>
    </w:p>
    <w:p>
      <w:pPr>
        <w:tabs>
          <w:tab w:pos="510" w:val="left"/>
        </w:tabs>
        <w:spacing w:after="60"/>
        <w:ind w:left="510" w:hanging="510"/>
        <w:jc w:val="both"/>
      </w:pPr>
      <w:r>
        <w:rPr>
          <w:rFonts w:ascii="Times New Roman" w:hAnsi="Times New Roman" w:eastAsia="Times New Roman"/>
          <w:b/>
          <w:i w:val="0"/>
          <w:sz w:val="21"/>
        </w:rPr>
        <w:t>13.7.</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План лечения (смета): перечень услуг, стоимость, последовательность и сроки этапов, гарантийные сроки и сроки службы. Составляется по результатам диагностики и подписывается Сторонами; до этого момента Договор действует без приложений.</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120"/>
        <w:jc w:val="left"/>
      </w:pPr>
      <w:r>
        <w:rPr>
          <w:rFonts w:ascii="Times New Roman" w:hAnsi="Times New Roman" w:eastAsia="Times New Roman"/>
          <w:b/>
          <w:i w:val="0"/>
          <w:sz w:val="22"/>
        </w:rPr>
        <w:t>15. Реквизиты и подписи Сторон</w:t>
      </w:r>
    </w:p>
    <w:p>
      <w:pPr>
        <w:keepNext/>
        <w:spacing w:after="60"/>
        <w:jc w:val="left"/>
      </w:pPr>
      <w:r>
        <w:rPr>
          <w:rFonts w:ascii="Times New Roman" w:hAnsi="Times New Roman" w:eastAsia="Times New Roman"/>
          <w:b/>
          <w:i w:val="0"/>
          <w:sz w:val="21"/>
        </w:rPr>
        <w:t>ИСПОЛНИТЕЛЬ</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329"/>
        </w:trPr>
        <w:tc>
          <w:tcPr>
            <w:tcW w:type="dxa" w:w="2948"/>
            <w:vAlign w:val="center"/>
          </w:tcPr>
          <w:p>
            <w:pPr>
              <w:spacing w:after="0"/>
            </w:pPr>
            <w:r/>
            <w:r>
              <w:rPr>
                <w:rFonts w:ascii="Times New Roman" w:hAnsi="Times New Roman" w:eastAsia="Times New Roman"/>
                <w:b w:val="0"/>
                <w:i w:val="0"/>
                <w:color w:val="595959"/>
                <w:sz w:val="18"/>
              </w:rPr>
              <w:t>Наименование</w:t>
            </w:r>
          </w:p>
        </w:tc>
        <w:tc>
          <w:tcPr>
            <w:tcW w:type="dxa" w:w="6690"/>
            <w:vAlign w:val="center"/>
          </w:tcPr>
          <w:p>
            <w:pPr>
              <w:spacing w:after="0"/>
            </w:pPr>
            <w:r/>
            <w:r>
              <w:rPr>
                <w:rFonts w:ascii="Times New Roman" w:hAnsi="Times New Roman" w:eastAsia="Times New Roman"/>
                <w:b w:val="0"/>
                <w:i w:val="0"/>
                <w:sz w:val="21"/>
              </w:rPr>
              <w:t>Общество с ограниченной ответственностью «АНГЕЛ-ДЕНТ»</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нахождения</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 помещение V</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оказания услуг</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ОГРН / ИНН / КПП</w:t>
            </w:r>
          </w:p>
        </w:tc>
        <w:tc>
          <w:tcPr>
            <w:tcW w:type="dxa" w:w="6690"/>
            <w:vAlign w:val="center"/>
          </w:tcPr>
          <w:p>
            <w:pPr>
              <w:spacing w:after="0"/>
            </w:pPr>
            <w:r/>
            <w:r>
              <w:rPr>
                <w:rFonts w:ascii="Times New Roman" w:hAnsi="Times New Roman" w:eastAsia="Times New Roman"/>
                <w:b w:val="0"/>
                <w:i w:val="0"/>
                <w:sz w:val="21"/>
              </w:rPr>
              <w:t>1135012000936 / 5012077543 / 504101001</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Лицензия</w:t>
            </w:r>
          </w:p>
        </w:tc>
        <w:tc>
          <w:tcPr>
            <w:tcW w:type="dxa" w:w="6690"/>
            <w:vAlign w:val="center"/>
          </w:tcPr>
          <w:p>
            <w:pPr>
              <w:spacing w:after="0"/>
            </w:pPr>
            <w:r/>
            <w:r>
              <w:rPr>
                <w:rFonts w:ascii="Times New Roman" w:hAnsi="Times New Roman" w:eastAsia="Times New Roman"/>
                <w:b w:val="0"/>
                <w:i w:val="0"/>
                <w:sz w:val="21"/>
              </w:rPr>
              <w:t>№ Л041-01162-50/00299266 от 19.07.2016, предоставлена бессрочно</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Банк</w:t>
            </w:r>
          </w:p>
        </w:tc>
        <w:tc>
          <w:tcPr>
            <w:tcW w:type="dxa" w:w="6690"/>
            <w:vAlign w:val="center"/>
          </w:tcPr>
          <w:p>
            <w:pPr>
              <w:spacing w:after="0"/>
            </w:pPr>
            <w:r/>
            <w:r>
              <w:rPr>
                <w:rFonts w:ascii="Times New Roman" w:hAnsi="Times New Roman" w:eastAsia="Times New Roman"/>
                <w:b w:val="0"/>
                <w:i w:val="0"/>
                <w:sz w:val="21"/>
              </w:rPr>
              <w:t>ПАО Сбербанк, г. Москва, БИК 044525225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Расчётный счёт</w:t>
            </w:r>
          </w:p>
        </w:tc>
        <w:tc>
          <w:tcPr>
            <w:tcW w:type="dxa" w:w="6690"/>
            <w:vAlign w:val="center"/>
          </w:tcPr>
          <w:p>
            <w:pPr>
              <w:spacing w:after="0"/>
            </w:pPr>
            <w:r/>
            <w:r>
              <w:rPr>
                <w:rFonts w:ascii="Times New Roman" w:hAnsi="Times New Roman" w:eastAsia="Times New Roman"/>
                <w:b w:val="0"/>
                <w:i w:val="0"/>
                <w:sz w:val="21"/>
              </w:rPr>
              <w:t>40702810240020000960</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Корреспондентский счёт</w:t>
            </w:r>
          </w:p>
        </w:tc>
        <w:tc>
          <w:tcPr>
            <w:tcW w:type="dxa" w:w="6690"/>
            <w:vAlign w:val="center"/>
          </w:tcPr>
          <w:p>
            <w:pPr>
              <w:spacing w:after="0"/>
            </w:pPr>
            <w:r/>
            <w:r>
              <w:rPr>
                <w:rFonts w:ascii="Times New Roman" w:hAnsi="Times New Roman" w:eastAsia="Times New Roman"/>
                <w:b w:val="0"/>
                <w:i w:val="0"/>
                <w:sz w:val="21"/>
              </w:rPr>
              <w:t>30101810400000000225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 почта, сайт</w:t>
            </w:r>
          </w:p>
        </w:tc>
        <w:tc>
          <w:tcPr>
            <w:tcW w:type="dxa" w:w="6690"/>
            <w:vAlign w:val="center"/>
          </w:tcPr>
          <w:p>
            <w:pPr>
              <w:spacing w:after="0"/>
            </w:pPr>
            <w:r/>
            <w:r>
              <w:rPr>
                <w:rFonts w:ascii="Times New Roman" w:hAnsi="Times New Roman" w:eastAsia="Times New Roman"/>
                <w:b w:val="0"/>
                <w:i w:val="0"/>
                <w:sz w:val="21"/>
              </w:rPr>
              <w:t>+7 (910) 458-88-08 · angel.dent@bk.ru · angel-denta.ru</w:t>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t>Генеральный директор  __________________  / С. И. Геворкян      М. П.</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Дата рождения</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Паспорт: серия, номер</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Электронная почта (адрес для ответов на письменные обращения)</w:t>
            </w:r>
          </w:p>
        </w:tc>
        <w:tc>
          <w:tcPr>
            <w:tcW w:type="dxa" w:w="6690"/>
            <w:vAlign w:val="center"/>
          </w:tcPr>
          <w:p>
            <w:pPr>
              <w:spacing w:after="0"/>
            </w:pPr>
            <w:r/>
            <w:r>
              <w:rPr>
                <w:rFonts w:ascii="Times New Roman" w:hAnsi="Times New Roman" w:eastAsia="Times New Roman"/>
                <w:b w:val="0"/>
                <w:i w:val="0"/>
                <w:sz w:val="21"/>
              </w:rPr>
            </w:r>
          </w:p>
        </w:tc>
      </w:tr>
      <w:tr>
        <w:trPr>
          <w:trHeight w:val="624"/>
        </w:trPr>
        <w:tc>
          <w:tcPr>
            <w:tcW w:type="dxa" w:w="2948"/>
            <w:vAlign w:val="center"/>
          </w:tcPr>
          <w:p>
            <w:pPr>
              <w:spacing w:after="0"/>
            </w:pPr>
            <w:r/>
            <w:r>
              <w:rPr>
                <w:rFonts w:ascii="Times New Roman" w:hAnsi="Times New Roman" w:eastAsia="Times New Roman"/>
                <w:b w:val="0"/>
                <w:i w:val="0"/>
                <w:color w:val="595959"/>
                <w:sz w:val="18"/>
              </w:rPr>
              <w:t>Подпись. Экземпляр Договора получен; с его условиями, прейскурантом и информацией по п. 13.5 ознакомлен(а) до подписания</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ЗАКОННЫЙ ПРЕДСТАВИТЕЛЬ ПАЦИЕНТА — заполняется, если Пациент не достиг 15 лет или признан недееспособным</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Паспорт: серия, номер, 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 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Кем приходится Пациенту</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Документ о полномочиях (свидетельство о рождении, акт органа опеки)</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 представителя</w:t>
            </w:r>
          </w:p>
        </w:tc>
        <w:tc>
          <w:tcPr>
            <w:tcW w:type="dxa" w:w="6690"/>
            <w:vAlign w:val="center"/>
          </w:tcPr>
          <w:p>
            <w:pPr>
              <w:spacing w:after="0"/>
            </w:pPr>
            <w:r/>
            <w:r>
              <w:rPr>
                <w:rFonts w:ascii="Times New Roman" w:hAnsi="Times New Roman" w:eastAsia="Times New Roman"/>
                <w:b w:val="0"/>
                <w:i w:val="0"/>
                <w:sz w:val="21"/>
              </w:rPr>
            </w:r>
          </w:p>
        </w:tc>
      </w:tr>
    </w:tbl>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