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медицинское вмешательство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 до начала медицинского вмешательства (ч. 1 ст. 20 Федерального закона от 21.11.2011 № 323-ФЗ). Часть 1 соответствует форме, утверждённой приказом Минздрава России от 12.11.2021 № 1051н. Согласие хранится в медицинской карте Пациента.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Часть 1. Согласие на виды вмешательств, включённые в Перечень (форма по приказу Минздрава России от 12.11.2021 № 1051н)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Я, фамилия, имя, отчество (при наличии) гражданина либо законного представителя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Зарегистрирован(а) по адресу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Проживаю по адресу (если не по месту регистрации)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40"/>
        <w:jc w:val="left"/>
      </w:pPr>
      <w:r>
        <w:rPr>
          <w:rFonts w:ascii="Times New Roman" w:hAnsi="Times New Roman" w:eastAsia="Times New Roman"/>
          <w:b w:val="0"/>
          <w:i/>
          <w:sz w:val="18"/>
        </w:rPr>
        <w:t>Заполняется, если согласие подписывает законный представитель: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(при наличии)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проживания Пациента (если не совпадает с адресом представителя)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даю информированное добровольное согласие на виды медицинских вмешательств, включённые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23.04.2012 № 390н, для получения первичной медико-санитарной помощи (лицом, законным представителем которого я являюсь) в Общество с ограниченной ответственностью «АНГЕЛ-ДЕНТ», стоматология «Ангел-Дент», 143968, Московская область, г. Реутов, ул. Победы, д. 22.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Медицинским работником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я имею право отказаться от одного или нескольких видов медицинских вмешательств, включённых в Перечень, или потребовать его (их) прекращения, за исключением случаев, предусмотренных частью 9 статьи 20 Федерального закона от 21.11.2011 № 323-ФЗ.</w:t>
      </w:r>
    </w:p>
    <w:p>
      <w:r>
        <w:br w:type="page"/>
      </w:r>
    </w:p>
    <w:p>
      <w:pPr>
        <w:keepNext/>
        <w:spacing w:after="4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Часть 2. Согласие на стоматологические вмешательства</w:t>
      </w:r>
    </w:p>
    <w:p>
      <w:pPr>
        <w:keepNext w:val="0"/>
        <w:spacing w:after="80"/>
        <w:jc w:val="left"/>
      </w:pPr>
      <w:r>
        <w:rPr>
          <w:rFonts w:ascii="Times New Roman" w:hAnsi="Times New Roman" w:eastAsia="Times New Roman"/>
          <w:b w:val="0"/>
          <w:i/>
          <w:sz w:val="18"/>
        </w:rPr>
        <w:t>Врач отмечает вмешательства, на которые даётся согласие; риски и возможные осложнения по каждому из них приведены здесь же.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37"/>
        <w:gridCol w:w="1701"/>
      </w:tblGrid>
      <w:tr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Вмешательство и возможные осложнения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Согласен(на)</w:t>
            </w:r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Осмотр, диагностика, рентгенологическое исследование (прицельный снимок, ортопантомограмма, компьютерная томография).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лучевая нагрузка исследований не превышает предельно допустимую; цель — уточнение диагноза и планирование лечения.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Профессиональная гигиена полости рта, снятие зубных отложений, полировка, фторирование.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временная чувствительность зубов и кровоточивость дёсен в первые дни.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Местная анестезия (инфильтрационная, проводниковая, аппликационная).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аллергическая реакция, гематома, временное онемение или болезненность в месте вкола, крайне редко — повреждение нерва.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Лечение кариеса, реставрация зуба.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чувствительность зуба после лечения, необходимость замены реставрации, в редких случаях — воспаление пульпы и переход к лечению каналов.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Эндодонтическое лечение (лечение корневых каналов), перелечивание каналов.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боль после пломбирования, отлом инструмента в канале, перфорация стенки канала, выведение материала за верхушку, необходимость повторного лечения или удаления зуба.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Хирургические вмешательства: удаление зуба, в том числе ретинированного и дистопированного, резекция верхушки корня, пластика мягких тканей.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отёк, боль, кровотечение, повреждение соседних зубов и тканей, перелом стенки лунки, воспаление лунки, временное или стойкое нарушение чувствительности при близости нерва, сообщение с гайморовой пазухой при удалении верхних жевательных зубов.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Дентальная имплантация, костная пластика, синус-лифтинг.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отторжение или периимплантит, недостаточная интеграция импланта, воспаление, повреждение соседних анатомических структур, необходимость повторного вмешательства.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Ортопедическое лечение: вкладки, коронки, мосты, съёмные и условно-съёмные протезы.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период привыкания, необходимость коррекции, депульпирование опорных зубов по показаниям, скол облицовки, изменение уровня десны со временем.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Ортодонтическое лечение: брекет-системы, элайнеры, съёмные аппараты.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болезненность и подвижность зубов в период лечения, рецидив при несоблюдении ретенционного режима, деминерализация эмали при недостаточной гигиене, резорбция корней.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Отбеливание зубов.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повышенная чувствительность зубов, раздражение дёсен, разный оттенок реставраций и естественных зубов, постепенный возврат оттенка.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медицинское вмешательство выполняется по показаниям, которые врач определил после осмотра и диагностики; альтернативные варианты лечения, включая отказ от вмешательства и наблюдение, мне названы.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отказ от рекомендованного лечения или его части может привести к развитию заболевания, утрате зуба, необходимости более сложного и дорогого лечения, а также к невозможности гарантировать результат.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предупреждён(а), что успех лечения зависит от индивидуальных особенностей организма, соблюдения назначений врача и гигиены полости рта, и что даже при правильно выполненном лечении возможны осложнения, вероятность которых полностью исключить нельзя.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грудью, — и обязуюсь сообщать об их изменениях.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Сведения о лице (лицах), которому в соответствии с пунктом 5 части 5 статьи 19 Федерального закона от 21.11.2011 № 323-ФЗ может быть передана информация о состоянии моего здоровья (состоянии лица, законным представителем которого я являюсь), в том числе после смерти: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отчество, контактный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отчество, контактный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гражданина (законного представителя),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медицинского работника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 на медицинское вмешательство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