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ЛИСТ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учёта дозовых нагрузок пациента при рентгенологических исследованиях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Вклеивается в медицинскую карту стоматологического пациента (форма № 043/у). Доза, полученная пациентом, регистрируется, а по требованию гражданина ему сообщается (ст. 17 Федерального закона от 09.01.1996 № 3-ФЗ «О радиационной безопасности населения»).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Номер медицинской карты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701"/>
        <w:gridCol w:w="1361"/>
        <w:gridCol w:w="2041"/>
      </w:tblGrid>
      <w:tr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Дата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Вид исследования (прицельный снимок, ортопантомограмма, телерентгенограмма, компьютерная томограмма)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Область исследования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Эффективная доза, мЗв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Ф. И. О. и подпись выполнившего</w:t>
            </w:r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134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1361"/>
          </w:tcPr>
          <w:p>
            <w:pPr>
              <w:spacing w:after="0"/>
            </w:pPr>
            <w:r/>
          </w:p>
        </w:tc>
        <w:tc>
          <w:tcPr>
            <w:tcW w:type="dxa" w:w="204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Эффективная доза берётся из показаний аппарата либо рассчитывается по радиационному выходу и параметрам съёмки; значения по каждому аппарату приведены в его технической документации и в протоколе контроля.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Беременность не является абсолютным противопоказанием, но исследование проводится только по клиническим показаниям, с использованием средств индивидуальной защиты; отметка о беременности делается в медицинской карте.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19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19"/>
        </w:rPr>
        <w:t>Суммарная доза за календарный год: ____________ мЗв. При приближении к контрольному уровню врач-рентгенолог (либо врач, направивший на исследование) оценивает обоснованность дальнейших исследований.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Лист учёта дозовых нагрузок пациента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