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двумя равными платежами по 75 000,00 (семьдесят пять тысяч рублей 00 копеек) каждый: не позднее 1-го числа и не позднее 15-го числа каждого календарного месяца. Платёж, вносимый не позднее 1-го числа, оплачивает услуги за период с 1-го по 14-е число месяца включительно; платёж, вносимый не позднее 15-го числа, — за период с 15-го числа по последний день месяца. Оплата производится на основании настоящего Договора; счёт выставляется Исполнителем для удобства Заказчика, невыставление счёта не освобождает Заказчика от обязанности внести платёж в установленный срок.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начинает действовать или прекращается внутри платёжного периода, указанного в п. 3.2, стоимость услуг за такой период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Исключительные права на созданные Исполнителем в рамках Договора объекты авторского права (тексты, изображения, элементы дизайна, программный код, макеты) принадлежат Исполнителю и Заказчику не отчуждаются. Передача (отчуждение) исключительных прав настоящим Договором не предусмотрена.</w:t>
      </w:r>
    </w:p>
    <w:p>
      <w:pPr>
        <w:spacing w:after="80"/>
        <w:jc w:val="both"/>
      </w:pPr>
      <w:r>
        <w:rPr>
          <w:b w:val="0"/>
          <w:i w:val="0"/>
        </w:rPr>
        <w:t>4.2. Заказчику предоставляется простая (неисключительная) лицензия на использование указанных материалов на сайтах, перечисленных в п. 1.2 Договора, и в собственных информационных и рекламных целях — на срок действия Договора, при условии оплаты расчётных периодов, в которые материалы созданы. Отдельное вознаграждение за лицензию не взимается (входит в стоимость услуг). При неоплате либо при прекращении Договора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