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медицинское вмешательство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 до начала медицинского вмешательства (ч. 1 ст. 20 Федерального закона от 21.11.2011 № 323-ФЗ). Часть 1 соответствует форме, утверждённой приказом Минздрава России от 12.11.2021 № 1051н. Согласие хранится в медицинской карте Пациента.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Часть 1. Согласие на виды вмешательств, включённые в Перечень (форма по приказу Минздрава России от 12.11.2021 № 1051н)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Я, фамилия, имя, отчество (при наличии) гражданина либо законного представителя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Зарегистрирован(а) по адресу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Проживаю по адресу (если не по месту регистрации)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4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Заполняется, если согласие подписывает законный представитель: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(при наличии)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проживания Пациента (если не совпадает с адресом представителя)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даю информированное добровольное согласие на виды медицинских вмешательств, включённые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утверждённый приказом Министерства здравоохранения и социального развития Российской Федерации от 23.04.2012 № 390н, для получения первичной медико-санитарной помощи (лицом, законным представителем которого я являюсь) в Общество с ограниченной ответственностью «АНГЕЛ-ДЕНТ», стоматология «Ангел-Дент», 143968, Московская область, г. Реутов, ул. Победы, д. 22.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Медицинским работником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я имею право отказаться от одного или нескольких видов медицинских вмешательств, включённых в Перечень, или потребовать его (их) прекращения, за исключением случаев, предусмотренных частью 9 статьи 20 Федерального закона от 21.11.2011 № 323-ФЗ.</w:t>
      </w:r>
    </w:p>
    <w:p>
      <w:r>
        <w:br w:type="page"/>
      </w:r>
    </w:p>
    <w:p>
      <w:pPr>
        <w:keepNext/>
        <w:spacing w:after="4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Часть 2. Согласие на стоматологические вмешательства</w:t>
      </w:r>
    </w:p>
    <w:p>
      <w:pPr>
        <w:keepNext w:val="0"/>
        <w:spacing w:after="8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Врач отмечает вмешательства, на которые даётся согласие; риски и возможные осложнения по каждому из них приведены здесь же.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37"/>
        <w:gridCol w:w="1701"/>
      </w:tblGrid>
      <w:tr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Вмешательство и возможные осложнения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Согласен(на)</w:t>
            </w:r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Осмотр, диагностика, рентгенологическое исследование (прицельный снимок, ортопантомограмма, компьютерная томография).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лучевая нагрузка исследований не превышает предельно допустимую; цель — уточнение диагноза и планирование лечения.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Профессиональная гигиена полости рта, снятие зубных отложений, полировка, фторирование.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временная чувствительность зубов и кровоточивость дёсен в первые дни.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Местная анестезия (инфильтрационная, проводниковая, аппликационная).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аллергическая реакция, гематома, временное онемение или болезненность в месте вкола, крайне редко — повреждение нерва.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Лечение кариеса, реставрация зуба.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чувствительность зуба после лечения, необходимость замены реставрации, в редких случаях — воспаление пульпы и переход к лечению каналов.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Эндодонтическое лечение (лечение корневых каналов), перелечивание каналов.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боль после пломбирования, отлом инструмента в канале, перфорация стенки канала, выведение материала за верхушку, необходимость повторного лечения или удаления зуба.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/>
          <w:sz w:val="18"/>
        </w:rPr>
        <w:t>Хирургическое лечение (в том числе удаление зуба), дентальная имплантация и костная пластика, ортопедическое и ортодонтическое лечение, отбеливание зубов в настоящем согласии не отмечаются: перед началом такого лечения оформляется отдельное информированное добровольное согласие по виду лечения, где цели, методы, альтернативы и риски изложены подробно.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медицинское вмешательство выполняется по показаниям, которые врач определил после осмотра и диагностики; альтернативные варианты лечения, включая отказ от вмешательства и наблюдение, мне названы.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отказ от рекомендованного лечения или его части может привести к развитию заболевания, утрате зуба, необходимости более сложного и дорогого лечения, а также к невозможности гарантировать результат.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предупреждён(а), что успех лечения зависит от индивидуальных особенностей организма, соблюдения назначений врача и гигиены полости рта, и что даже при правильно выполненном лечении возможны осложнения, вероятность которых полностью исключить нельзя.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грудью, — и обязуюсь сообщать об их изменениях.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Сведения о лице (лицах), которому в соответствии с пунктом 5 части 5 статьи 19 Федерального закона от 21.11.2011 № 323-ФЗ может быть передана информация о состоянии моего здоровья (состоянии лица, законным представителем которого я являюсь), в том числе после смерти: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отчество, контактный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отчество, контактный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Указанным лицам могут быть сообщены сведения о состоянии моего здоровья, диагнозе, ходе и результатах лечения, о назначенных явках, а также о стоимости оказанных услуг и произведённой оплате.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Сведения сообщаются при личном обращении такого лица в клинику либо по указанному здесь телефону; клиника вправе не сообщать сведения, если у работника есть сомнения в личности обратившегося. Настоящее распоряжение может быть изменено или отозвано в любое время письменным заявлением.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гражданина (законного представителя),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медицинского работника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 на медицинское вмешательство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