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ортодонтическое лечение (брекет-системы, элайнеры, съёмная аппаратура)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исправление положения зубов и прикуса. Методы: диагностика (снимки, фотопротокол, оттиски или сканирование, расчёт), фиксация брекет-системы или изготовление элайнеров либо съёмного аппарата, периодические коррекции, снятие аппаратуры и ретенционный период.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другой вид аппаратуры; ортопедическое (протетическое) решение; хирургическое лечение при скелетных формах аномалий; отказ от лечения. Последствия отказа: сохранение аномалии прикуса, неравномерная нагрузка на зубы и сустав, повышенный риск кариеса и заболеваний дёсен, эстетические и функциональные нарушения.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боль и подвижность зубов в первые дни после фиксации и после каждой коррекции;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травмирование слизистой губ и щёк элементами аппаратуры, натирание;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деминерализация эмали и кариес при недостаточной гигиене, воспаление дёсен;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рассасывание (резорбция) корней зубов, рецессия десны;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дисфункция височно-нижнечелюстного сустава, щелчки, боль в мышцах;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отклеивание брекетов, поломка дуги, потеря или поломка элайнера — восстановление элементов оплачивается отдельно;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случайное проглатывание или вдыхание отделившегося элемента аппаратуры;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рецидив — возврат зубов к прежнему положению при несоблюдении ретенционного режима;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удаления отдельных зубов или дополнительных вмешательств, выявленная в процессе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увеличение сроков лечения при пропуске коррекций и нарушении рекомендаций.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после снятия аппаратуры обязателен ретенционный период: несъёмный ретейнер и (или) ретенционная капа, срок ношения которых определяет врач, во многих случаях — постоянно. Отказ от ретенции или нарушение режима ношения ведёт к рецидиву; такой результат не является недостатком услуги, и гарантия на него не распространяется.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для успеха лечения необходимы регулярные посещения (как правило, один раз в 4–8 недель), профессиональная гигиена полости рта и своевременное лечение кариеса. При длительных перерывах лечение может быть приостановлено, а план и стоимость пересмотрены.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Ориентировочный срок лечения указывается в плане лечения. Он может измениться в связи с индивидуальной реакцией тканей и соблюдением рекомендаций; изменение срока само по себе не является нарушением обязательств.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ортодонтическое лечение (брекет-системы, элайнеры, съёмная аппарату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