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65BFD" w14:textId="668FBCD9" w:rsidR="00C26654" w:rsidRDefault="000E6AD0" w:rsidP="000E6AD0">
      <w:pPr>
        <w:pStyle w:val="Kop1"/>
      </w:pPr>
      <w:bookmarkStart w:id="0" w:name="_Toc63683495"/>
      <w:r>
        <w:t>Gegevensmodel van de leveringsvoorwaarden</w:t>
      </w:r>
      <w:bookmarkEnd w:id="0"/>
    </w:p>
    <w:p w14:paraId="334CC0DA" w14:textId="77777777" w:rsidR="00C26654" w:rsidRDefault="00C26654">
      <w:pPr>
        <w:rPr>
          <w:rFonts w:asciiTheme="majorHAnsi" w:eastAsiaTheme="majorEastAsia" w:hAnsiTheme="majorHAnsi" w:cstheme="majorBidi"/>
          <w:color w:val="2F5496" w:themeColor="accent1" w:themeShade="BF"/>
          <w:sz w:val="32"/>
          <w:szCs w:val="32"/>
        </w:rPr>
      </w:pPr>
      <w:r>
        <w:br w:type="page"/>
      </w:r>
    </w:p>
    <w:p w14:paraId="6B2E340D" w14:textId="77777777" w:rsidR="000E6AD0" w:rsidRDefault="000E6AD0" w:rsidP="000E6AD0">
      <w:pPr>
        <w:pStyle w:val="Kop1"/>
      </w:pPr>
    </w:p>
    <w:tbl>
      <w:tblPr>
        <w:tblStyle w:val="Tabelraster"/>
        <w:tblW w:w="0" w:type="auto"/>
        <w:tblLook w:val="04A0" w:firstRow="1" w:lastRow="0" w:firstColumn="1" w:lastColumn="0" w:noHBand="0" w:noVBand="1"/>
      </w:tblPr>
      <w:tblGrid>
        <w:gridCol w:w="4531"/>
        <w:gridCol w:w="4531"/>
      </w:tblGrid>
      <w:tr w:rsidR="007C2C5D" w14:paraId="1527715E" w14:textId="77777777" w:rsidTr="007C2C5D">
        <w:tc>
          <w:tcPr>
            <w:tcW w:w="4531" w:type="dxa"/>
          </w:tcPr>
          <w:p w14:paraId="58C9AAEC" w14:textId="5EA58BE7" w:rsidR="007C2C5D" w:rsidRDefault="007C2C5D">
            <w:r>
              <w:t>Versie</w:t>
            </w:r>
          </w:p>
        </w:tc>
        <w:tc>
          <w:tcPr>
            <w:tcW w:w="4531" w:type="dxa"/>
          </w:tcPr>
          <w:p w14:paraId="4BAF0A35" w14:textId="2DC785C7" w:rsidR="007C2C5D" w:rsidRDefault="007C2C5D">
            <w:r>
              <w:t>1.01</w:t>
            </w:r>
          </w:p>
        </w:tc>
      </w:tr>
      <w:tr w:rsidR="007C2C5D" w14:paraId="53F2F8A0" w14:textId="77777777" w:rsidTr="007C2C5D">
        <w:tc>
          <w:tcPr>
            <w:tcW w:w="4531" w:type="dxa"/>
          </w:tcPr>
          <w:p w14:paraId="2534DC05" w14:textId="16DB2F4A" w:rsidR="007C2C5D" w:rsidRDefault="007C2C5D">
            <w:r>
              <w:t>Auteur</w:t>
            </w:r>
          </w:p>
        </w:tc>
        <w:tc>
          <w:tcPr>
            <w:tcW w:w="4531" w:type="dxa"/>
          </w:tcPr>
          <w:p w14:paraId="77E9807B" w14:textId="1B0D959E" w:rsidR="007C2C5D" w:rsidRDefault="007C2C5D">
            <w:r>
              <w:t>Adriaan Bakker</w:t>
            </w:r>
          </w:p>
        </w:tc>
      </w:tr>
      <w:tr w:rsidR="007C2C5D" w14:paraId="68AD6248" w14:textId="77777777" w:rsidTr="007C2C5D">
        <w:tc>
          <w:tcPr>
            <w:tcW w:w="4531" w:type="dxa"/>
          </w:tcPr>
          <w:p w14:paraId="2B38FB67" w14:textId="1C3F4F86" w:rsidR="007C2C5D" w:rsidRDefault="007C2C5D">
            <w:r>
              <w:t>Wijzigingsgeschiedenis</w:t>
            </w:r>
          </w:p>
        </w:tc>
        <w:tc>
          <w:tcPr>
            <w:tcW w:w="4531" w:type="dxa"/>
          </w:tcPr>
          <w:p w14:paraId="441159C3" w14:textId="7773C5A9" w:rsidR="007C2C5D" w:rsidRDefault="007C2C5D">
            <w:r>
              <w:t>Versie 1.0</w:t>
            </w:r>
            <w:r w:rsidR="002E012E">
              <w:t>2</w:t>
            </w:r>
            <w:r>
              <w:t xml:space="preserve">, </w:t>
            </w:r>
            <w:r w:rsidR="002E012E">
              <w:t>8</w:t>
            </w:r>
            <w:r>
              <w:t xml:space="preserve"> feb 2021</w:t>
            </w:r>
          </w:p>
        </w:tc>
      </w:tr>
      <w:tr w:rsidR="007C2C5D" w14:paraId="0983A367" w14:textId="77777777" w:rsidTr="007C2C5D">
        <w:tc>
          <w:tcPr>
            <w:tcW w:w="4531" w:type="dxa"/>
          </w:tcPr>
          <w:p w14:paraId="5EA05931" w14:textId="77777777" w:rsidR="007C2C5D" w:rsidRDefault="007C2C5D"/>
        </w:tc>
        <w:tc>
          <w:tcPr>
            <w:tcW w:w="4531" w:type="dxa"/>
          </w:tcPr>
          <w:p w14:paraId="62BBF5BA" w14:textId="07B64C1F" w:rsidR="002E012E" w:rsidRDefault="002E012E">
            <w:r>
              <w:t>Verse 1.0, 1 feb 2021</w:t>
            </w:r>
          </w:p>
          <w:p w14:paraId="5336466D" w14:textId="2F72D0AB" w:rsidR="007C2C5D" w:rsidRDefault="007C2C5D">
            <w:r>
              <w:t>Versie 1.0</w:t>
            </w:r>
            <w:r w:rsidR="002E012E">
              <w:t>1, 8 feb 2021</w:t>
            </w:r>
            <w:r>
              <w:br/>
              <w:t>Meer op meer relatie afnemer ten opzichte van leveringsdoel. Identificerend nummer in plaats van OIN. Toevoeging is_overheid_JN bij de afnemer</w:t>
            </w:r>
          </w:p>
          <w:p w14:paraId="6CB46F92" w14:textId="77777777" w:rsidR="007C2C5D" w:rsidRDefault="007C2C5D"/>
          <w:p w14:paraId="5B554D8E" w14:textId="77777777" w:rsidR="007C2C5D" w:rsidRDefault="007C2C5D">
            <w:r>
              <w:t>Wijzigingsdatumtijd bij alle entiteiten.</w:t>
            </w:r>
            <w:r>
              <w:br/>
              <w:t>Naamgevingsconventies en hoofdletterongevoeligheid bij unieke namen</w:t>
            </w:r>
          </w:p>
          <w:p w14:paraId="2ED06482" w14:textId="77777777" w:rsidR="007C2C5D" w:rsidRDefault="007C2C5D"/>
          <w:p w14:paraId="488AA25D" w14:textId="0477E2EE" w:rsidR="007C2C5D" w:rsidRDefault="007C2C5D">
            <w:r>
              <w:t>Bevat_jokerteken_JN in de tabel berichtgegeven</w:t>
            </w:r>
          </w:p>
        </w:tc>
      </w:tr>
      <w:tr w:rsidR="007C2C5D" w14:paraId="308F7D1E" w14:textId="77777777" w:rsidTr="007C2C5D">
        <w:tc>
          <w:tcPr>
            <w:tcW w:w="4531" w:type="dxa"/>
          </w:tcPr>
          <w:p w14:paraId="1A206330" w14:textId="77777777" w:rsidR="007C2C5D" w:rsidRDefault="007C2C5D"/>
        </w:tc>
        <w:tc>
          <w:tcPr>
            <w:tcW w:w="4531" w:type="dxa"/>
          </w:tcPr>
          <w:p w14:paraId="6789E7D3" w14:textId="77777777" w:rsidR="007C2C5D" w:rsidRDefault="007C2C5D"/>
        </w:tc>
      </w:tr>
    </w:tbl>
    <w:p w14:paraId="7E0456BC" w14:textId="411C079B" w:rsidR="00C26654" w:rsidRDefault="00C26654"/>
    <w:p w14:paraId="6B5C93E8" w14:textId="77777777" w:rsidR="00552CFA" w:rsidRDefault="00552CFA"/>
    <w:sdt>
      <w:sdtPr>
        <w:rPr>
          <w:rFonts w:ascii="Times New Roman" w:eastAsia="Times New Roman" w:hAnsi="Times New Roman" w:cs="Times New Roman"/>
          <w:b w:val="0"/>
          <w:bCs w:val="0"/>
          <w:color w:val="auto"/>
          <w:sz w:val="24"/>
          <w:szCs w:val="24"/>
        </w:rPr>
        <w:id w:val="-2126849637"/>
        <w:docPartObj>
          <w:docPartGallery w:val="Table of Contents"/>
          <w:docPartUnique/>
        </w:docPartObj>
      </w:sdtPr>
      <w:sdtEndPr>
        <w:rPr>
          <w:noProof/>
        </w:rPr>
      </w:sdtEndPr>
      <w:sdtContent>
        <w:p w14:paraId="1966301A" w14:textId="038E965A" w:rsidR="00C26654" w:rsidRDefault="00C26654">
          <w:pPr>
            <w:pStyle w:val="Kopvaninhoudsopgave"/>
          </w:pPr>
          <w:r>
            <w:t>Inhoudsopgave</w:t>
          </w:r>
        </w:p>
        <w:p w14:paraId="6B253D49" w14:textId="5F8CF2A1" w:rsidR="00C26654" w:rsidRDefault="00C26654">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63683495" w:history="1">
            <w:r w:rsidRPr="00C906DA">
              <w:rPr>
                <w:rStyle w:val="Hyperlink"/>
                <w:noProof/>
              </w:rPr>
              <w:t>Gegevensmodel van de leveringsvoorwaarden</w:t>
            </w:r>
            <w:r>
              <w:rPr>
                <w:noProof/>
                <w:webHidden/>
              </w:rPr>
              <w:tab/>
            </w:r>
            <w:r>
              <w:rPr>
                <w:noProof/>
                <w:webHidden/>
              </w:rPr>
              <w:fldChar w:fldCharType="begin"/>
            </w:r>
            <w:r>
              <w:rPr>
                <w:noProof/>
                <w:webHidden/>
              </w:rPr>
              <w:instrText xml:space="preserve"> PAGEREF _Toc63683495 \h </w:instrText>
            </w:r>
            <w:r>
              <w:rPr>
                <w:noProof/>
                <w:webHidden/>
              </w:rPr>
            </w:r>
            <w:r>
              <w:rPr>
                <w:noProof/>
                <w:webHidden/>
              </w:rPr>
              <w:fldChar w:fldCharType="separate"/>
            </w:r>
            <w:r>
              <w:rPr>
                <w:noProof/>
                <w:webHidden/>
              </w:rPr>
              <w:t>1</w:t>
            </w:r>
            <w:r>
              <w:rPr>
                <w:noProof/>
                <w:webHidden/>
              </w:rPr>
              <w:fldChar w:fldCharType="end"/>
            </w:r>
          </w:hyperlink>
        </w:p>
        <w:p w14:paraId="0EACFCCE" w14:textId="7D92F96C" w:rsidR="00C26654" w:rsidRDefault="007F7733">
          <w:pPr>
            <w:pStyle w:val="Inhopg2"/>
            <w:tabs>
              <w:tab w:val="right" w:leader="dot" w:pos="9062"/>
            </w:tabs>
            <w:rPr>
              <w:rFonts w:eastAsiaTheme="minorEastAsia" w:cstheme="minorBidi"/>
              <w:i w:val="0"/>
              <w:iCs w:val="0"/>
              <w:noProof/>
              <w:sz w:val="24"/>
              <w:szCs w:val="24"/>
              <w:lang w:eastAsia="nl-NL"/>
            </w:rPr>
          </w:pPr>
          <w:hyperlink w:anchor="_Toc63683496" w:history="1">
            <w:r w:rsidR="00C26654" w:rsidRPr="00C906DA">
              <w:rPr>
                <w:rStyle w:val="Hyperlink"/>
                <w:noProof/>
              </w:rPr>
              <w:t>Diagram</w:t>
            </w:r>
            <w:r w:rsidR="00C26654">
              <w:rPr>
                <w:noProof/>
                <w:webHidden/>
              </w:rPr>
              <w:tab/>
            </w:r>
            <w:r w:rsidR="00C26654">
              <w:rPr>
                <w:noProof/>
                <w:webHidden/>
              </w:rPr>
              <w:fldChar w:fldCharType="begin"/>
            </w:r>
            <w:r w:rsidR="00C26654">
              <w:rPr>
                <w:noProof/>
                <w:webHidden/>
              </w:rPr>
              <w:instrText xml:space="preserve"> PAGEREF _Toc63683496 \h </w:instrText>
            </w:r>
            <w:r w:rsidR="00C26654">
              <w:rPr>
                <w:noProof/>
                <w:webHidden/>
              </w:rPr>
            </w:r>
            <w:r w:rsidR="00C26654">
              <w:rPr>
                <w:noProof/>
                <w:webHidden/>
              </w:rPr>
              <w:fldChar w:fldCharType="separate"/>
            </w:r>
            <w:r w:rsidR="00C26654">
              <w:rPr>
                <w:noProof/>
                <w:webHidden/>
              </w:rPr>
              <w:t>3</w:t>
            </w:r>
            <w:r w:rsidR="00C26654">
              <w:rPr>
                <w:noProof/>
                <w:webHidden/>
              </w:rPr>
              <w:fldChar w:fldCharType="end"/>
            </w:r>
          </w:hyperlink>
        </w:p>
        <w:p w14:paraId="1D6B11E0" w14:textId="52F85AC0" w:rsidR="00C26654" w:rsidRDefault="007F7733">
          <w:pPr>
            <w:pStyle w:val="Inhopg2"/>
            <w:tabs>
              <w:tab w:val="right" w:leader="dot" w:pos="9062"/>
            </w:tabs>
            <w:rPr>
              <w:rFonts w:eastAsiaTheme="minorEastAsia" w:cstheme="minorBidi"/>
              <w:i w:val="0"/>
              <w:iCs w:val="0"/>
              <w:noProof/>
              <w:sz w:val="24"/>
              <w:szCs w:val="24"/>
              <w:lang w:eastAsia="nl-NL"/>
            </w:rPr>
          </w:pPr>
          <w:hyperlink w:anchor="_Toc63683497" w:history="1">
            <w:r w:rsidR="00C26654" w:rsidRPr="00C906DA">
              <w:rPr>
                <w:rStyle w:val="Hyperlink"/>
                <w:noProof/>
              </w:rPr>
              <w:t>Bericht</w:t>
            </w:r>
            <w:r w:rsidR="00C26654">
              <w:rPr>
                <w:noProof/>
                <w:webHidden/>
              </w:rPr>
              <w:tab/>
            </w:r>
            <w:r w:rsidR="00C26654">
              <w:rPr>
                <w:noProof/>
                <w:webHidden/>
              </w:rPr>
              <w:fldChar w:fldCharType="begin"/>
            </w:r>
            <w:r w:rsidR="00C26654">
              <w:rPr>
                <w:noProof/>
                <w:webHidden/>
              </w:rPr>
              <w:instrText xml:space="preserve"> PAGEREF _Toc63683497 \h </w:instrText>
            </w:r>
            <w:r w:rsidR="00C26654">
              <w:rPr>
                <w:noProof/>
                <w:webHidden/>
              </w:rPr>
            </w:r>
            <w:r w:rsidR="00C26654">
              <w:rPr>
                <w:noProof/>
                <w:webHidden/>
              </w:rPr>
              <w:fldChar w:fldCharType="separate"/>
            </w:r>
            <w:r w:rsidR="00C26654">
              <w:rPr>
                <w:noProof/>
                <w:webHidden/>
              </w:rPr>
              <w:t>4</w:t>
            </w:r>
            <w:r w:rsidR="00C26654">
              <w:rPr>
                <w:noProof/>
                <w:webHidden/>
              </w:rPr>
              <w:fldChar w:fldCharType="end"/>
            </w:r>
          </w:hyperlink>
        </w:p>
        <w:p w14:paraId="2F998A34" w14:textId="114506B3" w:rsidR="00C26654" w:rsidRDefault="007F7733">
          <w:pPr>
            <w:pStyle w:val="Inhopg2"/>
            <w:tabs>
              <w:tab w:val="right" w:leader="dot" w:pos="9062"/>
            </w:tabs>
            <w:rPr>
              <w:rFonts w:eastAsiaTheme="minorEastAsia" w:cstheme="minorBidi"/>
              <w:i w:val="0"/>
              <w:iCs w:val="0"/>
              <w:noProof/>
              <w:sz w:val="24"/>
              <w:szCs w:val="24"/>
              <w:lang w:eastAsia="nl-NL"/>
            </w:rPr>
          </w:pPr>
          <w:hyperlink w:anchor="_Toc63683498" w:history="1">
            <w:r w:rsidR="00C26654" w:rsidRPr="00C906DA">
              <w:rPr>
                <w:rStyle w:val="Hyperlink"/>
                <w:noProof/>
              </w:rPr>
              <w:t>Berichtgegeven</w:t>
            </w:r>
            <w:r w:rsidR="00C26654">
              <w:rPr>
                <w:noProof/>
                <w:webHidden/>
              </w:rPr>
              <w:tab/>
            </w:r>
            <w:r w:rsidR="00C26654">
              <w:rPr>
                <w:noProof/>
                <w:webHidden/>
              </w:rPr>
              <w:fldChar w:fldCharType="begin"/>
            </w:r>
            <w:r w:rsidR="00C26654">
              <w:rPr>
                <w:noProof/>
                <w:webHidden/>
              </w:rPr>
              <w:instrText xml:space="preserve"> PAGEREF _Toc63683498 \h </w:instrText>
            </w:r>
            <w:r w:rsidR="00C26654">
              <w:rPr>
                <w:noProof/>
                <w:webHidden/>
              </w:rPr>
            </w:r>
            <w:r w:rsidR="00C26654">
              <w:rPr>
                <w:noProof/>
                <w:webHidden/>
              </w:rPr>
              <w:fldChar w:fldCharType="separate"/>
            </w:r>
            <w:r w:rsidR="00C26654">
              <w:rPr>
                <w:noProof/>
                <w:webHidden/>
              </w:rPr>
              <w:t>4</w:t>
            </w:r>
            <w:r w:rsidR="00C26654">
              <w:rPr>
                <w:noProof/>
                <w:webHidden/>
              </w:rPr>
              <w:fldChar w:fldCharType="end"/>
            </w:r>
          </w:hyperlink>
        </w:p>
        <w:p w14:paraId="3057BFD6" w14:textId="616ECC18" w:rsidR="00C26654" w:rsidRDefault="007F7733">
          <w:pPr>
            <w:pStyle w:val="Inhopg2"/>
            <w:tabs>
              <w:tab w:val="right" w:leader="dot" w:pos="9062"/>
            </w:tabs>
            <w:rPr>
              <w:rFonts w:eastAsiaTheme="minorEastAsia" w:cstheme="minorBidi"/>
              <w:i w:val="0"/>
              <w:iCs w:val="0"/>
              <w:noProof/>
              <w:sz w:val="24"/>
              <w:szCs w:val="24"/>
              <w:lang w:eastAsia="nl-NL"/>
            </w:rPr>
          </w:pPr>
          <w:hyperlink w:anchor="_Toc63683499" w:history="1">
            <w:r w:rsidR="00C26654" w:rsidRPr="00C906DA">
              <w:rPr>
                <w:rStyle w:val="Hyperlink"/>
                <w:noProof/>
              </w:rPr>
              <w:t>Afnemer</w:t>
            </w:r>
            <w:r w:rsidR="00C26654">
              <w:rPr>
                <w:noProof/>
                <w:webHidden/>
              </w:rPr>
              <w:tab/>
            </w:r>
            <w:r w:rsidR="00C26654">
              <w:rPr>
                <w:noProof/>
                <w:webHidden/>
              </w:rPr>
              <w:fldChar w:fldCharType="begin"/>
            </w:r>
            <w:r w:rsidR="00C26654">
              <w:rPr>
                <w:noProof/>
                <w:webHidden/>
              </w:rPr>
              <w:instrText xml:space="preserve"> PAGEREF _Toc63683499 \h </w:instrText>
            </w:r>
            <w:r w:rsidR="00C26654">
              <w:rPr>
                <w:noProof/>
                <w:webHidden/>
              </w:rPr>
            </w:r>
            <w:r w:rsidR="00C26654">
              <w:rPr>
                <w:noProof/>
                <w:webHidden/>
              </w:rPr>
              <w:fldChar w:fldCharType="separate"/>
            </w:r>
            <w:r w:rsidR="00C26654">
              <w:rPr>
                <w:noProof/>
                <w:webHidden/>
              </w:rPr>
              <w:t>5</w:t>
            </w:r>
            <w:r w:rsidR="00C26654">
              <w:rPr>
                <w:noProof/>
                <w:webHidden/>
              </w:rPr>
              <w:fldChar w:fldCharType="end"/>
            </w:r>
          </w:hyperlink>
        </w:p>
        <w:p w14:paraId="31675181" w14:textId="2D3306BE" w:rsidR="00C26654" w:rsidRDefault="007F7733">
          <w:pPr>
            <w:pStyle w:val="Inhopg2"/>
            <w:tabs>
              <w:tab w:val="right" w:leader="dot" w:pos="9062"/>
            </w:tabs>
            <w:rPr>
              <w:rFonts w:eastAsiaTheme="minorEastAsia" w:cstheme="minorBidi"/>
              <w:i w:val="0"/>
              <w:iCs w:val="0"/>
              <w:noProof/>
              <w:sz w:val="24"/>
              <w:szCs w:val="24"/>
              <w:lang w:eastAsia="nl-NL"/>
            </w:rPr>
          </w:pPr>
          <w:hyperlink w:anchor="_Toc63683500" w:history="1">
            <w:r w:rsidR="00C26654" w:rsidRPr="00C906DA">
              <w:rPr>
                <w:rStyle w:val="Hyperlink"/>
                <w:noProof/>
              </w:rPr>
              <w:t>Leveringsdoel</w:t>
            </w:r>
            <w:r w:rsidR="00C26654">
              <w:rPr>
                <w:noProof/>
                <w:webHidden/>
              </w:rPr>
              <w:tab/>
            </w:r>
            <w:r w:rsidR="00C26654">
              <w:rPr>
                <w:noProof/>
                <w:webHidden/>
              </w:rPr>
              <w:fldChar w:fldCharType="begin"/>
            </w:r>
            <w:r w:rsidR="00C26654">
              <w:rPr>
                <w:noProof/>
                <w:webHidden/>
              </w:rPr>
              <w:instrText xml:space="preserve"> PAGEREF _Toc63683500 \h </w:instrText>
            </w:r>
            <w:r w:rsidR="00C26654">
              <w:rPr>
                <w:noProof/>
                <w:webHidden/>
              </w:rPr>
            </w:r>
            <w:r w:rsidR="00C26654">
              <w:rPr>
                <w:noProof/>
                <w:webHidden/>
              </w:rPr>
              <w:fldChar w:fldCharType="separate"/>
            </w:r>
            <w:r w:rsidR="00C26654">
              <w:rPr>
                <w:noProof/>
                <w:webHidden/>
              </w:rPr>
              <w:t>5</w:t>
            </w:r>
            <w:r w:rsidR="00C26654">
              <w:rPr>
                <w:noProof/>
                <w:webHidden/>
              </w:rPr>
              <w:fldChar w:fldCharType="end"/>
            </w:r>
          </w:hyperlink>
        </w:p>
        <w:p w14:paraId="63AE96C1" w14:textId="28943051" w:rsidR="00C26654" w:rsidRDefault="007F7733">
          <w:pPr>
            <w:pStyle w:val="Inhopg2"/>
            <w:tabs>
              <w:tab w:val="right" w:leader="dot" w:pos="9062"/>
            </w:tabs>
            <w:rPr>
              <w:rFonts w:eastAsiaTheme="minorEastAsia" w:cstheme="minorBidi"/>
              <w:i w:val="0"/>
              <w:iCs w:val="0"/>
              <w:noProof/>
              <w:sz w:val="24"/>
              <w:szCs w:val="24"/>
              <w:lang w:eastAsia="nl-NL"/>
            </w:rPr>
          </w:pPr>
          <w:hyperlink w:anchor="_Toc63683501" w:history="1">
            <w:r w:rsidR="00C26654" w:rsidRPr="00C906DA">
              <w:rPr>
                <w:rStyle w:val="Hyperlink"/>
                <w:noProof/>
              </w:rPr>
              <w:t>Leveringsvoorwaarde</w:t>
            </w:r>
            <w:r w:rsidR="00C26654">
              <w:rPr>
                <w:noProof/>
                <w:webHidden/>
              </w:rPr>
              <w:tab/>
            </w:r>
            <w:r w:rsidR="00C26654">
              <w:rPr>
                <w:noProof/>
                <w:webHidden/>
              </w:rPr>
              <w:fldChar w:fldCharType="begin"/>
            </w:r>
            <w:r w:rsidR="00C26654">
              <w:rPr>
                <w:noProof/>
                <w:webHidden/>
              </w:rPr>
              <w:instrText xml:space="preserve"> PAGEREF _Toc63683501 \h </w:instrText>
            </w:r>
            <w:r w:rsidR="00C26654">
              <w:rPr>
                <w:noProof/>
                <w:webHidden/>
              </w:rPr>
            </w:r>
            <w:r w:rsidR="00C26654">
              <w:rPr>
                <w:noProof/>
                <w:webHidden/>
              </w:rPr>
              <w:fldChar w:fldCharType="separate"/>
            </w:r>
            <w:r w:rsidR="00C26654">
              <w:rPr>
                <w:noProof/>
                <w:webHidden/>
              </w:rPr>
              <w:t>6</w:t>
            </w:r>
            <w:r w:rsidR="00C26654">
              <w:rPr>
                <w:noProof/>
                <w:webHidden/>
              </w:rPr>
              <w:fldChar w:fldCharType="end"/>
            </w:r>
          </w:hyperlink>
        </w:p>
        <w:p w14:paraId="005026F9" w14:textId="3BDA6299" w:rsidR="00C26654" w:rsidRDefault="00C26654">
          <w:r>
            <w:rPr>
              <w:b/>
              <w:bCs/>
              <w:noProof/>
            </w:rPr>
            <w:fldChar w:fldCharType="end"/>
          </w:r>
        </w:p>
      </w:sdtContent>
    </w:sdt>
    <w:p w14:paraId="500FDE57" w14:textId="20FD1B65" w:rsidR="00C26654" w:rsidRDefault="00C26654">
      <w:r>
        <w:br w:type="page"/>
      </w:r>
    </w:p>
    <w:p w14:paraId="2910B49B" w14:textId="77777777" w:rsidR="00C26654" w:rsidRDefault="00C26654"/>
    <w:p w14:paraId="6AC5F98E" w14:textId="6357881F" w:rsidR="007C2C5D" w:rsidRDefault="00C26654" w:rsidP="00C26654">
      <w:pPr>
        <w:pStyle w:val="Kop2"/>
      </w:pPr>
      <w:bookmarkStart w:id="1" w:name="_Toc63683496"/>
      <w:r>
        <w:t>Diagram</w:t>
      </w:r>
      <w:bookmarkEnd w:id="1"/>
    </w:p>
    <w:p w14:paraId="2CE77721" w14:textId="77777777" w:rsidR="007C2C5D" w:rsidRPr="007C2C5D" w:rsidRDefault="007C2C5D" w:rsidP="007C2C5D"/>
    <w:p w14:paraId="1FD3B53B" w14:textId="203D54B9" w:rsidR="000E6AD0" w:rsidRDefault="007C2C5D" w:rsidP="000E6AD0">
      <w:r>
        <w:rPr>
          <w:noProof/>
        </w:rPr>
        <w:drawing>
          <wp:inline distT="0" distB="0" distL="0" distR="0" wp14:anchorId="6BE805E3" wp14:editId="0276973C">
            <wp:extent cx="5983014" cy="4898182"/>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5">
                      <a:extLst>
                        <a:ext uri="{28A0092B-C50C-407E-A947-70E740481C1C}">
                          <a14:useLocalDpi xmlns:a14="http://schemas.microsoft.com/office/drawing/2010/main" val="0"/>
                        </a:ext>
                      </a:extLst>
                    </a:blip>
                    <a:stretch>
                      <a:fillRect/>
                    </a:stretch>
                  </pic:blipFill>
                  <pic:spPr>
                    <a:xfrm>
                      <a:off x="0" y="0"/>
                      <a:ext cx="5990567" cy="4904366"/>
                    </a:xfrm>
                    <a:prstGeom prst="rect">
                      <a:avLst/>
                    </a:prstGeom>
                  </pic:spPr>
                </pic:pic>
              </a:graphicData>
            </a:graphic>
          </wp:inline>
        </w:drawing>
      </w:r>
    </w:p>
    <w:p w14:paraId="17DC5461" w14:textId="2CA18267" w:rsidR="000E6AD0" w:rsidRDefault="000E6AD0" w:rsidP="000E6AD0"/>
    <w:p w14:paraId="7A9DCCB3" w14:textId="77777777" w:rsidR="000E6AD0" w:rsidRPr="00D00D7C" w:rsidRDefault="000E6AD0" w:rsidP="000E6AD0">
      <w:pPr>
        <w:rPr>
          <w:b/>
          <w:bCs/>
        </w:rPr>
      </w:pPr>
      <w:r>
        <w:rPr>
          <w:b/>
          <w:bCs/>
        </w:rPr>
        <w:t>Algemeen</w:t>
      </w:r>
    </w:p>
    <w:p w14:paraId="12C2E977" w14:textId="77777777" w:rsidR="000E6AD0" w:rsidRDefault="000E6AD0" w:rsidP="000E6AD0"/>
    <w:p w14:paraId="5A832636" w14:textId="77777777" w:rsidR="000E6AD0" w:rsidRDefault="000E6AD0" w:rsidP="000E6AD0">
      <w:r>
        <w:t>Wijzigingsdatumtijd</w:t>
      </w:r>
      <w:r>
        <w:br/>
        <w:t>De wijzigingsdatumtijd is in iedere tabel aanwezig en geeft de datumtijd aan van de laatste wijziging van het record. Bij een update of insert van het record wordt dit veld automatisch bijgewerkt via een trigger.</w:t>
      </w:r>
    </w:p>
    <w:p w14:paraId="745DD75B" w14:textId="77777777" w:rsidR="000E6AD0" w:rsidRDefault="000E6AD0" w:rsidP="000E6AD0"/>
    <w:p w14:paraId="4F1BB3EC" w14:textId="77777777" w:rsidR="000E6AD0" w:rsidRDefault="000E6AD0" w:rsidP="000E6AD0">
      <w:r>
        <w:t>Id (Key)</w:t>
      </w:r>
      <w:r>
        <w:br/>
        <w:t>De sleutel is een technische sleutel die middels een pre-insert trigger gegenereerd wordt bij een insert en daarna niet meer verandert.</w:t>
      </w:r>
      <w:r>
        <w:br/>
      </w:r>
    </w:p>
    <w:p w14:paraId="74D233EE" w14:textId="77777777" w:rsidR="000E6AD0" w:rsidRDefault="000E6AD0" w:rsidP="000E6AD0">
      <w:r>
        <w:t>Algemene regel  voor namen (leveringsdoelen, namen van afnemers)</w:t>
      </w:r>
      <w:r>
        <w:br/>
        <w:t xml:space="preserve">Een naam is alfanumeriek en de karakters maken deel uit van a-z,A-Z, 0-9, underscore en min-teken. </w:t>
      </w:r>
    </w:p>
    <w:p w14:paraId="3F1F3170" w14:textId="77777777" w:rsidR="000E6AD0" w:rsidRDefault="000E6AD0" w:rsidP="000E6AD0"/>
    <w:p w14:paraId="2AB878D2" w14:textId="77777777" w:rsidR="000E6AD0" w:rsidRDefault="000E6AD0" w:rsidP="000E6AD0">
      <w:r>
        <w:t>Hoofdletterongevoelig uniek</w:t>
      </w:r>
      <w:r>
        <w:br/>
        <w:t xml:space="preserve">Met “hoofdletterongevoelig uniek” wordt geimpliceerd dat na hoofdletter-ongevoelige </w:t>
      </w:r>
      <w:r>
        <w:lastRenderedPageBreak/>
        <w:t>vergelijking er geen duplicaat is.</w:t>
      </w:r>
      <w:r>
        <w:br/>
      </w:r>
    </w:p>
    <w:p w14:paraId="01FFCFAF" w14:textId="77777777" w:rsidR="000E6AD0" w:rsidRDefault="000E6AD0" w:rsidP="000E6AD0"/>
    <w:p w14:paraId="4DCF1350" w14:textId="77777777" w:rsidR="000E6AD0" w:rsidRDefault="000E6AD0" w:rsidP="000E6AD0"/>
    <w:p w14:paraId="1C24BA62" w14:textId="77777777" w:rsidR="000E6AD0" w:rsidRPr="005F1F03" w:rsidRDefault="000E6AD0" w:rsidP="006B1842">
      <w:pPr>
        <w:pStyle w:val="Kop2"/>
      </w:pPr>
      <w:bookmarkStart w:id="2" w:name="_Toc63683497"/>
      <w:r w:rsidRPr="005F1F03">
        <w:t>Bericht</w:t>
      </w:r>
      <w:bookmarkEnd w:id="2"/>
    </w:p>
    <w:p w14:paraId="480F15AC" w14:textId="77777777" w:rsidR="000E6AD0" w:rsidRDefault="000E6AD0" w:rsidP="000E6AD0">
      <w:r>
        <w:t xml:space="preserve">Een bericht van een bron, zoals gedefinieerd in de broker middels een SOAP schema. </w:t>
      </w:r>
    </w:p>
    <w:p w14:paraId="05BF39AF" w14:textId="77777777" w:rsidR="000E6AD0" w:rsidRDefault="000E6AD0" w:rsidP="000E6AD0">
      <w:r>
        <w:t>De berichtnaam (verplicht, uniek volgens bovenstaande algemene regel voor namen) bevat het versienummer van het bericht en komen exact overeen met de naamgeving van het bericht van de broker.</w:t>
      </w:r>
    </w:p>
    <w:p w14:paraId="1414AC05" w14:textId="77777777" w:rsidR="000E6AD0" w:rsidRDefault="000E6AD0" w:rsidP="000E6AD0"/>
    <w:p w14:paraId="7817ED31" w14:textId="77777777" w:rsidR="000E6AD0" w:rsidRDefault="000E6AD0" w:rsidP="000E6AD0">
      <w:r>
        <w:t>Relaties:</w:t>
      </w:r>
      <w:r>
        <w:br/>
        <w:t>Bij een bericht kunnen meerdere berichtgegevens horen (0 of meer).</w:t>
      </w:r>
    </w:p>
    <w:p w14:paraId="48F3658A" w14:textId="77777777" w:rsidR="000E6AD0" w:rsidRDefault="000E6AD0" w:rsidP="000E6AD0"/>
    <w:p w14:paraId="3C8B38F9" w14:textId="77777777" w:rsidR="000E6AD0" w:rsidRPr="00D00D7C" w:rsidRDefault="000E6AD0" w:rsidP="006B1842">
      <w:pPr>
        <w:pStyle w:val="Kop2"/>
      </w:pPr>
      <w:bookmarkStart w:id="3" w:name="_Toc63683498"/>
      <w:r w:rsidRPr="005F1F03">
        <w:t>Berichtgegeven</w:t>
      </w:r>
      <w:bookmarkEnd w:id="3"/>
    </w:p>
    <w:p w14:paraId="44157A21" w14:textId="77777777" w:rsidR="000E6AD0" w:rsidRDefault="000E6AD0" w:rsidP="000E6AD0">
      <w:r>
        <w:t>Een berichtgegeven bevat het pad naar het bericht zoals dit binnen de SOAP definitie van het bericht bekend is. De berichtgegevens bij het bericht worden ingelezen vanuit het SOAP schema van het bericht. Deze berichtgegevens bevatten het complete pad naar het gegevenselement.</w:t>
      </w:r>
    </w:p>
    <w:p w14:paraId="06FB1D62" w14:textId="77777777" w:rsidR="000E6AD0" w:rsidRDefault="000E6AD0" w:rsidP="000E6AD0"/>
    <w:p w14:paraId="6AA2E076" w14:textId="77777777" w:rsidR="000E6AD0" w:rsidRDefault="000E6AD0" w:rsidP="000E6AD0"/>
    <w:p w14:paraId="058A00FD" w14:textId="77777777" w:rsidR="000E6AD0" w:rsidRPr="004508E4" w:rsidRDefault="000E6AD0" w:rsidP="000E6AD0">
      <w:pPr>
        <w:rPr>
          <w:b/>
          <w:bCs/>
        </w:rPr>
      </w:pPr>
      <w:r w:rsidRPr="004508E4">
        <w:rPr>
          <w:b/>
          <w:bCs/>
        </w:rPr>
        <w:t>Zelf toegevoegde berichtgegevens met wildcard in het pad</w:t>
      </w:r>
    </w:p>
    <w:p w14:paraId="1A548F87" w14:textId="77777777" w:rsidR="000E6AD0" w:rsidRDefault="000E6AD0" w:rsidP="000E6AD0">
      <w:r>
        <w:t>Gebruikers kunnen zelf berichtgegevens toevoegen aan de reeks van berichtgegevens die uit de SOAP definitie zijn afgeleid, met paden eindigend op een wildcard.</w:t>
      </w:r>
    </w:p>
    <w:p w14:paraId="3912E890" w14:textId="77777777" w:rsidR="000E6AD0" w:rsidRDefault="000E6AD0" w:rsidP="000E6AD0">
      <w:r>
        <w:t>Deze afzonderlijk toegevoegde Berichtgegeven records zijn te herkennen aan het veld bevat_wildcard. Voor deze records staat deze waarde op “Y”.</w:t>
      </w:r>
    </w:p>
    <w:p w14:paraId="2570B0D5" w14:textId="77777777" w:rsidR="000E6AD0" w:rsidRDefault="000E6AD0" w:rsidP="000E6AD0">
      <w:r>
        <w:br/>
        <w:t>Voorwaarde: Het pad met de wildcard is alleen geldig als het deel van het pad zonder de wildcard (het sterretje) voorkomt in de paden van berichtgegevens die uit de SOAP definitie afkomstig zijn.</w:t>
      </w:r>
    </w:p>
    <w:p w14:paraId="6F3CB105" w14:textId="77777777" w:rsidR="000E6AD0" w:rsidRDefault="000E6AD0" w:rsidP="000E6AD0"/>
    <w:p w14:paraId="065FFE43" w14:textId="77777777" w:rsidR="000E6AD0" w:rsidRDefault="000E6AD0" w:rsidP="000E6AD0">
      <w:r>
        <w:t>Voorbeeld van een pad met een wildcard:</w:t>
      </w:r>
    </w:p>
    <w:p w14:paraId="2BAA041E" w14:textId="77777777" w:rsidR="000E6AD0" w:rsidRDefault="000E6AD0" w:rsidP="000E6AD0">
      <w:r>
        <w:t xml:space="preserve">Bericht:  </w:t>
      </w:r>
      <w:r>
        <w:br/>
        <w:t>Berichtnaam = “UWVWbDossierPersoon04-v0100”</w:t>
      </w:r>
    </w:p>
    <w:p w14:paraId="346CBA15" w14:textId="77777777" w:rsidR="000E6AD0" w:rsidRDefault="000E6AD0" w:rsidP="000E6AD0"/>
    <w:p w14:paraId="4A2B8089" w14:textId="77777777" w:rsidR="000E6AD0" w:rsidRDefault="000E6AD0" w:rsidP="000E6AD0">
      <w:r>
        <w:t xml:space="preserve">Berichtgegeven: </w:t>
      </w:r>
      <w:r>
        <w:br/>
        <w:t>padnaargegeven= “ClientSuwi/Legitimatiebewijs/*”</w:t>
      </w:r>
    </w:p>
    <w:p w14:paraId="01EED77F" w14:textId="77777777" w:rsidR="000E6AD0" w:rsidRDefault="000E6AD0" w:rsidP="000E6AD0">
      <w:r>
        <w:t>Bevat_wildcard=’Y’</w:t>
      </w:r>
    </w:p>
    <w:p w14:paraId="42CDE0CE" w14:textId="77777777" w:rsidR="000E6AD0" w:rsidRDefault="000E6AD0" w:rsidP="000E6AD0"/>
    <w:p w14:paraId="6F36051E" w14:textId="77777777" w:rsidR="000E6AD0" w:rsidRDefault="000E6AD0" w:rsidP="000E6AD0">
      <w:r>
        <w:t>Dit berichtgegeven nu een aanduiding geworden voor de volgende SOAP berichtelementen:</w:t>
      </w:r>
      <w:r>
        <w:br/>
      </w:r>
      <w:r>
        <w:br/>
        <w:t>ClientSuwi/Legitimatiebewijs/CdSrtLegitimatiebewijs</w:t>
      </w:r>
      <w:r>
        <w:br/>
        <w:t>ClientSuwi/NrLegitimatiebewijs</w:t>
      </w:r>
      <w:r>
        <w:br/>
        <w:t>DatEGeldigLegitimatiebewijs</w:t>
      </w:r>
    </w:p>
    <w:p w14:paraId="066F4F48" w14:textId="77777777" w:rsidR="000E6AD0" w:rsidRDefault="000E6AD0" w:rsidP="000E6AD0"/>
    <w:p w14:paraId="77412889" w14:textId="77777777" w:rsidR="000E6AD0" w:rsidRDefault="000E6AD0" w:rsidP="000E6AD0">
      <w:r>
        <w:t>Relaties:</w:t>
      </w:r>
      <w:r>
        <w:br/>
        <w:t>Een berichtgegeven hoort altijd bij precies 1 bericht.</w:t>
      </w:r>
      <w:r>
        <w:br/>
        <w:t>Een berichtgegeven kan gekoppeld zijn aan 1 of meer leveringsvoorwaarden.</w:t>
      </w:r>
    </w:p>
    <w:p w14:paraId="19BD167E" w14:textId="77777777" w:rsidR="000E6AD0" w:rsidRDefault="000E6AD0" w:rsidP="000E6AD0"/>
    <w:p w14:paraId="0614AA08" w14:textId="77777777" w:rsidR="000E6AD0" w:rsidRDefault="000E6AD0" w:rsidP="000E6AD0"/>
    <w:p w14:paraId="61CBA89B" w14:textId="77777777" w:rsidR="000E6AD0" w:rsidRPr="00630871" w:rsidRDefault="000E6AD0" w:rsidP="006B1842">
      <w:pPr>
        <w:pStyle w:val="Kop2"/>
      </w:pPr>
      <w:bookmarkStart w:id="4" w:name="_Toc63683499"/>
      <w:r w:rsidRPr="00630871">
        <w:lastRenderedPageBreak/>
        <w:t>Afnemer</w:t>
      </w:r>
      <w:bookmarkEnd w:id="4"/>
    </w:p>
    <w:p w14:paraId="5D1028E2" w14:textId="057E0DE4" w:rsidR="000E6AD0" w:rsidRDefault="000E6AD0" w:rsidP="00704796">
      <w:pPr>
        <w:keepNext/>
        <w:keepLines/>
      </w:pPr>
    </w:p>
    <w:p w14:paraId="4FE7A085" w14:textId="245FA2B5" w:rsidR="00704796" w:rsidRDefault="00704796" w:rsidP="00704796">
      <w:pPr>
        <w:keepNext/>
        <w:keepLines/>
      </w:pPr>
      <w:r>
        <w:t>afnemernaam</w:t>
      </w:r>
      <w:r>
        <w:br/>
      </w:r>
    </w:p>
    <w:p w14:paraId="4FFD597E" w14:textId="77777777" w:rsidR="000E6AD0" w:rsidRDefault="000E6AD0" w:rsidP="00704796">
      <w:pPr>
        <w:keepNext/>
        <w:keepLines/>
      </w:pPr>
      <w:r>
        <w:t xml:space="preserve">Een afnemer heeft een afnemernaam (hoofdletterongevoelig uniek, voldoet aan algemene regel voor naamgeving, minimaal 3 posities). </w:t>
      </w:r>
    </w:p>
    <w:p w14:paraId="455F061F" w14:textId="77777777" w:rsidR="000E6AD0" w:rsidRDefault="000E6AD0" w:rsidP="00704796">
      <w:pPr>
        <w:keepNext/>
        <w:keepLines/>
      </w:pPr>
    </w:p>
    <w:p w14:paraId="697ABACF" w14:textId="6064F428" w:rsidR="000E6AD0" w:rsidRDefault="00704796" w:rsidP="00704796">
      <w:pPr>
        <w:keepNext/>
        <w:keepLines/>
      </w:pPr>
      <w:r>
        <w:t>identificerend_nummer</w:t>
      </w:r>
    </w:p>
    <w:p w14:paraId="245D9874" w14:textId="75EB98E7" w:rsidR="000E6AD0" w:rsidRDefault="007C2C5D" w:rsidP="00704796">
      <w:pPr>
        <w:keepNext/>
        <w:keepLines/>
      </w:pPr>
      <w:r>
        <w:br/>
      </w:r>
      <w:r w:rsidR="00704796">
        <w:t xml:space="preserve">Het veld IdenticerendNummer bevat in geval van overheidsorganisaties het OIN dat bij deze overheidsinstelling hoort, in geval van niet-overheidsorganisaties bevat het dit </w:t>
      </w:r>
      <w:r w:rsidR="007F7733">
        <w:t xml:space="preserve">een nummer dat door de Trust Service Provider uit het KvK nummer is afgeleid. </w:t>
      </w:r>
    </w:p>
    <w:p w14:paraId="7D08B9CC" w14:textId="2F402687" w:rsidR="007C2C5D" w:rsidRDefault="00704796" w:rsidP="007C2C5D">
      <w:r>
        <w:t xml:space="preserve">Het identificerend_nummer is een  alternatieve sleutel voor de entiteit Afnemer. </w:t>
      </w:r>
      <w:r w:rsidR="000E6AD0">
        <w:t>Voor overheidsorganisaties wordt als identificatie binnen het berichtverkeer het OIN gebruikt</w:t>
      </w:r>
      <w:r w:rsidR="007F7733">
        <w:t>. D</w:t>
      </w:r>
      <w:r w:rsidR="00D7664A">
        <w:t>it bestaat uit 20 posities numeriek.</w:t>
      </w:r>
    </w:p>
    <w:p w14:paraId="0B800F6C" w14:textId="77777777" w:rsidR="00D7664A" w:rsidRDefault="00D7664A" w:rsidP="007C2C5D"/>
    <w:p w14:paraId="2E5B89E3" w14:textId="14D91BE2" w:rsidR="00704796" w:rsidRDefault="007C2C5D" w:rsidP="007C2C5D">
      <w:r>
        <w:t>i</w:t>
      </w:r>
      <w:r w:rsidR="00704796">
        <w:t>s_overheid_JN</w:t>
      </w:r>
      <w:r w:rsidR="00704796">
        <w:br/>
        <w:t>Dit veld bevat bevat een karakter “J” of “N”, verplicht. Bij een J gaat het om een overheidsinstelling.</w:t>
      </w:r>
    </w:p>
    <w:p w14:paraId="52E0F59B" w14:textId="1B3B1A78" w:rsidR="00704796" w:rsidRDefault="00704796" w:rsidP="00704796">
      <w:pPr>
        <w:keepNext/>
        <w:keepLines/>
      </w:pPr>
    </w:p>
    <w:tbl>
      <w:tblPr>
        <w:tblStyle w:val="Tabelraster"/>
        <w:tblW w:w="9634" w:type="dxa"/>
        <w:tblLook w:val="04A0" w:firstRow="1" w:lastRow="0" w:firstColumn="1" w:lastColumn="0" w:noHBand="0" w:noVBand="1"/>
      </w:tblPr>
      <w:tblGrid>
        <w:gridCol w:w="9816"/>
      </w:tblGrid>
      <w:tr w:rsidR="00704796" w:rsidRPr="00704796" w14:paraId="35FC57EC" w14:textId="77777777" w:rsidTr="00704796">
        <w:tc>
          <w:tcPr>
            <w:tcW w:w="9634" w:type="dxa"/>
          </w:tcPr>
          <w:p w14:paraId="5C3FAB14" w14:textId="77777777" w:rsidR="00704796" w:rsidRPr="00704796" w:rsidRDefault="00704796" w:rsidP="00704796">
            <w:pPr>
              <w:keepNext/>
              <w:keepLines/>
              <w:rPr>
                <w:sz w:val="20"/>
                <w:szCs w:val="20"/>
              </w:rPr>
            </w:pPr>
            <w:r w:rsidRPr="00704796">
              <w:rPr>
                <w:sz w:val="20"/>
                <w:szCs w:val="20"/>
              </w:rPr>
              <w:t>OIN voor overheidsinstellingen, identificerend nummer voor niet-overheidsinstellingen</w:t>
            </w:r>
          </w:p>
          <w:p w14:paraId="11930C57" w14:textId="77777777" w:rsidR="00704796" w:rsidRPr="00704796" w:rsidRDefault="00704796" w:rsidP="00704796">
            <w:pPr>
              <w:keepNext/>
              <w:keepLines/>
              <w:rPr>
                <w:sz w:val="20"/>
                <w:szCs w:val="20"/>
              </w:rPr>
            </w:pPr>
          </w:p>
          <w:p w14:paraId="514D1E07" w14:textId="77777777" w:rsidR="00704796" w:rsidRPr="00704796" w:rsidRDefault="00704796" w:rsidP="00704796">
            <w:pPr>
              <w:keepNext/>
              <w:keepLines/>
              <w:rPr>
                <w:sz w:val="20"/>
                <w:szCs w:val="20"/>
              </w:rPr>
            </w:pPr>
            <w:r w:rsidRPr="00704796">
              <w:rPr>
                <w:sz w:val="20"/>
                <w:szCs w:val="20"/>
              </w:rPr>
              <w:t>OIN</w:t>
            </w:r>
          </w:p>
          <w:p w14:paraId="1685C3C5" w14:textId="77777777" w:rsidR="00704796" w:rsidRPr="00704796" w:rsidRDefault="00704796" w:rsidP="00704796">
            <w:pPr>
              <w:keepNext/>
              <w:keepLines/>
              <w:rPr>
                <w:sz w:val="20"/>
                <w:szCs w:val="20"/>
              </w:rPr>
            </w:pPr>
            <w:r w:rsidRPr="00704796">
              <w:rPr>
                <w:sz w:val="20"/>
                <w:szCs w:val="20"/>
              </w:rPr>
              <w:t xml:space="preserve">Dit nummer wordt door Logius uitgegeven. Het is voorstelbaar dat in de toekomst er niet-overheidspartijen (serviceverleners) zullen optreden als afnemer van gegevens van burgers. Aangezien deze partijen geen overheidsdienst vertegenwoordigen zal voor hen een ander nummer worden gehanteerd. </w:t>
            </w:r>
          </w:p>
          <w:p w14:paraId="24B40C26" w14:textId="77777777" w:rsidR="00704796" w:rsidRPr="00704796" w:rsidRDefault="00704796" w:rsidP="00704796">
            <w:pPr>
              <w:keepNext/>
              <w:keepLines/>
              <w:rPr>
                <w:sz w:val="20"/>
                <w:szCs w:val="20"/>
              </w:rPr>
            </w:pPr>
          </w:p>
          <w:p w14:paraId="2A42CE65" w14:textId="77777777" w:rsidR="00704796" w:rsidRPr="00704796" w:rsidRDefault="00704796" w:rsidP="00704796">
            <w:pPr>
              <w:rPr>
                <w:sz w:val="20"/>
                <w:szCs w:val="20"/>
              </w:rPr>
            </w:pPr>
            <w:r w:rsidRPr="00704796">
              <w:rPr>
                <w:sz w:val="20"/>
                <w:szCs w:val="20"/>
              </w:rPr>
              <w:t xml:space="preserve">Zie de notitie over het identificerend nummer voor bedrijven, het PKIoverheid-certificaat op </w:t>
            </w:r>
            <w:hyperlink r:id="rId6" w:history="1">
              <w:r w:rsidRPr="00704796">
                <w:rPr>
                  <w:rStyle w:val="Hyperlink"/>
                  <w:sz w:val="20"/>
                  <w:szCs w:val="20"/>
                </w:rPr>
                <w:t>https://www.logius.nl/diensten/oin</w:t>
              </w:r>
            </w:hyperlink>
            <w:r w:rsidRPr="00704796">
              <w:rPr>
                <w:sz w:val="20"/>
                <w:szCs w:val="20"/>
              </w:rPr>
              <w:t>. Dit nummer is in plaats van het OIN het identificerend nummer voor de organisatie en wordt bij aanvraag van dit nummer uit het KvK nummer afgeleid door te Trust Service Provider.</w:t>
            </w:r>
          </w:p>
          <w:p w14:paraId="5FF4C232" w14:textId="77777777" w:rsidR="00704796" w:rsidRPr="00704796" w:rsidRDefault="00704796" w:rsidP="00704796">
            <w:pPr>
              <w:rPr>
                <w:sz w:val="20"/>
                <w:szCs w:val="20"/>
              </w:rPr>
            </w:pPr>
          </w:p>
          <w:p w14:paraId="4BCAD945" w14:textId="77777777" w:rsidR="00704796" w:rsidRPr="00704796" w:rsidRDefault="00704796" w:rsidP="00704796">
            <w:pPr>
              <w:rPr>
                <w:sz w:val="20"/>
                <w:szCs w:val="20"/>
              </w:rPr>
            </w:pPr>
            <w:r w:rsidRPr="00704796">
              <w:rPr>
                <w:sz w:val="20"/>
                <w:szCs w:val="20"/>
              </w:rPr>
              <w:t xml:space="preserve">OIN voor de afnemer is volgens het standaardformaat van een OIN en is eveneens uniek. Het OIN nummer is 20 posities lang. Zie </w:t>
            </w:r>
            <w:hyperlink r:id="rId7" w:history="1">
              <w:r w:rsidRPr="00704796">
                <w:rPr>
                  <w:rStyle w:val="Hyperlink"/>
                  <w:sz w:val="20"/>
                  <w:szCs w:val="20"/>
                </w:rPr>
                <w:t>https://www.logius.nl/diensten/oin</w:t>
              </w:r>
            </w:hyperlink>
          </w:p>
          <w:p w14:paraId="3FFE157E" w14:textId="77777777" w:rsidR="00704796" w:rsidRPr="00704796" w:rsidRDefault="00704796" w:rsidP="00704796">
            <w:pPr>
              <w:rPr>
                <w:sz w:val="20"/>
                <w:szCs w:val="20"/>
              </w:rPr>
            </w:pPr>
            <w:r w:rsidRPr="00704796">
              <w:rPr>
                <w:sz w:val="20"/>
                <w:szCs w:val="20"/>
              </w:rPr>
              <w:t>Voorbeeld: het OIN van de gemeente Haarlemmermeer.</w:t>
            </w:r>
          </w:p>
          <w:tbl>
            <w:tblPr>
              <w:tblW w:w="9600" w:type="dxa"/>
              <w:tblCellSpacing w:w="15" w:type="dxa"/>
              <w:shd w:val="clear" w:color="auto" w:fill="FFFFFF"/>
              <w:tblCellMar>
                <w:left w:w="0" w:type="dxa"/>
                <w:right w:w="0" w:type="dxa"/>
              </w:tblCellMar>
              <w:tblLook w:val="04A0" w:firstRow="1" w:lastRow="0" w:firstColumn="1" w:lastColumn="0" w:noHBand="0" w:noVBand="1"/>
            </w:tblPr>
            <w:tblGrid>
              <w:gridCol w:w="3586"/>
              <w:gridCol w:w="3087"/>
              <w:gridCol w:w="1164"/>
              <w:gridCol w:w="1763"/>
            </w:tblGrid>
            <w:tr w:rsidR="00704796" w:rsidRPr="00DC6C57" w14:paraId="66A42966" w14:textId="77777777" w:rsidTr="00F22C8F">
              <w:trPr>
                <w:tblCellSpacing w:w="15" w:type="dxa"/>
              </w:trPr>
              <w:tc>
                <w:tcPr>
                  <w:tcW w:w="0" w:type="auto"/>
                  <w:tcBorders>
                    <w:top w:val="nil"/>
                    <w:left w:val="nil"/>
                    <w:bottom w:val="nil"/>
                    <w:right w:val="nil"/>
                  </w:tcBorders>
                  <w:shd w:val="clear" w:color="auto" w:fill="F0F0F0"/>
                  <w:tcMar>
                    <w:top w:w="96" w:type="dxa"/>
                    <w:left w:w="300" w:type="dxa"/>
                    <w:bottom w:w="96" w:type="dxa"/>
                    <w:right w:w="216" w:type="dxa"/>
                  </w:tcMar>
                  <w:hideMark/>
                </w:tcPr>
                <w:p w14:paraId="118B4C0E" w14:textId="77777777" w:rsidR="00704796" w:rsidRPr="00DC6C57" w:rsidRDefault="00704796" w:rsidP="00704796">
                  <w:pPr>
                    <w:rPr>
                      <w:rFonts w:ascii="Arial" w:hAnsi="Arial" w:cs="Arial"/>
                      <w:color w:val="000000"/>
                      <w:sz w:val="20"/>
                      <w:szCs w:val="20"/>
                    </w:rPr>
                  </w:pPr>
                  <w:r w:rsidRPr="00DC6C57">
                    <w:rPr>
                      <w:rFonts w:ascii="Arial" w:hAnsi="Arial" w:cs="Arial"/>
                      <w:b/>
                      <w:bCs/>
                      <w:color w:val="000000"/>
                      <w:sz w:val="20"/>
                      <w:szCs w:val="20"/>
                      <w:bdr w:val="none" w:sz="0" w:space="0" w:color="auto" w:frame="1"/>
                    </w:rPr>
                    <w:t>Gemeente Haarlemmermeer</w:t>
                  </w:r>
                  <w:r w:rsidRPr="00DC6C57">
                    <w:rPr>
                      <w:rFonts w:ascii="Arial" w:hAnsi="Arial" w:cs="Arial"/>
                      <w:color w:val="000000"/>
                      <w:sz w:val="20"/>
                      <w:szCs w:val="20"/>
                      <w:bdr w:val="none" w:sz="0" w:space="0" w:color="auto" w:frame="1"/>
                    </w:rPr>
                    <w:br/>
                  </w:r>
                </w:p>
              </w:tc>
              <w:tc>
                <w:tcPr>
                  <w:tcW w:w="0" w:type="auto"/>
                  <w:tcBorders>
                    <w:top w:val="nil"/>
                    <w:left w:val="nil"/>
                    <w:bottom w:val="nil"/>
                    <w:right w:val="nil"/>
                  </w:tcBorders>
                  <w:shd w:val="clear" w:color="auto" w:fill="F0F0F0"/>
                  <w:tcMar>
                    <w:top w:w="96" w:type="dxa"/>
                    <w:left w:w="300" w:type="dxa"/>
                    <w:bottom w:w="96" w:type="dxa"/>
                    <w:right w:w="216" w:type="dxa"/>
                  </w:tcMar>
                  <w:hideMark/>
                </w:tcPr>
                <w:p w14:paraId="27F1814A" w14:textId="77777777" w:rsidR="00704796" w:rsidRPr="00DC6C57" w:rsidRDefault="00704796" w:rsidP="00704796">
                  <w:pPr>
                    <w:rPr>
                      <w:rFonts w:ascii="Arial" w:hAnsi="Arial" w:cs="Arial"/>
                      <w:color w:val="000000"/>
                      <w:sz w:val="20"/>
                      <w:szCs w:val="20"/>
                    </w:rPr>
                  </w:pPr>
                  <w:r w:rsidRPr="00DC6C57">
                    <w:rPr>
                      <w:rFonts w:ascii="Arial" w:hAnsi="Arial" w:cs="Arial"/>
                      <w:color w:val="000000"/>
                      <w:sz w:val="20"/>
                      <w:szCs w:val="20"/>
                    </w:rPr>
                    <w:t>00000001825767301000</w:t>
                  </w:r>
                </w:p>
              </w:tc>
              <w:tc>
                <w:tcPr>
                  <w:tcW w:w="0" w:type="auto"/>
                  <w:tcBorders>
                    <w:top w:val="nil"/>
                    <w:left w:val="nil"/>
                    <w:bottom w:val="nil"/>
                    <w:right w:val="nil"/>
                  </w:tcBorders>
                  <w:shd w:val="clear" w:color="auto" w:fill="F0F0F0"/>
                  <w:tcMar>
                    <w:top w:w="96" w:type="dxa"/>
                    <w:left w:w="300" w:type="dxa"/>
                    <w:bottom w:w="96" w:type="dxa"/>
                    <w:right w:w="216" w:type="dxa"/>
                  </w:tcMar>
                  <w:hideMark/>
                </w:tcPr>
                <w:p w14:paraId="76F9C34E" w14:textId="77777777" w:rsidR="00704796" w:rsidRPr="00DC6C57" w:rsidRDefault="00704796" w:rsidP="00704796">
                  <w:pPr>
                    <w:rPr>
                      <w:rFonts w:ascii="Arial" w:hAnsi="Arial" w:cs="Arial"/>
                      <w:color w:val="000000"/>
                      <w:sz w:val="20"/>
                      <w:szCs w:val="20"/>
                    </w:rPr>
                  </w:pPr>
                  <w:r w:rsidRPr="00DC6C57">
                    <w:rPr>
                      <w:rFonts w:ascii="Arial" w:hAnsi="Arial" w:cs="Arial"/>
                      <w:color w:val="000000"/>
                      <w:sz w:val="20"/>
                      <w:szCs w:val="20"/>
                    </w:rPr>
                    <w:t>Actief</w:t>
                  </w:r>
                </w:p>
              </w:tc>
              <w:tc>
                <w:tcPr>
                  <w:tcW w:w="0" w:type="auto"/>
                  <w:tcBorders>
                    <w:top w:val="nil"/>
                    <w:left w:val="nil"/>
                    <w:bottom w:val="nil"/>
                    <w:right w:val="nil"/>
                  </w:tcBorders>
                  <w:shd w:val="clear" w:color="auto" w:fill="F0F0F0"/>
                  <w:tcMar>
                    <w:top w:w="96" w:type="dxa"/>
                    <w:left w:w="300" w:type="dxa"/>
                    <w:bottom w:w="96" w:type="dxa"/>
                    <w:right w:w="216" w:type="dxa"/>
                  </w:tcMar>
                  <w:hideMark/>
                </w:tcPr>
                <w:p w14:paraId="66C675DA" w14:textId="77777777" w:rsidR="00704796" w:rsidRPr="00DC6C57" w:rsidRDefault="00704796" w:rsidP="00704796">
                  <w:pPr>
                    <w:rPr>
                      <w:rFonts w:ascii="Arial" w:hAnsi="Arial" w:cs="Arial"/>
                      <w:color w:val="000000"/>
                      <w:sz w:val="20"/>
                      <w:szCs w:val="20"/>
                    </w:rPr>
                  </w:pPr>
                  <w:r w:rsidRPr="00DC6C57">
                    <w:rPr>
                      <w:rFonts w:ascii="Arial" w:hAnsi="Arial" w:cs="Arial"/>
                      <w:color w:val="000000"/>
                      <w:sz w:val="20"/>
                      <w:szCs w:val="20"/>
                    </w:rPr>
                    <w:t>04-01-2019</w:t>
                  </w:r>
                </w:p>
              </w:tc>
            </w:tr>
          </w:tbl>
          <w:p w14:paraId="42D51BE6" w14:textId="77777777" w:rsidR="00704796" w:rsidRPr="00704796" w:rsidRDefault="00704796" w:rsidP="00704796">
            <w:pPr>
              <w:rPr>
                <w:sz w:val="20"/>
                <w:szCs w:val="20"/>
              </w:rPr>
            </w:pPr>
          </w:p>
          <w:p w14:paraId="79AB26CC" w14:textId="77777777" w:rsidR="00704796" w:rsidRPr="00704796" w:rsidRDefault="00704796" w:rsidP="00704796">
            <w:pPr>
              <w:keepNext/>
              <w:keepLines/>
              <w:rPr>
                <w:sz w:val="20"/>
                <w:szCs w:val="20"/>
              </w:rPr>
            </w:pPr>
          </w:p>
        </w:tc>
      </w:tr>
    </w:tbl>
    <w:p w14:paraId="45733B4B" w14:textId="6A8399D4" w:rsidR="00704796" w:rsidRDefault="00704796" w:rsidP="00704796">
      <w:pPr>
        <w:keepNext/>
        <w:keepLines/>
      </w:pPr>
    </w:p>
    <w:p w14:paraId="55B13D12" w14:textId="2516F89C" w:rsidR="00D7664A" w:rsidRDefault="00D7664A" w:rsidP="00704796">
      <w:pPr>
        <w:keepNext/>
        <w:keepLines/>
        <w:rPr>
          <w:rFonts w:ascii="Arial" w:hAnsi="Arial" w:cs="Arial"/>
          <w:color w:val="000000"/>
          <w:sz w:val="20"/>
          <w:szCs w:val="20"/>
        </w:rPr>
      </w:pPr>
      <w:r w:rsidRPr="00DC6C57">
        <w:rPr>
          <w:rFonts w:ascii="Arial" w:hAnsi="Arial" w:cs="Arial"/>
          <w:color w:val="000000"/>
          <w:sz w:val="20"/>
          <w:szCs w:val="20"/>
        </w:rPr>
        <w:t>00000001825767301000</w:t>
      </w:r>
      <w:r w:rsidR="00E253D7">
        <w:rPr>
          <w:rFonts w:ascii="Arial" w:hAnsi="Arial" w:cs="Arial"/>
          <w:color w:val="000000"/>
          <w:sz w:val="20"/>
          <w:szCs w:val="20"/>
        </w:rPr>
        <w:t>. Haarlemmermeer</w:t>
      </w:r>
    </w:p>
    <w:p w14:paraId="28C60E1E" w14:textId="0B69A8BE" w:rsidR="00E253D7" w:rsidRDefault="00E253D7" w:rsidP="00E253D7">
      <w:pPr>
        <w:keepNext/>
        <w:keepLines/>
        <w:rPr>
          <w:rFonts w:ascii="Arial" w:hAnsi="Arial" w:cs="Arial"/>
          <w:color w:val="000000"/>
          <w:sz w:val="20"/>
          <w:szCs w:val="20"/>
        </w:rPr>
      </w:pPr>
      <w:r w:rsidRPr="00E253D7">
        <w:rPr>
          <w:rFonts w:ascii="Arial" w:hAnsi="Arial" w:cs="Arial"/>
          <w:color w:val="000000"/>
          <w:sz w:val="20"/>
          <w:szCs w:val="20"/>
        </w:rPr>
        <w:t>00000001002564440000 Amsterdam</w:t>
      </w:r>
    </w:p>
    <w:p w14:paraId="45357091" w14:textId="764F0E62" w:rsidR="00E253D7" w:rsidRPr="00E253D7" w:rsidRDefault="00E253D7" w:rsidP="00E253D7">
      <w:pPr>
        <w:keepNext/>
        <w:keepLines/>
        <w:rPr>
          <w:rFonts w:ascii="Arial" w:hAnsi="Arial" w:cs="Arial"/>
          <w:color w:val="000000"/>
          <w:sz w:val="20"/>
          <w:szCs w:val="20"/>
        </w:rPr>
      </w:pPr>
      <w:r w:rsidRPr="00E253D7">
        <w:rPr>
          <w:rFonts w:ascii="Arial" w:hAnsi="Arial" w:cs="Arial"/>
          <w:color w:val="000000"/>
          <w:sz w:val="20"/>
          <w:szCs w:val="20"/>
        </w:rPr>
        <w:t>00000001001900663000</w:t>
      </w:r>
      <w:r w:rsidR="00E44E74">
        <w:rPr>
          <w:rFonts w:ascii="Arial" w:hAnsi="Arial" w:cs="Arial"/>
          <w:color w:val="000000"/>
          <w:sz w:val="20"/>
          <w:szCs w:val="20"/>
        </w:rPr>
        <w:t xml:space="preserve"> Amstelveen</w:t>
      </w:r>
    </w:p>
    <w:p w14:paraId="6F7B3997" w14:textId="77777777" w:rsidR="00E253D7" w:rsidRPr="00E253D7" w:rsidRDefault="00E253D7" w:rsidP="00E253D7">
      <w:pPr>
        <w:keepNext/>
        <w:keepLines/>
        <w:rPr>
          <w:rFonts w:ascii="Arial" w:hAnsi="Arial" w:cs="Arial"/>
          <w:color w:val="000000"/>
          <w:sz w:val="20"/>
          <w:szCs w:val="20"/>
        </w:rPr>
      </w:pPr>
    </w:p>
    <w:p w14:paraId="13B18989" w14:textId="77777777" w:rsidR="00E253D7" w:rsidRPr="00E253D7" w:rsidRDefault="00E253D7" w:rsidP="00E253D7"/>
    <w:p w14:paraId="7D4C3789" w14:textId="77777777" w:rsidR="00E253D7" w:rsidRDefault="00E253D7" w:rsidP="00704796">
      <w:pPr>
        <w:keepNext/>
        <w:keepLines/>
      </w:pPr>
    </w:p>
    <w:p w14:paraId="0514454F" w14:textId="77777777" w:rsidR="000E6AD0" w:rsidRDefault="000E6AD0" w:rsidP="000E6AD0"/>
    <w:p w14:paraId="75B394E1" w14:textId="77777777" w:rsidR="000E6AD0" w:rsidRDefault="000E6AD0" w:rsidP="000E6AD0">
      <w:r>
        <w:t>Relaties:</w:t>
      </w:r>
      <w:r>
        <w:br/>
        <w:t>Een afnemer kan gekoppeld zijn aan 0 of meer leveringsdoelen</w:t>
      </w:r>
    </w:p>
    <w:p w14:paraId="056369E3" w14:textId="77777777" w:rsidR="000E6AD0" w:rsidRDefault="000E6AD0" w:rsidP="000E6AD0">
      <w:r>
        <w:t>Een leveringsdoel kan gekoppeld zijn aan 0 of meer afnemers</w:t>
      </w:r>
    </w:p>
    <w:p w14:paraId="51E1DD8A" w14:textId="77777777" w:rsidR="000E6AD0" w:rsidRDefault="000E6AD0" w:rsidP="000E6AD0"/>
    <w:p w14:paraId="6ADF29A2" w14:textId="61B0B413" w:rsidR="000E6AD0" w:rsidRDefault="000E6AD0"/>
    <w:p w14:paraId="52F92DD2" w14:textId="3CAFF78D" w:rsidR="006B1842" w:rsidRDefault="006B1842" w:rsidP="007C2C5D">
      <w:pPr>
        <w:pStyle w:val="Kop2"/>
      </w:pPr>
      <w:bookmarkStart w:id="5" w:name="_Toc63683500"/>
      <w:r>
        <w:lastRenderedPageBreak/>
        <w:t>Leveringsdoel</w:t>
      </w:r>
      <w:bookmarkEnd w:id="5"/>
    </w:p>
    <w:p w14:paraId="1FDB5D97" w14:textId="04CE7820" w:rsidR="007C2C5D" w:rsidRDefault="007C2C5D" w:rsidP="007C2C5D">
      <w:pPr>
        <w:keepNext/>
        <w:keepLines/>
      </w:pPr>
      <w:r>
        <w:t>Entiteit leveringsdoel heeft als bestaansreden het bundelen van een aantal leveringsvoorwaarden bij één of meer afnemers.</w:t>
      </w:r>
    </w:p>
    <w:p w14:paraId="5144A9E3" w14:textId="52363F42" w:rsidR="007C2C5D" w:rsidRDefault="007C2C5D" w:rsidP="007C2C5D"/>
    <w:p w14:paraId="06259FFF" w14:textId="38B3B676" w:rsidR="007C2C5D" w:rsidRPr="007C2C5D" w:rsidRDefault="007C2C5D" w:rsidP="007C2C5D">
      <w:r>
        <w:t>leveringsdoel</w:t>
      </w:r>
    </w:p>
    <w:p w14:paraId="698344ED" w14:textId="58ACAB45" w:rsidR="007C2C5D" w:rsidRDefault="007C2C5D" w:rsidP="007C2C5D">
      <w:pPr>
        <w:keepNext/>
        <w:keepLines/>
      </w:pPr>
      <w:r>
        <w:t xml:space="preserve">het veld leveringsdoel is hoofdletterongevoelig uniek, voldoet aan algemene regel voor naamgeving, minimaal 3 posities). </w:t>
      </w:r>
    </w:p>
    <w:p w14:paraId="305506CF" w14:textId="7FE316CC" w:rsidR="007C2C5D" w:rsidRDefault="007C2C5D" w:rsidP="007C2C5D"/>
    <w:p w14:paraId="61C5CB8E" w14:textId="4A3802BD" w:rsidR="007C2C5D" w:rsidRDefault="007C2C5D" w:rsidP="007C2C5D">
      <w:r>
        <w:t>Relaties:</w:t>
      </w:r>
      <w:r>
        <w:br/>
        <w:t>Een leveringsdoel kan gekoppeld zijn aan 0 of meer afnemers</w:t>
      </w:r>
    </w:p>
    <w:p w14:paraId="7C1EF4F4" w14:textId="5C53B4C1" w:rsidR="007C2C5D" w:rsidRDefault="007C2C5D" w:rsidP="007C2C5D">
      <w:r>
        <w:t>Een leveringsdoel kan gekoppeld zijn aan 0 of meer leveringsvoorwaarden</w:t>
      </w:r>
    </w:p>
    <w:p w14:paraId="124A4455" w14:textId="462C19CA" w:rsidR="007C2C5D" w:rsidRDefault="007C2C5D" w:rsidP="007C2C5D"/>
    <w:p w14:paraId="0085AF5C" w14:textId="6764FCF1" w:rsidR="007C2C5D" w:rsidRDefault="00C26654" w:rsidP="007C2C5D">
      <w:pPr>
        <w:pStyle w:val="Kop2"/>
      </w:pPr>
      <w:bookmarkStart w:id="6" w:name="_Toc63683501"/>
      <w:r>
        <w:t>L</w:t>
      </w:r>
      <w:r w:rsidR="007C2C5D">
        <w:t>everingsvoorwaarde</w:t>
      </w:r>
      <w:bookmarkEnd w:id="6"/>
    </w:p>
    <w:p w14:paraId="23A4FFB7" w14:textId="59C1BA13" w:rsidR="007C2C5D" w:rsidRDefault="007C2C5D" w:rsidP="007C2C5D">
      <w:pPr>
        <w:keepNext/>
        <w:keepLines/>
      </w:pPr>
      <w:r>
        <w:t>Entiteit leveringsvoorwaarde heeft als bestaansreden het bundelen van 0 of meer berichtgegevens aan een leveringsdoel.</w:t>
      </w:r>
    </w:p>
    <w:p w14:paraId="780C41AB" w14:textId="09402400" w:rsidR="007C2C5D" w:rsidRDefault="007C2C5D" w:rsidP="007C2C5D">
      <w:pPr>
        <w:keepNext/>
        <w:keepLines/>
      </w:pPr>
    </w:p>
    <w:p w14:paraId="0C0C040E" w14:textId="30C1C07D" w:rsidR="007C2C5D" w:rsidRDefault="007C2C5D" w:rsidP="007C2C5D">
      <w:r>
        <w:t>Relaties:</w:t>
      </w:r>
      <w:r>
        <w:br/>
        <w:t>Een leveringsvoorwaarde hoort altijd bij precies 1 leveringsdoel</w:t>
      </w:r>
    </w:p>
    <w:p w14:paraId="4404425C" w14:textId="2AD91509" w:rsidR="007C2C5D" w:rsidRDefault="007C2C5D" w:rsidP="007C2C5D">
      <w:r>
        <w:t>Een leveringsvoorwaarde hoort altijd bij precies 1 berichtgegeven</w:t>
      </w:r>
    </w:p>
    <w:p w14:paraId="6508CE1D" w14:textId="1DD81231" w:rsidR="007C2C5D" w:rsidRDefault="007C2C5D" w:rsidP="007C2C5D"/>
    <w:p w14:paraId="053EAB9C" w14:textId="77777777" w:rsidR="007C2C5D" w:rsidRDefault="007C2C5D" w:rsidP="007C2C5D"/>
    <w:p w14:paraId="7CB1D69C" w14:textId="77777777" w:rsidR="007C2C5D" w:rsidRDefault="007C2C5D" w:rsidP="007C2C5D">
      <w:pPr>
        <w:keepNext/>
        <w:keepLines/>
      </w:pPr>
    </w:p>
    <w:p w14:paraId="24E63AF8" w14:textId="77777777" w:rsidR="007C2C5D" w:rsidRDefault="007C2C5D" w:rsidP="007C2C5D"/>
    <w:p w14:paraId="45EE92A2" w14:textId="77777777" w:rsidR="007C2C5D" w:rsidRPr="007C2C5D" w:rsidRDefault="007C2C5D" w:rsidP="007C2C5D"/>
    <w:sectPr w:rsidR="007C2C5D" w:rsidRPr="007C2C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D0"/>
    <w:rsid w:val="000E6AD0"/>
    <w:rsid w:val="002E012E"/>
    <w:rsid w:val="00377043"/>
    <w:rsid w:val="0042624A"/>
    <w:rsid w:val="00552CFA"/>
    <w:rsid w:val="006B1842"/>
    <w:rsid w:val="00704796"/>
    <w:rsid w:val="007C2C5D"/>
    <w:rsid w:val="007F7733"/>
    <w:rsid w:val="00C26654"/>
    <w:rsid w:val="00D7664A"/>
    <w:rsid w:val="00E253D7"/>
    <w:rsid w:val="00E44E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4518"/>
  <w15:chartTrackingRefBased/>
  <w15:docId w15:val="{D07AA418-0B3D-9544-9045-1D95ADBE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53D7"/>
    <w:rPr>
      <w:rFonts w:ascii="Times New Roman" w:eastAsia="Times New Roman" w:hAnsi="Times New Roman" w:cs="Times New Roman"/>
      <w:lang w:eastAsia="nl-NL"/>
    </w:rPr>
  </w:style>
  <w:style w:type="paragraph" w:styleId="Kop1">
    <w:name w:val="heading 1"/>
    <w:basedOn w:val="Standaard"/>
    <w:next w:val="Standaard"/>
    <w:link w:val="Kop1Char"/>
    <w:uiPriority w:val="9"/>
    <w:qFormat/>
    <w:rsid w:val="000E6AD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Kop2">
    <w:name w:val="heading 2"/>
    <w:basedOn w:val="Standaard"/>
    <w:next w:val="Standaard"/>
    <w:link w:val="Kop2Char"/>
    <w:uiPriority w:val="9"/>
    <w:unhideWhenUsed/>
    <w:qFormat/>
    <w:rsid w:val="006B184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6AD0"/>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E6AD0"/>
    <w:rPr>
      <w:color w:val="0563C1" w:themeColor="hyperlink"/>
      <w:u w:val="single"/>
    </w:rPr>
  </w:style>
  <w:style w:type="table" w:styleId="Tabelraster">
    <w:name w:val="Table Grid"/>
    <w:basedOn w:val="Standaardtabel"/>
    <w:uiPriority w:val="39"/>
    <w:rsid w:val="00704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B1842"/>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C26654"/>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C26654"/>
    <w:pPr>
      <w:spacing w:before="240" w:after="120"/>
    </w:pPr>
    <w:rPr>
      <w:rFonts w:asciiTheme="minorHAnsi" w:eastAsiaTheme="minorHAnsi" w:hAnsiTheme="minorHAnsi" w:cstheme="minorHAnsi"/>
      <w:b/>
      <w:bCs/>
      <w:sz w:val="20"/>
      <w:szCs w:val="20"/>
      <w:lang w:eastAsia="en-US"/>
    </w:rPr>
  </w:style>
  <w:style w:type="paragraph" w:styleId="Inhopg2">
    <w:name w:val="toc 2"/>
    <w:basedOn w:val="Standaard"/>
    <w:next w:val="Standaard"/>
    <w:autoRedefine/>
    <w:uiPriority w:val="39"/>
    <w:unhideWhenUsed/>
    <w:rsid w:val="00C26654"/>
    <w:pPr>
      <w:spacing w:before="120"/>
      <w:ind w:left="240"/>
    </w:pPr>
    <w:rPr>
      <w:rFonts w:asciiTheme="minorHAnsi" w:eastAsiaTheme="minorHAnsi" w:hAnsiTheme="minorHAnsi" w:cstheme="minorHAnsi"/>
      <w:i/>
      <w:iCs/>
      <w:sz w:val="20"/>
      <w:szCs w:val="20"/>
      <w:lang w:eastAsia="en-US"/>
    </w:rPr>
  </w:style>
  <w:style w:type="paragraph" w:styleId="Inhopg3">
    <w:name w:val="toc 3"/>
    <w:basedOn w:val="Standaard"/>
    <w:next w:val="Standaard"/>
    <w:autoRedefine/>
    <w:uiPriority w:val="39"/>
    <w:semiHidden/>
    <w:unhideWhenUsed/>
    <w:rsid w:val="00C26654"/>
    <w:pPr>
      <w:ind w:left="480"/>
    </w:pPr>
    <w:rPr>
      <w:rFonts w:asciiTheme="minorHAnsi" w:eastAsiaTheme="minorHAnsi" w:hAnsiTheme="minorHAnsi" w:cstheme="minorHAnsi"/>
      <w:sz w:val="20"/>
      <w:szCs w:val="20"/>
      <w:lang w:eastAsia="en-US"/>
    </w:rPr>
  </w:style>
  <w:style w:type="paragraph" w:styleId="Inhopg4">
    <w:name w:val="toc 4"/>
    <w:basedOn w:val="Standaard"/>
    <w:next w:val="Standaard"/>
    <w:autoRedefine/>
    <w:uiPriority w:val="39"/>
    <w:semiHidden/>
    <w:unhideWhenUsed/>
    <w:rsid w:val="00C26654"/>
    <w:pPr>
      <w:ind w:left="720"/>
    </w:pPr>
    <w:rPr>
      <w:rFonts w:asciiTheme="minorHAnsi" w:eastAsiaTheme="minorHAnsi" w:hAnsiTheme="minorHAnsi" w:cstheme="minorHAnsi"/>
      <w:sz w:val="20"/>
      <w:szCs w:val="20"/>
      <w:lang w:eastAsia="en-US"/>
    </w:rPr>
  </w:style>
  <w:style w:type="paragraph" w:styleId="Inhopg5">
    <w:name w:val="toc 5"/>
    <w:basedOn w:val="Standaard"/>
    <w:next w:val="Standaard"/>
    <w:autoRedefine/>
    <w:uiPriority w:val="39"/>
    <w:semiHidden/>
    <w:unhideWhenUsed/>
    <w:rsid w:val="00C26654"/>
    <w:pPr>
      <w:ind w:left="960"/>
    </w:pPr>
    <w:rPr>
      <w:rFonts w:asciiTheme="minorHAnsi" w:eastAsiaTheme="minorHAnsi" w:hAnsiTheme="minorHAnsi" w:cstheme="minorHAnsi"/>
      <w:sz w:val="20"/>
      <w:szCs w:val="20"/>
      <w:lang w:eastAsia="en-US"/>
    </w:rPr>
  </w:style>
  <w:style w:type="paragraph" w:styleId="Inhopg6">
    <w:name w:val="toc 6"/>
    <w:basedOn w:val="Standaard"/>
    <w:next w:val="Standaard"/>
    <w:autoRedefine/>
    <w:uiPriority w:val="39"/>
    <w:semiHidden/>
    <w:unhideWhenUsed/>
    <w:rsid w:val="00C26654"/>
    <w:pPr>
      <w:ind w:left="1200"/>
    </w:pPr>
    <w:rPr>
      <w:rFonts w:asciiTheme="minorHAnsi" w:eastAsiaTheme="minorHAnsi" w:hAnsiTheme="minorHAnsi" w:cstheme="minorHAnsi"/>
      <w:sz w:val="20"/>
      <w:szCs w:val="20"/>
      <w:lang w:eastAsia="en-US"/>
    </w:rPr>
  </w:style>
  <w:style w:type="paragraph" w:styleId="Inhopg7">
    <w:name w:val="toc 7"/>
    <w:basedOn w:val="Standaard"/>
    <w:next w:val="Standaard"/>
    <w:autoRedefine/>
    <w:uiPriority w:val="39"/>
    <w:semiHidden/>
    <w:unhideWhenUsed/>
    <w:rsid w:val="00C26654"/>
    <w:pPr>
      <w:ind w:left="1440"/>
    </w:pPr>
    <w:rPr>
      <w:rFonts w:asciiTheme="minorHAnsi" w:eastAsiaTheme="minorHAnsi" w:hAnsiTheme="minorHAnsi" w:cstheme="minorHAnsi"/>
      <w:sz w:val="20"/>
      <w:szCs w:val="20"/>
      <w:lang w:eastAsia="en-US"/>
    </w:rPr>
  </w:style>
  <w:style w:type="paragraph" w:styleId="Inhopg8">
    <w:name w:val="toc 8"/>
    <w:basedOn w:val="Standaard"/>
    <w:next w:val="Standaard"/>
    <w:autoRedefine/>
    <w:uiPriority w:val="39"/>
    <w:semiHidden/>
    <w:unhideWhenUsed/>
    <w:rsid w:val="00C26654"/>
    <w:pPr>
      <w:ind w:left="1680"/>
    </w:pPr>
    <w:rPr>
      <w:rFonts w:asciiTheme="minorHAnsi" w:eastAsiaTheme="minorHAnsi" w:hAnsiTheme="minorHAnsi" w:cstheme="minorHAnsi"/>
      <w:sz w:val="20"/>
      <w:szCs w:val="20"/>
      <w:lang w:eastAsia="en-US"/>
    </w:rPr>
  </w:style>
  <w:style w:type="paragraph" w:styleId="Inhopg9">
    <w:name w:val="toc 9"/>
    <w:basedOn w:val="Standaard"/>
    <w:next w:val="Standaard"/>
    <w:autoRedefine/>
    <w:uiPriority w:val="39"/>
    <w:semiHidden/>
    <w:unhideWhenUsed/>
    <w:rsid w:val="00C26654"/>
    <w:pPr>
      <w:ind w:left="1920"/>
    </w:pPr>
    <w:rPr>
      <w:rFonts w:asciiTheme="minorHAnsi" w:eastAsiaTheme="minorHAnsi" w:hAnsiTheme="minorHAnsi" w:cs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882512">
      <w:bodyDiv w:val="1"/>
      <w:marLeft w:val="0"/>
      <w:marRight w:val="0"/>
      <w:marTop w:val="0"/>
      <w:marBottom w:val="0"/>
      <w:divBdr>
        <w:top w:val="none" w:sz="0" w:space="0" w:color="auto"/>
        <w:left w:val="none" w:sz="0" w:space="0" w:color="auto"/>
        <w:bottom w:val="none" w:sz="0" w:space="0" w:color="auto"/>
        <w:right w:val="none" w:sz="0" w:space="0" w:color="auto"/>
      </w:divBdr>
    </w:div>
    <w:div w:id="180866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gius.nl/diensten/o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ogius.nl/diensten/oin"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544F0-8C11-3041-891B-E1693479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971</Words>
  <Characters>5346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9</cp:revision>
  <dcterms:created xsi:type="dcterms:W3CDTF">2021-02-08T12:07:00Z</dcterms:created>
  <dcterms:modified xsi:type="dcterms:W3CDTF">2021-02-09T09:12:00Z</dcterms:modified>
</cp:coreProperties>
</file>