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DDC2" w14:textId="77777777" w:rsidR="00F40B32" w:rsidRPr="00401D1F" w:rsidRDefault="00000000">
      <w:pPr>
        <w:pStyle w:val="MdHeading1"/>
        <w:rPr>
          <w:rFonts w:ascii="Gadugi" w:hAnsi="Gadugi"/>
        </w:rPr>
      </w:pPr>
      <w:r w:rsidRPr="00401D1F">
        <w:rPr>
          <w:rFonts w:ascii="Gadugi" w:hAnsi="Gadugi"/>
        </w:rPr>
        <w:t xml:space="preserve">Justificación del Rediseño del Cartel de </w:t>
      </w:r>
      <w:proofErr w:type="spellStart"/>
      <w:r w:rsidRPr="00401D1F">
        <w:rPr>
          <w:rFonts w:ascii="Gadugi" w:hAnsi="Gadugi"/>
        </w:rPr>
        <w:t>Lumon</w:t>
      </w:r>
      <w:proofErr w:type="spellEnd"/>
      <w:r w:rsidRPr="00401D1F">
        <w:rPr>
          <w:rFonts w:ascii="Gadugi" w:hAnsi="Gadugi"/>
        </w:rPr>
        <w:t xml:space="preserve"> Industries en Estilo Tipográfico Internacional (</w:t>
      </w:r>
      <w:proofErr w:type="gramStart"/>
      <w:r w:rsidRPr="00401D1F">
        <w:rPr>
          <w:rFonts w:ascii="Gadugi" w:hAnsi="Gadugi"/>
        </w:rPr>
        <w:t>Suizo</w:t>
      </w:r>
      <w:proofErr w:type="gramEnd"/>
      <w:r w:rsidRPr="00401D1F">
        <w:rPr>
          <w:rFonts w:ascii="Gadugi" w:hAnsi="Gadugi"/>
        </w:rPr>
        <w:t>)</w:t>
      </w:r>
    </w:p>
    <w:p w14:paraId="0E9C298E" w14:textId="77777777" w:rsidR="00F40B32" w:rsidRDefault="00000000" w:rsidP="00401D1F">
      <w:r>
        <w:t xml:space="preserve">El rediseño del cartel para </w:t>
      </w:r>
      <w:proofErr w:type="spellStart"/>
      <w:r>
        <w:t>Lumon</w:t>
      </w:r>
      <w:proofErr w:type="spellEnd"/>
      <w:r>
        <w:t xml:space="preserve"> Industries, inspirado en la serie </w:t>
      </w:r>
      <w:r>
        <w:rPr>
          <w:rStyle w:val="MdEm"/>
        </w:rPr>
        <w:t>Severance</w:t>
      </w:r>
      <w:r>
        <w:t xml:space="preserve">, se ha concebido bajo los principios del </w:t>
      </w:r>
      <w:r>
        <w:rPr>
          <w:rStyle w:val="MdStrong"/>
        </w:rPr>
        <w:t>Estilo Tipográfico Internacional</w:t>
      </w:r>
      <w:r>
        <w:t xml:space="preserve">, también conocido como </w:t>
      </w:r>
      <w:r>
        <w:rPr>
          <w:rStyle w:val="MdStrong"/>
        </w:rPr>
        <w:t>Estilo Suizo</w:t>
      </w:r>
      <w:r>
        <w:t xml:space="preserve">. </w:t>
      </w:r>
      <w:r w:rsidRPr="00401D1F">
        <w:t>Esta</w:t>
      </w:r>
      <w:r>
        <w:t xml:space="preserve"> elección no es arbitraria, sino que busca reflejar y amplificar la atmósfera distópica, corporativa y deshumanizante que caracteriza a la empresa ficticia </w:t>
      </w:r>
      <w:proofErr w:type="spellStart"/>
      <w:r>
        <w:t>Lumon</w:t>
      </w:r>
      <w:proofErr w:type="spellEnd"/>
      <w:r>
        <w:t xml:space="preserve"> y al universo de la serie.</w:t>
      </w:r>
    </w:p>
    <w:p w14:paraId="17F2EA68" w14:textId="77777777" w:rsidR="00F40B32" w:rsidRDefault="00F40B32">
      <w:pPr>
        <w:pStyle w:val="MdSpace"/>
        <w:spacing w:after="60"/>
      </w:pPr>
    </w:p>
    <w:p w14:paraId="5D1745A3" w14:textId="77777777" w:rsidR="00F40B32" w:rsidRPr="00401D1F" w:rsidRDefault="00000000">
      <w:pPr>
        <w:pStyle w:val="MdHeading2"/>
        <w:rPr>
          <w:rFonts w:ascii="Gadugi" w:hAnsi="Gadugi"/>
        </w:rPr>
      </w:pPr>
      <w:r w:rsidRPr="00401D1F">
        <w:rPr>
          <w:rFonts w:ascii="Gadugi" w:hAnsi="Gadugi"/>
        </w:rPr>
        <w:t>1. Principios del Estilo Suizo y su Aplicación</w:t>
      </w:r>
    </w:p>
    <w:p w14:paraId="60D75E59" w14:textId="77777777" w:rsidR="00F40B32" w:rsidRDefault="00000000" w:rsidP="00401D1F">
      <w:r>
        <w:t xml:space="preserve">El Estilo Suizo, surgido a mediados del siglo XX, se define por su búsqueda de la </w:t>
      </w:r>
      <w:r>
        <w:rPr>
          <w:rStyle w:val="MdStrong"/>
        </w:rPr>
        <w:t>objetividad, la claridad y la funcionalidad</w:t>
      </w:r>
      <w:r>
        <w:t>. Sus características principales, que se han integrado en el rediseño, incluyen:</w:t>
      </w:r>
    </w:p>
    <w:p w14:paraId="414B57E5" w14:textId="77777777" w:rsidR="00F40B32" w:rsidRDefault="00F40B32" w:rsidP="00401D1F"/>
    <w:p w14:paraId="0277C4B0" w14:textId="3E4C9FD8" w:rsidR="00F40B32" w:rsidRDefault="00000000" w:rsidP="00401D1F">
      <w:pPr>
        <w:pStyle w:val="ListParagraph"/>
        <w:numPr>
          <w:ilvl w:val="0"/>
          <w:numId w:val="4"/>
        </w:numPr>
      </w:pPr>
      <w:r>
        <w:rPr>
          <w:rStyle w:val="MdStrong"/>
        </w:rPr>
        <w:t>Uso de la Retícula (</w:t>
      </w:r>
      <w:proofErr w:type="spellStart"/>
      <w:r>
        <w:rPr>
          <w:rStyle w:val="MdStrong"/>
        </w:rPr>
        <w:t>Grid</w:t>
      </w:r>
      <w:proofErr w:type="spellEnd"/>
      <w:r>
        <w:rPr>
          <w:rStyle w:val="MdStrong"/>
        </w:rPr>
        <w:t>):</w:t>
      </w:r>
      <w:r>
        <w:t xml:space="preserve"> La composición se estructura sobre una rejilla modular invisible que organiza todos los elementos de manera precisa y lógica. Esto confiere un sentido de orden, control y previsibilidad, que se alinea perfectamente con la obsesión de </w:t>
      </w:r>
      <w:proofErr w:type="spellStart"/>
      <w:r>
        <w:t>Lumon</w:t>
      </w:r>
      <w:proofErr w:type="spellEnd"/>
      <w:r>
        <w:t xml:space="preserve"> por la estructura y la supresión de la individualidad en el entorno laboral.</w:t>
      </w:r>
    </w:p>
    <w:p w14:paraId="56815934" w14:textId="77777777" w:rsidR="00401D1F" w:rsidRDefault="00401D1F" w:rsidP="00401D1F"/>
    <w:p w14:paraId="47C134E8" w14:textId="25BBDCEC" w:rsidR="00F40B32" w:rsidRDefault="00000000" w:rsidP="00401D1F">
      <w:pPr>
        <w:pStyle w:val="ListParagraph"/>
        <w:numPr>
          <w:ilvl w:val="0"/>
          <w:numId w:val="4"/>
        </w:numPr>
      </w:pPr>
      <w:r>
        <w:rPr>
          <w:rStyle w:val="MdStrong"/>
        </w:rPr>
        <w:t>Tipografía Sans-Serif:</w:t>
      </w:r>
      <w:r>
        <w:t xml:space="preserve"> La elección de fuentes como la Helvética (o similares) es fundamental. Estas tipografías, caracterizadas por su neutralidad y legibilidad, evitan cualquier connotación emocional o decorativa. En el cartel, la tipografía "LUMON" y el lema "PRAISE KIER" se presentan de forma clara y contundente, emulando la comunicación corporativa aséptica y autoritaria de la empresa.</w:t>
      </w:r>
    </w:p>
    <w:p w14:paraId="40DB3ACE" w14:textId="77777777" w:rsidR="00401D1F" w:rsidRDefault="00401D1F" w:rsidP="00401D1F"/>
    <w:p w14:paraId="5A177F20" w14:textId="2C901E9E" w:rsidR="00F40B32" w:rsidRDefault="00000000" w:rsidP="00401D1F">
      <w:pPr>
        <w:pStyle w:val="ListParagraph"/>
        <w:numPr>
          <w:ilvl w:val="0"/>
          <w:numId w:val="4"/>
        </w:numPr>
      </w:pPr>
      <w:r>
        <w:rPr>
          <w:rStyle w:val="MdStrong"/>
        </w:rPr>
        <w:t>Asimetría Equilibrada:</w:t>
      </w:r>
      <w:r>
        <w:t xml:space="preserve"> Aunque la composición es rigurosa, se permite una asimetría dinámica que, sin embargo, mantiene un equilibrio visual. Esto evita la monotonía y añade un sutil dinamismo dentro de un marco de estricto control.</w:t>
      </w:r>
    </w:p>
    <w:p w14:paraId="6019868F" w14:textId="77777777" w:rsidR="00401D1F" w:rsidRDefault="00401D1F" w:rsidP="00401D1F"/>
    <w:p w14:paraId="5274CD1C" w14:textId="1DA4A458" w:rsidR="00F40B32" w:rsidRDefault="00000000" w:rsidP="00401D1F">
      <w:pPr>
        <w:pStyle w:val="ListParagraph"/>
        <w:numPr>
          <w:ilvl w:val="0"/>
          <w:numId w:val="4"/>
        </w:numPr>
      </w:pPr>
      <w:r>
        <w:rPr>
          <w:rStyle w:val="MdStrong"/>
        </w:rPr>
        <w:t>Minimalismo y Espacio Negativo:</w:t>
      </w:r>
      <w:r>
        <w:t xml:space="preserve"> El diseño se despoja de todo ornamento, utilizando grandes áreas de espacio en blanco (o en este caso, el color corporativo de </w:t>
      </w:r>
      <w:proofErr w:type="spellStart"/>
      <w:r>
        <w:t>Lumon</w:t>
      </w:r>
      <w:proofErr w:type="spellEnd"/>
      <w:r>
        <w:t xml:space="preserve">) para dirigir la atención a los elementos clave. Este </w:t>
      </w:r>
      <w:proofErr w:type="spellStart"/>
      <w:r>
        <w:t>minimalismorefuerza</w:t>
      </w:r>
      <w:proofErr w:type="spellEnd"/>
      <w:r>
        <w:t xml:space="preserve"> la sensación de vacío, aislamiento y la frialdad del entorno de trabajo de los "</w:t>
      </w:r>
      <w:proofErr w:type="spellStart"/>
      <w:r>
        <w:t>innies</w:t>
      </w:r>
      <w:proofErr w:type="spellEnd"/>
      <w:r>
        <w:t>".</w:t>
      </w:r>
    </w:p>
    <w:p w14:paraId="694CD265" w14:textId="77777777" w:rsidR="00401D1F" w:rsidRDefault="00401D1F" w:rsidP="00401D1F"/>
    <w:p w14:paraId="65ED86E2" w14:textId="4C9EF12E" w:rsidR="00F40B32" w:rsidRDefault="00000000" w:rsidP="00401D1F">
      <w:pPr>
        <w:pStyle w:val="ListParagraph"/>
        <w:numPr>
          <w:ilvl w:val="0"/>
          <w:numId w:val="4"/>
        </w:numPr>
      </w:pPr>
      <w:r>
        <w:rPr>
          <w:rStyle w:val="MdStrong"/>
        </w:rPr>
        <w:t>Colores Planos y Contraste:</w:t>
      </w:r>
      <w:r>
        <w:t xml:space="preserve"> La paleta de colores es limitada y se utilizan tonos planos y desaturados, con un alto contraste entre el texto y el fondo. El verde grisáceo predominante evoca los interiores de oficina de </w:t>
      </w:r>
      <w:proofErr w:type="spellStart"/>
      <w:r>
        <w:t>Lumon</w:t>
      </w:r>
      <w:proofErr w:type="spellEnd"/>
      <w:r>
        <w:t>, mientras que el azul del icono de la gota añade un toque de color controlado y simbólico.</w:t>
      </w:r>
    </w:p>
    <w:p w14:paraId="645C7287" w14:textId="77777777" w:rsidR="00F40B32" w:rsidRDefault="00F40B32">
      <w:pPr>
        <w:pStyle w:val="MdSpace"/>
        <w:spacing w:after="60"/>
      </w:pPr>
    </w:p>
    <w:p w14:paraId="49A28A7F" w14:textId="77777777" w:rsidR="00F40B32" w:rsidRDefault="00000000">
      <w:pPr>
        <w:pStyle w:val="MdHeading2"/>
        <w:rPr>
          <w:rStyle w:val="MdEm"/>
          <w:rFonts w:ascii="Gadugi" w:hAnsi="Gadugi"/>
        </w:rPr>
      </w:pPr>
      <w:r w:rsidRPr="00401D1F">
        <w:rPr>
          <w:rFonts w:ascii="Gadugi" w:hAnsi="Gadugi"/>
        </w:rPr>
        <w:lastRenderedPageBreak/>
        <w:t xml:space="preserve">2. Conexión con la Estética de </w:t>
      </w:r>
      <w:r w:rsidRPr="00401D1F">
        <w:rPr>
          <w:rStyle w:val="MdEm"/>
          <w:rFonts w:ascii="Gadugi" w:hAnsi="Gadugi"/>
        </w:rPr>
        <w:t>Severance</w:t>
      </w:r>
    </w:p>
    <w:p w14:paraId="1F175727" w14:textId="77777777" w:rsidR="00401D1F" w:rsidRPr="00401D1F" w:rsidRDefault="00401D1F">
      <w:pPr>
        <w:pStyle w:val="MdHeading2"/>
        <w:rPr>
          <w:rFonts w:ascii="Gadugi" w:hAnsi="Gadugi"/>
        </w:rPr>
      </w:pPr>
    </w:p>
    <w:p w14:paraId="7BA801B9" w14:textId="77777777" w:rsidR="00F40B32" w:rsidRDefault="00000000" w:rsidP="00401D1F">
      <w:r>
        <w:t xml:space="preserve">La serie </w:t>
      </w:r>
      <w:r>
        <w:rPr>
          <w:rStyle w:val="MdEm"/>
        </w:rPr>
        <w:t>Severance</w:t>
      </w:r>
      <w:r>
        <w:t xml:space="preserve"> se distingue por una estética visual muy particular, que el Estilo Suizo logra capturar y potenciar:</w:t>
      </w:r>
    </w:p>
    <w:p w14:paraId="7757235E" w14:textId="77777777" w:rsidR="00F40B32" w:rsidRDefault="00F40B32" w:rsidP="00401D1F"/>
    <w:p w14:paraId="64F4D571" w14:textId="2610E9B6" w:rsidR="00F40B32" w:rsidRDefault="00000000" w:rsidP="00401D1F">
      <w:pPr>
        <w:pStyle w:val="ListParagraph"/>
        <w:numPr>
          <w:ilvl w:val="0"/>
          <w:numId w:val="3"/>
        </w:numPr>
      </w:pPr>
      <w:r>
        <w:rPr>
          <w:rStyle w:val="MdStrong"/>
        </w:rPr>
        <w:t>Control y Vigilancia:</w:t>
      </w:r>
      <w:r>
        <w:t xml:space="preserve"> La precisión y el orden del diseño suizo reflejan la vigilancia constante y el control absoluto que </w:t>
      </w:r>
      <w:proofErr w:type="spellStart"/>
      <w:r>
        <w:t>Lumon</w:t>
      </w:r>
      <w:proofErr w:type="spellEnd"/>
      <w:r>
        <w:t xml:space="preserve"> ejerce sobre sus empleados.</w:t>
      </w:r>
    </w:p>
    <w:p w14:paraId="1FAD397A" w14:textId="0694A7E3" w:rsidR="00F40B32" w:rsidRDefault="00000000" w:rsidP="00401D1F">
      <w:pPr>
        <w:pStyle w:val="ListParagraph"/>
        <w:numPr>
          <w:ilvl w:val="0"/>
          <w:numId w:val="3"/>
        </w:numPr>
      </w:pPr>
      <w:r>
        <w:rPr>
          <w:rStyle w:val="MdStrong"/>
        </w:rPr>
        <w:t>Deshumanización:</w:t>
      </w:r>
      <w:r>
        <w:t xml:space="preserve"> La ausencia de elementos orgánicos o emocionales en el diseño, junto con la tipografía impersonal, subraya la deshumanización del proceso de "separación" y la reducción de los trabajadores a meras funciones.</w:t>
      </w:r>
    </w:p>
    <w:p w14:paraId="76301173" w14:textId="77777777" w:rsidR="00401D1F" w:rsidRDefault="00401D1F" w:rsidP="00401D1F"/>
    <w:p w14:paraId="5382C699" w14:textId="75A57AF8" w:rsidR="00F40B32" w:rsidRDefault="00000000" w:rsidP="00401D1F">
      <w:pPr>
        <w:pStyle w:val="ListParagraph"/>
        <w:numPr>
          <w:ilvl w:val="0"/>
          <w:numId w:val="3"/>
        </w:numPr>
      </w:pPr>
      <w:r>
        <w:rPr>
          <w:rStyle w:val="MdStrong"/>
        </w:rPr>
        <w:t>Frialdad Corporativa:</w:t>
      </w:r>
      <w:r>
        <w:t xml:space="preserve"> La limpieza y la esterilidad del estilo evocan la atmósfera clínica y opresiva de las oficinas de </w:t>
      </w:r>
      <w:proofErr w:type="spellStart"/>
      <w:r>
        <w:t>Lumon</w:t>
      </w:r>
      <w:proofErr w:type="spellEnd"/>
      <w:r>
        <w:t>, donde la vida personal y laboral están quirúrgicamente divididas.</w:t>
      </w:r>
    </w:p>
    <w:p w14:paraId="7585959C" w14:textId="77777777" w:rsidR="00401D1F" w:rsidRDefault="00401D1F" w:rsidP="00401D1F"/>
    <w:p w14:paraId="5B09CE25" w14:textId="5EBA9EEE" w:rsidR="00F40B32" w:rsidRDefault="00000000" w:rsidP="00401D1F">
      <w:pPr>
        <w:pStyle w:val="ListParagraph"/>
        <w:numPr>
          <w:ilvl w:val="0"/>
          <w:numId w:val="3"/>
        </w:numPr>
      </w:pPr>
      <w:r>
        <w:rPr>
          <w:rStyle w:val="MdStrong"/>
        </w:rPr>
        <w:t>Simbolismo:</w:t>
      </w:r>
      <w:r>
        <w:t xml:space="preserve"> El icono de la gota, que representa el logo de </w:t>
      </w:r>
      <w:proofErr w:type="spellStart"/>
      <w:r>
        <w:t>Lumon</w:t>
      </w:r>
      <w:proofErr w:type="spellEnd"/>
      <w:r>
        <w:t xml:space="preserve"> y la esencia del proceso de "</w:t>
      </w:r>
      <w:proofErr w:type="spellStart"/>
      <w:r>
        <w:t>severance</w:t>
      </w:r>
      <w:proofErr w:type="spellEnd"/>
      <w:r>
        <w:t>", se integra como un elemento geométrico puro, enmarcado por líneas que sugieren datos o una rejilla de control, reforzando el mensaje central de la serie.</w:t>
      </w:r>
    </w:p>
    <w:p w14:paraId="2236573B" w14:textId="77777777" w:rsidR="00F40B32" w:rsidRDefault="00F40B32" w:rsidP="00401D1F"/>
    <w:p w14:paraId="19BD3A98" w14:textId="77777777" w:rsidR="00F40B32" w:rsidRDefault="00000000" w:rsidP="00401D1F">
      <w:r>
        <w:t xml:space="preserve">En resumen, el Estilo Tipográfico Internacional no solo proporciona una base estética sólida y reconocible, sino que también actúa como un potente vehículo narrativo, comunicando de forma visual la esencia de </w:t>
      </w:r>
      <w:proofErr w:type="spellStart"/>
      <w:r>
        <w:t>Lumon</w:t>
      </w:r>
      <w:proofErr w:type="spellEnd"/>
      <w:r>
        <w:t xml:space="preserve"> Industries y los temas subyacentes de </w:t>
      </w:r>
      <w:r>
        <w:rPr>
          <w:rStyle w:val="MdEm"/>
        </w:rPr>
        <w:t>Severance</w:t>
      </w:r>
      <w:r>
        <w:t>.</w:t>
      </w:r>
    </w:p>
    <w:sectPr w:rsidR="00F40B3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23E75"/>
    <w:multiLevelType w:val="hybridMultilevel"/>
    <w:tmpl w:val="8200A66C"/>
    <w:lvl w:ilvl="0" w:tplc="23E09A26">
      <w:start w:val="1"/>
      <w:numFmt w:val="bullet"/>
      <w:lvlText w:val="•"/>
      <w:lvlJc w:val="left"/>
      <w:pPr>
        <w:ind w:left="720" w:hanging="360"/>
      </w:pPr>
    </w:lvl>
    <w:lvl w:ilvl="1" w:tplc="3BEE8D7E">
      <w:start w:val="1"/>
      <w:numFmt w:val="bullet"/>
      <w:lvlText w:val="◦"/>
      <w:lvlJc w:val="left"/>
      <w:pPr>
        <w:ind w:left="1440" w:hanging="360"/>
      </w:pPr>
    </w:lvl>
    <w:lvl w:ilvl="2" w:tplc="A9967796">
      <w:start w:val="1"/>
      <w:numFmt w:val="bullet"/>
      <w:lvlText w:val="•"/>
      <w:lvlJc w:val="left"/>
      <w:pPr>
        <w:ind w:left="2160" w:hanging="360"/>
      </w:pPr>
    </w:lvl>
    <w:lvl w:ilvl="3" w:tplc="108A00C2">
      <w:start w:val="1"/>
      <w:numFmt w:val="bullet"/>
      <w:lvlText w:val="◦"/>
      <w:lvlJc w:val="left"/>
      <w:pPr>
        <w:ind w:left="2880" w:hanging="360"/>
      </w:pPr>
    </w:lvl>
    <w:lvl w:ilvl="4" w:tplc="54D24C58">
      <w:start w:val="1"/>
      <w:numFmt w:val="bullet"/>
      <w:lvlText w:val="•"/>
      <w:lvlJc w:val="left"/>
      <w:pPr>
        <w:ind w:left="3600" w:hanging="360"/>
      </w:pPr>
    </w:lvl>
    <w:lvl w:ilvl="5" w:tplc="33801F6E">
      <w:start w:val="1"/>
      <w:numFmt w:val="bullet"/>
      <w:lvlText w:val="◦"/>
      <w:lvlJc w:val="left"/>
      <w:pPr>
        <w:ind w:left="4320" w:hanging="360"/>
      </w:pPr>
    </w:lvl>
    <w:lvl w:ilvl="6" w:tplc="477E399C">
      <w:start w:val="1"/>
      <w:numFmt w:val="bullet"/>
      <w:lvlText w:val="•"/>
      <w:lvlJc w:val="left"/>
      <w:pPr>
        <w:ind w:left="5040" w:hanging="360"/>
      </w:pPr>
    </w:lvl>
    <w:lvl w:ilvl="7" w:tplc="6D26DFCC">
      <w:numFmt w:val="decimal"/>
      <w:lvlText w:val=""/>
      <w:lvlJc w:val="left"/>
    </w:lvl>
    <w:lvl w:ilvl="8" w:tplc="404AE65A">
      <w:numFmt w:val="decimal"/>
      <w:lvlText w:val=""/>
      <w:lvlJc w:val="left"/>
    </w:lvl>
  </w:abstractNum>
  <w:abstractNum w:abstractNumId="1" w15:restartNumberingAfterBreak="0">
    <w:nsid w:val="2C282B1E"/>
    <w:multiLevelType w:val="hybridMultilevel"/>
    <w:tmpl w:val="588418C4"/>
    <w:lvl w:ilvl="0" w:tplc="632A9EFA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D2067A"/>
    <w:multiLevelType w:val="hybridMultilevel"/>
    <w:tmpl w:val="B32EA130"/>
    <w:lvl w:ilvl="0" w:tplc="5C663144">
      <w:start w:val="1"/>
      <w:numFmt w:val="bullet"/>
      <w:lvlText w:val="●"/>
      <w:lvlJc w:val="left"/>
      <w:pPr>
        <w:ind w:left="720" w:hanging="360"/>
      </w:pPr>
    </w:lvl>
    <w:lvl w:ilvl="1" w:tplc="5F3031E0">
      <w:start w:val="1"/>
      <w:numFmt w:val="bullet"/>
      <w:lvlText w:val="○"/>
      <w:lvlJc w:val="left"/>
      <w:pPr>
        <w:ind w:left="1440" w:hanging="360"/>
      </w:pPr>
    </w:lvl>
    <w:lvl w:ilvl="2" w:tplc="E57C8A3E">
      <w:start w:val="1"/>
      <w:numFmt w:val="bullet"/>
      <w:lvlText w:val="■"/>
      <w:lvlJc w:val="left"/>
      <w:pPr>
        <w:ind w:left="2160" w:hanging="360"/>
      </w:pPr>
    </w:lvl>
    <w:lvl w:ilvl="3" w:tplc="E1983A50">
      <w:start w:val="1"/>
      <w:numFmt w:val="bullet"/>
      <w:lvlText w:val="●"/>
      <w:lvlJc w:val="left"/>
      <w:pPr>
        <w:ind w:left="2880" w:hanging="360"/>
      </w:pPr>
    </w:lvl>
    <w:lvl w:ilvl="4" w:tplc="A216B59A">
      <w:start w:val="1"/>
      <w:numFmt w:val="bullet"/>
      <w:lvlText w:val="○"/>
      <w:lvlJc w:val="left"/>
      <w:pPr>
        <w:ind w:left="3600" w:hanging="360"/>
      </w:pPr>
    </w:lvl>
    <w:lvl w:ilvl="5" w:tplc="6046E752">
      <w:start w:val="1"/>
      <w:numFmt w:val="bullet"/>
      <w:lvlText w:val="■"/>
      <w:lvlJc w:val="left"/>
      <w:pPr>
        <w:ind w:left="4320" w:hanging="360"/>
      </w:pPr>
    </w:lvl>
    <w:lvl w:ilvl="6" w:tplc="BEE4CA88">
      <w:start w:val="1"/>
      <w:numFmt w:val="bullet"/>
      <w:lvlText w:val="●"/>
      <w:lvlJc w:val="left"/>
      <w:pPr>
        <w:ind w:left="5040" w:hanging="360"/>
      </w:pPr>
    </w:lvl>
    <w:lvl w:ilvl="7" w:tplc="6A582A10">
      <w:start w:val="1"/>
      <w:numFmt w:val="bullet"/>
      <w:lvlText w:val="●"/>
      <w:lvlJc w:val="left"/>
      <w:pPr>
        <w:ind w:left="5760" w:hanging="360"/>
      </w:pPr>
    </w:lvl>
    <w:lvl w:ilvl="8" w:tplc="13D8886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2BB4CE8"/>
    <w:multiLevelType w:val="hybridMultilevel"/>
    <w:tmpl w:val="3DD20D2C"/>
    <w:lvl w:ilvl="0" w:tplc="EFE600C8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6B5C80"/>
    <w:multiLevelType w:val="multilevel"/>
    <w:tmpl w:val="4888F5E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225724375">
    <w:abstractNumId w:val="2"/>
    <w:lvlOverride w:ilvl="0">
      <w:startOverride w:val="1"/>
    </w:lvlOverride>
  </w:num>
  <w:num w:numId="2" w16cid:durableId="741952170">
    <w:abstractNumId w:val="0"/>
    <w:lvlOverride w:ilvl="0">
      <w:startOverride w:val="1"/>
    </w:lvlOverride>
  </w:num>
  <w:num w:numId="3" w16cid:durableId="1259632348">
    <w:abstractNumId w:val="1"/>
  </w:num>
  <w:num w:numId="4" w16cid:durableId="1723212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B32"/>
    <w:rsid w:val="003C443D"/>
    <w:rsid w:val="00401D1F"/>
    <w:rsid w:val="00F4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932C3"/>
  <w15:docId w15:val="{32B2BC99-A04A-4DBC-B68C-8FFF0E3AF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D1F"/>
    <w:rPr>
      <w:rFonts w:asciiTheme="minorHAnsi" w:hAnsiTheme="minorHAnsi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557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Adrià Carretero Muñoz</cp:lastModifiedBy>
  <cp:revision>3</cp:revision>
  <cp:lastPrinted>2026-02-07T10:18:00Z</cp:lastPrinted>
  <dcterms:created xsi:type="dcterms:W3CDTF">2026-02-07T10:14:00Z</dcterms:created>
  <dcterms:modified xsi:type="dcterms:W3CDTF">2026-02-07T10:20:00Z</dcterms:modified>
</cp:coreProperties>
</file>