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BFF69" w14:textId="2FB5BFD2" w:rsidR="00B71F89" w:rsidRPr="00C65309" w:rsidRDefault="00627F47" w:rsidP="00292899">
      <w:pPr>
        <w:pStyle w:val="Title"/>
      </w:pPr>
      <w:bookmarkStart w:id="0" w:name="_Toc511059836"/>
      <w:r>
        <w:t>COM-</w:t>
      </w:r>
      <w:r w:rsidR="000E72E6">
        <w:t>3590</w:t>
      </w:r>
      <w:r w:rsidR="00631CF4">
        <w:t xml:space="preserve">: </w:t>
      </w:r>
      <w:r w:rsidR="00BD5979">
        <w:t xml:space="preserve">Data </w:t>
      </w:r>
      <w:r w:rsidR="00292899">
        <w:t>Cleaning</w:t>
      </w:r>
      <w:r w:rsidR="005E5E3F">
        <w:t xml:space="preserve"> and Transformation</w:t>
      </w:r>
    </w:p>
    <w:p w14:paraId="4EC22FEB" w14:textId="77777777" w:rsidR="00E277DA" w:rsidRPr="00E277DA" w:rsidRDefault="00E277DA" w:rsidP="00E277DA"/>
    <w:tbl>
      <w:tblPr>
        <w:tblStyle w:val="TableGridLight"/>
        <w:tblW w:w="10875" w:type="dxa"/>
        <w:tblLook w:val="04A0" w:firstRow="1" w:lastRow="0" w:firstColumn="1" w:lastColumn="0" w:noHBand="0" w:noVBand="1"/>
      </w:tblPr>
      <w:tblGrid>
        <w:gridCol w:w="1510"/>
        <w:gridCol w:w="9365"/>
      </w:tblGrid>
      <w:tr w:rsidR="00E277DA" w:rsidRPr="008C7978" w14:paraId="612149F6" w14:textId="77777777" w:rsidTr="00AC1B48">
        <w:tc>
          <w:tcPr>
            <w:tcW w:w="10875" w:type="dxa"/>
            <w:gridSpan w:val="2"/>
          </w:tcPr>
          <w:p w14:paraId="0AB51CDF" w14:textId="77777777" w:rsidR="00E277DA" w:rsidRPr="00E277DA" w:rsidRDefault="00E277DA" w:rsidP="00E277DA">
            <w:pPr>
              <w:pStyle w:val="Heading2"/>
              <w:jc w:val="center"/>
              <w:outlineLvl w:val="1"/>
              <w:rPr>
                <w:b/>
                <w:bCs/>
              </w:rPr>
            </w:pPr>
            <w:r w:rsidRPr="00E277DA">
              <w:rPr>
                <w:b/>
                <w:bCs/>
              </w:rPr>
              <w:t>Course Information</w:t>
            </w:r>
          </w:p>
        </w:tc>
      </w:tr>
      <w:tr w:rsidR="008C7978" w:rsidRPr="008C7978" w14:paraId="67F6269F" w14:textId="77777777" w:rsidTr="0008413A">
        <w:tc>
          <w:tcPr>
            <w:tcW w:w="1483" w:type="dxa"/>
          </w:tcPr>
          <w:p w14:paraId="551F4FFC" w14:textId="77777777" w:rsidR="008C7978" w:rsidRPr="00093F92" w:rsidRDefault="008C7978" w:rsidP="008C7978">
            <w:pPr>
              <w:spacing w:before="100" w:beforeAutospacing="1" w:after="100" w:afterAutospacing="1"/>
              <w:rPr>
                <w:rFonts w:cstheme="minorHAnsi"/>
                <w:b/>
                <w:bCs/>
              </w:rPr>
            </w:pPr>
            <w:r w:rsidRPr="00093F92">
              <w:rPr>
                <w:rFonts w:cstheme="minorHAnsi"/>
                <w:b/>
                <w:bCs/>
              </w:rPr>
              <w:t>Prerequisite</w:t>
            </w:r>
          </w:p>
        </w:tc>
        <w:tc>
          <w:tcPr>
            <w:tcW w:w="9392" w:type="dxa"/>
          </w:tcPr>
          <w:p w14:paraId="2D4C6CC9" w14:textId="77777777" w:rsidR="008C7978" w:rsidRPr="00093F92" w:rsidRDefault="006C31C1" w:rsidP="006C31C1">
            <w:pPr>
              <w:spacing w:before="100" w:beforeAutospacing="1" w:after="100" w:afterAutospacing="1"/>
              <w:rPr>
                <w:rFonts w:cstheme="minorHAnsi"/>
              </w:rPr>
            </w:pPr>
            <w:r w:rsidRPr="006C31C1">
              <w:rPr>
                <w:rFonts w:cstheme="minorHAnsi"/>
              </w:rPr>
              <w:t>COM 3640</w:t>
            </w:r>
            <w:r>
              <w:rPr>
                <w:rFonts w:cstheme="minorHAnsi"/>
              </w:rPr>
              <w:t xml:space="preserve"> - Programming Languages, MAT 2461 - Probability Theory</w:t>
            </w:r>
            <w:r w:rsidRPr="006C31C1">
              <w:rPr>
                <w:rFonts w:cstheme="minorHAnsi"/>
              </w:rPr>
              <w:t xml:space="preserve">, </w:t>
            </w:r>
            <w:r>
              <w:rPr>
                <w:rFonts w:cstheme="minorHAnsi"/>
              </w:rPr>
              <w:t xml:space="preserve">MAT 2462 - </w:t>
            </w:r>
            <w:r w:rsidRPr="006C31C1">
              <w:rPr>
                <w:rFonts w:cstheme="minorHAnsi"/>
              </w:rPr>
              <w:t>Ma</w:t>
            </w:r>
            <w:r>
              <w:rPr>
                <w:rFonts w:cstheme="minorHAnsi"/>
              </w:rPr>
              <w:t xml:space="preserve">thematical Statistics </w:t>
            </w:r>
          </w:p>
        </w:tc>
      </w:tr>
      <w:tr w:rsidR="008C7978" w:rsidRPr="008C7978" w14:paraId="7C07F510" w14:textId="77777777" w:rsidTr="0008413A">
        <w:tc>
          <w:tcPr>
            <w:tcW w:w="1483" w:type="dxa"/>
            <w:hideMark/>
          </w:tcPr>
          <w:p w14:paraId="6934862A" w14:textId="77777777" w:rsidR="008C7978" w:rsidRPr="00093F92" w:rsidRDefault="008C7978" w:rsidP="008C7978">
            <w:pPr>
              <w:spacing w:before="100" w:beforeAutospacing="1" w:after="100" w:afterAutospacing="1"/>
              <w:rPr>
                <w:rFonts w:cstheme="minorHAnsi"/>
                <w:b/>
                <w:bCs/>
              </w:rPr>
            </w:pPr>
            <w:r w:rsidRPr="00093F92">
              <w:rPr>
                <w:rFonts w:cstheme="minorHAnsi"/>
                <w:b/>
                <w:bCs/>
              </w:rPr>
              <w:t>Description</w:t>
            </w:r>
          </w:p>
        </w:tc>
        <w:tc>
          <w:tcPr>
            <w:tcW w:w="9392" w:type="dxa"/>
            <w:hideMark/>
          </w:tcPr>
          <w:p w14:paraId="1F0BE262" w14:textId="77777777" w:rsidR="00F31D81" w:rsidRPr="00F31D81" w:rsidRDefault="00F31D81" w:rsidP="00C931AE">
            <w:pPr>
              <w:jc w:val="both"/>
              <w:rPr>
                <w:rFonts w:cstheme="minorHAnsi"/>
              </w:rPr>
            </w:pPr>
            <w:r w:rsidRPr="00F31D81">
              <w:rPr>
                <w:rFonts w:cstheme="minorHAnsi"/>
              </w:rPr>
              <w:t xml:space="preserve">In real-world situations, data scientists must be able to use data from many dirty, autonomous, and heterogeneous data sources that are far from being ready to be analyzed. Preparing the data for analysis (often referred to as “data wrangling”) involves four different tasks: cleaning, </w:t>
            </w:r>
            <w:r w:rsidR="00C931AE" w:rsidRPr="00F31D81">
              <w:rPr>
                <w:rFonts w:cstheme="minorHAnsi"/>
              </w:rPr>
              <w:t>sampling</w:t>
            </w:r>
            <w:r w:rsidR="00C931AE">
              <w:rPr>
                <w:rFonts w:cstheme="minorHAnsi"/>
              </w:rPr>
              <w:t xml:space="preserve">, </w:t>
            </w:r>
            <w:r w:rsidR="00C931AE" w:rsidRPr="00F31D81">
              <w:rPr>
                <w:rFonts w:cstheme="minorHAnsi"/>
              </w:rPr>
              <w:t>transformation, and</w:t>
            </w:r>
            <w:r w:rsidR="00C931AE">
              <w:rPr>
                <w:rFonts w:cstheme="minorHAnsi"/>
              </w:rPr>
              <w:t xml:space="preserve"> integration</w:t>
            </w:r>
            <w:r w:rsidRPr="00F31D81">
              <w:rPr>
                <w:rFonts w:cstheme="minorHAnsi"/>
              </w:rPr>
              <w:t>.</w:t>
            </w:r>
          </w:p>
          <w:p w14:paraId="25F89D60" w14:textId="77777777" w:rsidR="00F31D81" w:rsidRPr="00F31D81" w:rsidRDefault="00F31D81" w:rsidP="00292899">
            <w:pPr>
              <w:pStyle w:val="ListParagraph"/>
              <w:numPr>
                <w:ilvl w:val="0"/>
                <w:numId w:val="11"/>
              </w:numPr>
              <w:jc w:val="both"/>
              <w:rPr>
                <w:rFonts w:cstheme="minorHAnsi"/>
              </w:rPr>
            </w:pPr>
            <w:r w:rsidRPr="00F31D81">
              <w:rPr>
                <w:rFonts w:cstheme="minorHAnsi"/>
                <w:b/>
                <w:bCs/>
              </w:rPr>
              <w:t>Cleaning</w:t>
            </w:r>
            <w:r w:rsidRPr="00F31D81">
              <w:rPr>
                <w:rFonts w:cstheme="minorHAnsi"/>
              </w:rPr>
              <w:t xml:space="preserve"> is the detection and removal of noise, i.e.</w:t>
            </w:r>
            <w:r w:rsidR="000B54A6">
              <w:rPr>
                <w:rFonts w:cstheme="minorHAnsi"/>
              </w:rPr>
              <w:t>,</w:t>
            </w:r>
            <w:r w:rsidRPr="00F31D81">
              <w:rPr>
                <w:rFonts w:cstheme="minorHAnsi"/>
              </w:rPr>
              <w:t xml:space="preserve"> dirty data, from a data set. Speaking very broadly, an instance is considered </w:t>
            </w:r>
            <w:r w:rsidR="00C931AE">
              <w:rPr>
                <w:rFonts w:cstheme="minorHAnsi"/>
              </w:rPr>
              <w:t>“</w:t>
            </w:r>
            <w:r w:rsidRPr="00F31D81">
              <w:rPr>
                <w:rFonts w:cstheme="minorHAnsi"/>
              </w:rPr>
              <w:t>dirty</w:t>
            </w:r>
            <w:r w:rsidR="00C931AE">
              <w:rPr>
                <w:rFonts w:cstheme="minorHAnsi"/>
              </w:rPr>
              <w:t>”</w:t>
            </w:r>
            <w:r w:rsidRPr="00F31D81">
              <w:rPr>
                <w:rFonts w:cstheme="minorHAnsi"/>
              </w:rPr>
              <w:t xml:space="preserve"> if it is, in some way, inaccurate or duplicate.</w:t>
            </w:r>
          </w:p>
          <w:p w14:paraId="4DBA2233" w14:textId="77777777" w:rsidR="00F31D81" w:rsidRPr="001019D2" w:rsidRDefault="00F31D81" w:rsidP="00C931AE">
            <w:pPr>
              <w:pStyle w:val="ListParagraph"/>
              <w:numPr>
                <w:ilvl w:val="0"/>
                <w:numId w:val="11"/>
              </w:numPr>
              <w:jc w:val="both"/>
              <w:rPr>
                <w:rFonts w:cstheme="minorHAnsi"/>
              </w:rPr>
            </w:pPr>
            <w:r w:rsidRPr="00F31D81">
              <w:rPr>
                <w:rFonts w:cstheme="minorHAnsi"/>
                <w:b/>
                <w:bCs/>
              </w:rPr>
              <w:t>Sampling</w:t>
            </w:r>
            <w:r w:rsidRPr="00F31D81">
              <w:rPr>
                <w:rFonts w:cstheme="minorHAnsi"/>
              </w:rPr>
              <w:t xml:space="preserve"> is drawing a representative subset of the population of interest from the data set. Sampling </w:t>
            </w:r>
            <w:r w:rsidR="00C931AE">
              <w:rPr>
                <w:rFonts w:cstheme="minorHAnsi"/>
              </w:rPr>
              <w:t>may</w:t>
            </w:r>
            <w:r w:rsidRPr="00F31D81">
              <w:rPr>
                <w:rFonts w:cstheme="minorHAnsi"/>
              </w:rPr>
              <w:t xml:space="preserve"> be used either to reduce the data set to a tractable size or to isolate the population of interest from the </w:t>
            </w:r>
            <w:r w:rsidR="002A410D">
              <w:rPr>
                <w:rFonts w:cstheme="minorHAnsi"/>
              </w:rPr>
              <w:t>remainder</w:t>
            </w:r>
            <w:r w:rsidRPr="00F31D81">
              <w:rPr>
                <w:rFonts w:cstheme="minorHAnsi"/>
              </w:rPr>
              <w:t xml:space="preserve"> of the data.</w:t>
            </w:r>
          </w:p>
          <w:p w14:paraId="78BECC73" w14:textId="77777777" w:rsidR="00407AEB" w:rsidRDefault="00407AEB" w:rsidP="002A410D">
            <w:pPr>
              <w:pStyle w:val="ListParagraph"/>
              <w:numPr>
                <w:ilvl w:val="0"/>
                <w:numId w:val="11"/>
              </w:numPr>
              <w:jc w:val="both"/>
              <w:rPr>
                <w:rFonts w:cstheme="minorHAnsi"/>
              </w:rPr>
            </w:pPr>
            <w:r w:rsidRPr="00F31D81">
              <w:rPr>
                <w:rFonts w:cstheme="minorHAnsi"/>
                <w:b/>
                <w:bCs/>
              </w:rPr>
              <w:t>Transformation</w:t>
            </w:r>
            <w:r w:rsidRPr="00F31D81">
              <w:rPr>
                <w:rFonts w:cstheme="minorHAnsi"/>
              </w:rPr>
              <w:t xml:space="preserve"> involves taking an existing data set and mapping it from its existing schema to the schema re</w:t>
            </w:r>
            <w:r>
              <w:rPr>
                <w:rFonts w:cstheme="minorHAnsi"/>
              </w:rPr>
              <w:t xml:space="preserve">quired for the desired analysis. </w:t>
            </w:r>
            <w:r w:rsidR="002A410D">
              <w:rPr>
                <w:rFonts w:cstheme="minorHAnsi"/>
              </w:rPr>
              <w:t>May</w:t>
            </w:r>
            <w:r>
              <w:rPr>
                <w:rFonts w:cstheme="minorHAnsi"/>
              </w:rPr>
              <w:t xml:space="preserve"> include restructuring the schema and/or enriching it with additional data from other sources.</w:t>
            </w:r>
          </w:p>
          <w:p w14:paraId="4AB65462" w14:textId="77777777" w:rsidR="001019D2" w:rsidRPr="00F31D81" w:rsidRDefault="001019D2" w:rsidP="00436C47">
            <w:pPr>
              <w:pStyle w:val="ListParagraph"/>
              <w:numPr>
                <w:ilvl w:val="0"/>
                <w:numId w:val="11"/>
              </w:numPr>
              <w:jc w:val="both"/>
              <w:rPr>
                <w:rFonts w:cstheme="minorHAnsi"/>
              </w:rPr>
            </w:pPr>
            <w:r w:rsidRPr="00F31D81">
              <w:rPr>
                <w:rFonts w:cstheme="minorHAnsi"/>
                <w:b/>
                <w:bCs/>
              </w:rPr>
              <w:t>Integration</w:t>
            </w:r>
            <w:r w:rsidRPr="00F31D81">
              <w:rPr>
                <w:rFonts w:cstheme="minorHAnsi"/>
              </w:rPr>
              <w:t xml:space="preserve"> is the process of combining two or more </w:t>
            </w:r>
            <w:r w:rsidR="002A410D">
              <w:rPr>
                <w:rFonts w:cstheme="minorHAnsi"/>
              </w:rPr>
              <w:t>sets</w:t>
            </w:r>
            <w:r w:rsidRPr="00F31D81">
              <w:rPr>
                <w:rFonts w:cstheme="minorHAnsi"/>
              </w:rPr>
              <w:t xml:space="preserve"> of data into a consistent, unified view. The data to be integrated often </w:t>
            </w:r>
            <w:r w:rsidR="00436C47">
              <w:rPr>
                <w:rFonts w:cstheme="minorHAnsi"/>
              </w:rPr>
              <w:t>is stored</w:t>
            </w:r>
            <w:r w:rsidRPr="00F31D81">
              <w:rPr>
                <w:rFonts w:cstheme="minorHAnsi"/>
              </w:rPr>
              <w:t xml:space="preserve"> in multiple data sources which differ in their storage formats, query languages, schema/metadata languages, and provenance. Integration occurs at both the schema and instance levels</w:t>
            </w:r>
            <w:r w:rsidR="00BC73F3">
              <w:rPr>
                <w:rFonts w:cstheme="minorHAnsi"/>
              </w:rPr>
              <w:t>, and includes</w:t>
            </w:r>
            <w:r w:rsidRPr="00F31D81">
              <w:rPr>
                <w:rFonts w:cstheme="minorHAnsi"/>
              </w:rPr>
              <w:t xml:space="preserve"> entity resolution, which is the detection of when multiple data instances refer to the same real-world entity.</w:t>
            </w:r>
          </w:p>
          <w:p w14:paraId="4FD01023" w14:textId="77777777" w:rsidR="008C7978" w:rsidRPr="00F31D81" w:rsidRDefault="00F31D81" w:rsidP="00436C47">
            <w:pPr>
              <w:jc w:val="both"/>
              <w:rPr>
                <w:rFonts w:cstheme="minorHAnsi"/>
              </w:rPr>
            </w:pPr>
            <w:r w:rsidRPr="00F31D81">
              <w:rPr>
                <w:rFonts w:cstheme="minorHAnsi"/>
              </w:rPr>
              <w:t xml:space="preserve">For each of these tasks, interactive tools are useful both for preparing small data sets as well as for investigating the general quality or structure of a large data set. When dealing with large data sets measuring in many thousands or millions of rows, however, </w:t>
            </w:r>
            <w:r w:rsidR="0002742B">
              <w:rPr>
                <w:rFonts w:cstheme="minorHAnsi"/>
              </w:rPr>
              <w:t xml:space="preserve">programmatic </w:t>
            </w:r>
            <w:r w:rsidRPr="00F31D81">
              <w:rPr>
                <w:rFonts w:cstheme="minorHAnsi"/>
              </w:rPr>
              <w:t xml:space="preserve">quantitative approaches are an absolute necessity to make </w:t>
            </w:r>
            <w:r w:rsidR="000B54A6">
              <w:rPr>
                <w:rFonts w:cstheme="minorHAnsi"/>
              </w:rPr>
              <w:t xml:space="preserve">data </w:t>
            </w:r>
            <w:r w:rsidRPr="00F31D81">
              <w:rPr>
                <w:rFonts w:cstheme="minorHAnsi"/>
              </w:rPr>
              <w:t xml:space="preserve">preparation a realistic task. This course covers both interactive tools and quantitative approaches to each of these tasks. Because data preparation is a focus of significant R&amp;D and small advances </w:t>
            </w:r>
            <w:r w:rsidR="00436C47">
              <w:rPr>
                <w:rFonts w:cstheme="minorHAnsi"/>
              </w:rPr>
              <w:t>may</w:t>
            </w:r>
            <w:r w:rsidRPr="00F31D81">
              <w:rPr>
                <w:rFonts w:cstheme="minorHAnsi"/>
              </w:rPr>
              <w:t xml:space="preserve"> have major impacts on one’s productivity, the course also introduces students to the communities of research and practice that continue to advance</w:t>
            </w:r>
            <w:r w:rsidR="000B54A6">
              <w:rPr>
                <w:rFonts w:cstheme="minorHAnsi"/>
              </w:rPr>
              <w:t xml:space="preserve"> the state of the art </w:t>
            </w:r>
            <w:r w:rsidR="00436C47">
              <w:rPr>
                <w:rFonts w:cstheme="minorHAnsi"/>
              </w:rPr>
              <w:t>enabling students to</w:t>
            </w:r>
            <w:r w:rsidRPr="00F31D81">
              <w:rPr>
                <w:rFonts w:cstheme="minorHAnsi"/>
              </w:rPr>
              <w:t xml:space="preserve"> stay abreast of valuable advances in this area.</w:t>
            </w:r>
          </w:p>
        </w:tc>
      </w:tr>
      <w:tr w:rsidR="008C7978" w:rsidRPr="008C7978" w14:paraId="007F2F3A" w14:textId="77777777" w:rsidTr="0008413A">
        <w:tc>
          <w:tcPr>
            <w:tcW w:w="1483" w:type="dxa"/>
            <w:hideMark/>
          </w:tcPr>
          <w:p w14:paraId="58516BA9" w14:textId="77777777" w:rsidR="008C7978" w:rsidRPr="00093F92" w:rsidRDefault="008C7978" w:rsidP="008C7978">
            <w:pPr>
              <w:spacing w:before="100" w:beforeAutospacing="1" w:after="100" w:afterAutospacing="1"/>
              <w:rPr>
                <w:rFonts w:cstheme="minorHAnsi"/>
                <w:b/>
                <w:bCs/>
              </w:rPr>
            </w:pPr>
            <w:r w:rsidRPr="00093F92">
              <w:rPr>
                <w:rFonts w:cstheme="minorHAnsi"/>
                <w:b/>
                <w:bCs/>
              </w:rPr>
              <w:t>Course Outcomes</w:t>
            </w:r>
          </w:p>
        </w:tc>
        <w:tc>
          <w:tcPr>
            <w:tcW w:w="9392" w:type="dxa"/>
            <w:hideMark/>
          </w:tcPr>
          <w:p w14:paraId="469C0E2E" w14:textId="77777777" w:rsidR="008C7978" w:rsidRDefault="00C737E7" w:rsidP="0002742B">
            <w:pPr>
              <w:pStyle w:val="ListParagraph"/>
              <w:numPr>
                <w:ilvl w:val="0"/>
                <w:numId w:val="3"/>
              </w:numPr>
              <w:tabs>
                <w:tab w:val="clear" w:pos="720"/>
                <w:tab w:val="num" w:pos="139"/>
              </w:tabs>
              <w:spacing w:before="100" w:beforeAutospacing="1" w:after="100" w:afterAutospacing="1"/>
              <w:ind w:left="0" w:firstLine="0"/>
              <w:jc w:val="both"/>
              <w:rPr>
                <w:rFonts w:cstheme="minorHAnsi"/>
              </w:rPr>
            </w:pPr>
            <w:r w:rsidRPr="00D47A66">
              <w:rPr>
                <w:rFonts w:cstheme="minorHAnsi"/>
              </w:rPr>
              <w:t>Students will be able</w:t>
            </w:r>
            <w:r w:rsidR="00D47A66">
              <w:rPr>
                <w:rFonts w:cstheme="minorHAnsi"/>
              </w:rPr>
              <w:t xml:space="preserve"> to apply</w:t>
            </w:r>
            <w:r w:rsidR="0050654A" w:rsidRPr="00D47A66">
              <w:rPr>
                <w:rFonts w:cstheme="minorHAnsi"/>
              </w:rPr>
              <w:t xml:space="preserve"> des</w:t>
            </w:r>
            <w:r w:rsidR="00D47A66">
              <w:rPr>
                <w:rFonts w:cstheme="minorHAnsi"/>
              </w:rPr>
              <w:t>criptive statistics to explore a data set</w:t>
            </w:r>
          </w:p>
          <w:p w14:paraId="6BD8E81B" w14:textId="77777777" w:rsidR="00D47A66" w:rsidRDefault="00D47A66" w:rsidP="0002742B">
            <w:pPr>
              <w:pStyle w:val="ListParagraph"/>
              <w:numPr>
                <w:ilvl w:val="0"/>
                <w:numId w:val="3"/>
              </w:numPr>
              <w:tabs>
                <w:tab w:val="clear" w:pos="720"/>
                <w:tab w:val="num" w:pos="139"/>
              </w:tabs>
              <w:spacing w:before="100" w:beforeAutospacing="1" w:after="100" w:afterAutospacing="1"/>
              <w:ind w:left="0" w:firstLine="0"/>
              <w:jc w:val="both"/>
              <w:rPr>
                <w:rFonts w:cstheme="minorHAnsi"/>
              </w:rPr>
            </w:pPr>
            <w:r>
              <w:rPr>
                <w:rFonts w:cstheme="minorHAnsi"/>
              </w:rPr>
              <w:t>Students will be able to use data visualization tools to understand and explain the characteristics of a data set</w:t>
            </w:r>
          </w:p>
          <w:p w14:paraId="7B4D3523" w14:textId="77777777" w:rsidR="00D47A66" w:rsidRDefault="00D47A66" w:rsidP="00D47A66">
            <w:pPr>
              <w:pStyle w:val="ListParagraph"/>
              <w:numPr>
                <w:ilvl w:val="0"/>
                <w:numId w:val="3"/>
              </w:numPr>
              <w:tabs>
                <w:tab w:val="clear" w:pos="720"/>
                <w:tab w:val="num" w:pos="139"/>
              </w:tabs>
              <w:spacing w:before="100" w:beforeAutospacing="1" w:after="100" w:afterAutospacing="1"/>
              <w:ind w:left="0" w:firstLine="0"/>
              <w:jc w:val="both"/>
              <w:rPr>
                <w:rFonts w:cstheme="minorHAnsi"/>
              </w:rPr>
            </w:pPr>
            <w:r>
              <w:rPr>
                <w:rFonts w:cstheme="minorHAnsi"/>
              </w:rPr>
              <w:t>Students will be able to write programs to clean data sets</w:t>
            </w:r>
          </w:p>
          <w:p w14:paraId="5BFC7E1E" w14:textId="77777777" w:rsidR="00D47A66" w:rsidRPr="00D47A66" w:rsidRDefault="00D47A66" w:rsidP="00436C47">
            <w:pPr>
              <w:pStyle w:val="ListParagraph"/>
              <w:numPr>
                <w:ilvl w:val="0"/>
                <w:numId w:val="3"/>
              </w:numPr>
              <w:tabs>
                <w:tab w:val="clear" w:pos="720"/>
                <w:tab w:val="num" w:pos="139"/>
              </w:tabs>
              <w:spacing w:before="100" w:beforeAutospacing="1" w:after="100" w:afterAutospacing="1"/>
              <w:ind w:left="0" w:firstLine="0"/>
              <w:jc w:val="both"/>
              <w:rPr>
                <w:rFonts w:cstheme="minorHAnsi"/>
              </w:rPr>
            </w:pPr>
            <w:r>
              <w:rPr>
                <w:rFonts w:cstheme="minorHAnsi"/>
              </w:rPr>
              <w:t xml:space="preserve">Students will be able to derive </w:t>
            </w:r>
            <w:r w:rsidR="00436C47">
              <w:rPr>
                <w:rFonts w:cstheme="minorHAnsi"/>
              </w:rPr>
              <w:t xml:space="preserve">from existing data sets </w:t>
            </w:r>
            <w:r>
              <w:rPr>
                <w:rFonts w:cstheme="minorHAnsi"/>
              </w:rPr>
              <w:t>new data sets that are ready for analysis</w:t>
            </w:r>
            <w:r w:rsidR="00436C47">
              <w:rPr>
                <w:rFonts w:cstheme="minorHAnsi"/>
              </w:rPr>
              <w:t>,</w:t>
            </w:r>
            <w:r>
              <w:rPr>
                <w:rFonts w:cstheme="minorHAnsi"/>
              </w:rPr>
              <w:t xml:space="preserve"> via transformation, integration, and sampling</w:t>
            </w:r>
          </w:p>
        </w:tc>
      </w:tr>
      <w:tr w:rsidR="008C7978" w:rsidRPr="008C7978" w14:paraId="7EE9EC3B" w14:textId="77777777" w:rsidTr="00127DF0">
        <w:tc>
          <w:tcPr>
            <w:tcW w:w="1483" w:type="dxa"/>
            <w:hideMark/>
          </w:tcPr>
          <w:p w14:paraId="2A436DE2" w14:textId="77777777" w:rsidR="008C7978" w:rsidRPr="00093F92" w:rsidRDefault="008C7978" w:rsidP="008C7978">
            <w:pPr>
              <w:spacing w:before="100" w:beforeAutospacing="1" w:after="100" w:afterAutospacing="1"/>
              <w:rPr>
                <w:rFonts w:cstheme="minorHAnsi"/>
                <w:b/>
                <w:bCs/>
              </w:rPr>
            </w:pPr>
            <w:r w:rsidRPr="00093F92">
              <w:rPr>
                <w:rFonts w:cstheme="minorHAnsi"/>
                <w:b/>
                <w:bCs/>
              </w:rPr>
              <w:t>Major Topics Covered in Course</w:t>
            </w:r>
          </w:p>
        </w:tc>
        <w:tc>
          <w:tcPr>
            <w:tcW w:w="9392" w:type="dxa"/>
          </w:tcPr>
          <w:p w14:paraId="77DB3836" w14:textId="77777777" w:rsidR="00127DF0" w:rsidRPr="00F31D81" w:rsidRDefault="00127DF0" w:rsidP="00127DF0">
            <w:pPr>
              <w:pStyle w:val="ListParagraph"/>
              <w:numPr>
                <w:ilvl w:val="0"/>
                <w:numId w:val="11"/>
              </w:numPr>
              <w:ind w:left="114" w:hanging="114"/>
              <w:jc w:val="both"/>
              <w:rPr>
                <w:rFonts w:cstheme="minorHAnsi"/>
              </w:rPr>
            </w:pPr>
            <w:r>
              <w:rPr>
                <w:rFonts w:cstheme="minorHAnsi"/>
                <w:b/>
                <w:bCs/>
              </w:rPr>
              <w:t xml:space="preserve">Data </w:t>
            </w:r>
            <w:r w:rsidR="00C21D41">
              <w:rPr>
                <w:rFonts w:cstheme="minorHAnsi"/>
                <w:b/>
                <w:bCs/>
              </w:rPr>
              <w:t>Clean</w:t>
            </w:r>
            <w:r w:rsidRPr="00F31D81">
              <w:rPr>
                <w:rFonts w:cstheme="minorHAnsi"/>
                <w:b/>
                <w:bCs/>
              </w:rPr>
              <w:t>ing</w:t>
            </w:r>
          </w:p>
          <w:p w14:paraId="30087567" w14:textId="77777777" w:rsidR="008C7978" w:rsidRPr="00E862DA" w:rsidRDefault="00127DF0" w:rsidP="00127DF0">
            <w:pPr>
              <w:pStyle w:val="ListParagraph"/>
              <w:numPr>
                <w:ilvl w:val="0"/>
                <w:numId w:val="11"/>
              </w:numPr>
              <w:ind w:left="114" w:hanging="114"/>
              <w:jc w:val="both"/>
              <w:rPr>
                <w:rFonts w:cstheme="minorHAnsi"/>
              </w:rPr>
            </w:pPr>
            <w:r>
              <w:rPr>
                <w:rFonts w:cstheme="minorHAnsi"/>
                <w:b/>
                <w:bCs/>
              </w:rPr>
              <w:t xml:space="preserve">Data </w:t>
            </w:r>
            <w:r w:rsidRPr="00127DF0">
              <w:rPr>
                <w:rFonts w:cstheme="minorHAnsi"/>
                <w:b/>
                <w:bCs/>
              </w:rPr>
              <w:t>Sampling</w:t>
            </w:r>
          </w:p>
          <w:p w14:paraId="4F8CC35D" w14:textId="77777777" w:rsidR="00407AEB" w:rsidRPr="00127DF0" w:rsidRDefault="00407AEB" w:rsidP="00407AEB">
            <w:pPr>
              <w:pStyle w:val="ListParagraph"/>
              <w:numPr>
                <w:ilvl w:val="0"/>
                <w:numId w:val="11"/>
              </w:numPr>
              <w:ind w:left="114" w:hanging="114"/>
              <w:jc w:val="both"/>
              <w:rPr>
                <w:rFonts w:cstheme="minorHAnsi"/>
              </w:rPr>
            </w:pPr>
            <w:r>
              <w:rPr>
                <w:rFonts w:cstheme="minorHAnsi"/>
                <w:b/>
                <w:bCs/>
              </w:rPr>
              <w:t xml:space="preserve">Data </w:t>
            </w:r>
            <w:r w:rsidRPr="00127DF0">
              <w:rPr>
                <w:rFonts w:cstheme="minorHAnsi"/>
                <w:b/>
                <w:bCs/>
              </w:rPr>
              <w:t>Transformation</w:t>
            </w:r>
          </w:p>
          <w:p w14:paraId="662FA38B" w14:textId="77777777" w:rsidR="00E862DA" w:rsidRPr="00DF2B7C" w:rsidRDefault="00E862DA" w:rsidP="00127DF0">
            <w:pPr>
              <w:pStyle w:val="ListParagraph"/>
              <w:numPr>
                <w:ilvl w:val="0"/>
                <w:numId w:val="11"/>
              </w:numPr>
              <w:ind w:left="114" w:hanging="114"/>
              <w:jc w:val="both"/>
              <w:rPr>
                <w:rFonts w:cstheme="minorHAnsi"/>
              </w:rPr>
            </w:pPr>
            <w:r>
              <w:rPr>
                <w:rFonts w:cstheme="minorHAnsi"/>
                <w:b/>
                <w:bCs/>
              </w:rPr>
              <w:t xml:space="preserve">Data </w:t>
            </w:r>
            <w:r w:rsidRPr="00F31D81">
              <w:rPr>
                <w:rFonts w:cstheme="minorHAnsi"/>
                <w:b/>
                <w:bCs/>
              </w:rPr>
              <w:t>Integration</w:t>
            </w:r>
          </w:p>
          <w:p w14:paraId="4CA206C1" w14:textId="77777777" w:rsidR="00DF2B7C" w:rsidRPr="00093F92" w:rsidRDefault="00DF2B7C" w:rsidP="00127DF0">
            <w:pPr>
              <w:pStyle w:val="ListParagraph"/>
              <w:numPr>
                <w:ilvl w:val="0"/>
                <w:numId w:val="11"/>
              </w:numPr>
              <w:ind w:left="114" w:hanging="114"/>
              <w:jc w:val="both"/>
              <w:rPr>
                <w:rFonts w:cstheme="minorHAnsi"/>
              </w:rPr>
            </w:pPr>
            <w:r>
              <w:rPr>
                <w:rFonts w:cstheme="minorHAnsi"/>
                <w:b/>
                <w:bCs/>
              </w:rPr>
              <w:t>Use of Data Visualization in all the above</w:t>
            </w:r>
          </w:p>
        </w:tc>
      </w:tr>
      <w:tr w:rsidR="00386A1F" w:rsidRPr="008C7978" w14:paraId="31B0CB21" w14:textId="77777777" w:rsidTr="0008413A">
        <w:tc>
          <w:tcPr>
            <w:tcW w:w="1483" w:type="dxa"/>
          </w:tcPr>
          <w:p w14:paraId="6F1896A1" w14:textId="77777777" w:rsidR="00386A1F" w:rsidRPr="00093F92" w:rsidRDefault="00E34E4C" w:rsidP="008C7978">
            <w:pPr>
              <w:spacing w:before="100" w:beforeAutospacing="1" w:after="100" w:afterAutospacing="1"/>
              <w:rPr>
                <w:rFonts w:cstheme="minorHAnsi"/>
                <w:b/>
                <w:bCs/>
              </w:rPr>
            </w:pPr>
            <w:r>
              <w:rPr>
                <w:rFonts w:cstheme="minorHAnsi"/>
                <w:b/>
                <w:bCs/>
              </w:rPr>
              <w:t>Text Book(s)</w:t>
            </w:r>
          </w:p>
        </w:tc>
        <w:tc>
          <w:tcPr>
            <w:tcW w:w="9392" w:type="dxa"/>
          </w:tcPr>
          <w:p w14:paraId="1D57A0CB" w14:textId="77777777" w:rsidR="00386A1F" w:rsidRDefault="00E34E4C" w:rsidP="00E34E4C">
            <w:pPr>
              <w:pStyle w:val="ListParagraph"/>
              <w:spacing w:before="100" w:beforeAutospacing="1" w:after="100" w:afterAutospacing="1"/>
              <w:ind w:left="0"/>
              <w:jc w:val="both"/>
              <w:rPr>
                <w:rFonts w:cstheme="minorHAnsi"/>
              </w:rPr>
            </w:pPr>
            <w:r w:rsidRPr="005C30C9">
              <w:rPr>
                <w:rFonts w:cstheme="minorHAnsi"/>
                <w:b/>
                <w:bCs/>
              </w:rPr>
              <w:t>Required</w:t>
            </w:r>
            <w:r>
              <w:rPr>
                <w:rFonts w:cstheme="minorHAnsi"/>
              </w:rPr>
              <w:t>:</w:t>
            </w:r>
          </w:p>
          <w:p w14:paraId="45C03A6D" w14:textId="77777777" w:rsidR="005411F1" w:rsidRDefault="005411F1" w:rsidP="00292147">
            <w:pPr>
              <w:pStyle w:val="ListParagraph"/>
              <w:numPr>
                <w:ilvl w:val="0"/>
                <w:numId w:val="10"/>
              </w:numPr>
              <w:spacing w:before="100" w:beforeAutospacing="1" w:after="100" w:afterAutospacing="1"/>
              <w:jc w:val="both"/>
              <w:rPr>
                <w:rFonts w:cstheme="minorHAnsi"/>
              </w:rPr>
            </w:pPr>
            <w:r>
              <w:rPr>
                <w:rFonts w:cstheme="minorHAnsi"/>
              </w:rPr>
              <w:t xml:space="preserve">“Principles of Data Integration.” Doan, Halevy, and Ives. </w:t>
            </w:r>
          </w:p>
          <w:p w14:paraId="7A8E47A7" w14:textId="77777777" w:rsidR="00D47A66" w:rsidRPr="005411F1" w:rsidRDefault="00292147" w:rsidP="00292147">
            <w:pPr>
              <w:pStyle w:val="ListParagraph"/>
              <w:numPr>
                <w:ilvl w:val="0"/>
                <w:numId w:val="10"/>
              </w:numPr>
              <w:spacing w:before="100" w:beforeAutospacing="1" w:after="100" w:afterAutospacing="1"/>
              <w:jc w:val="both"/>
              <w:rPr>
                <w:rFonts w:cstheme="minorHAnsi"/>
              </w:rPr>
            </w:pPr>
            <w:r>
              <w:rPr>
                <w:rFonts w:cstheme="minorHAnsi"/>
              </w:rPr>
              <w:t xml:space="preserve"> </w:t>
            </w:r>
            <w:r w:rsidR="0051078F">
              <w:rPr>
                <w:rFonts w:cstheme="minorHAnsi"/>
              </w:rPr>
              <w:t>“</w:t>
            </w:r>
            <w:r w:rsidR="0051078F" w:rsidRPr="0050654A">
              <w:rPr>
                <w:rFonts w:cstheme="minorHAnsi"/>
              </w:rPr>
              <w:t xml:space="preserve">Python for Data Analysis: Data Wrangling with Pandas, NumPy, and </w:t>
            </w:r>
            <w:proofErr w:type="spellStart"/>
            <w:r w:rsidR="0051078F" w:rsidRPr="0050654A">
              <w:rPr>
                <w:rFonts w:cstheme="minorHAnsi"/>
              </w:rPr>
              <w:t>IPython</w:t>
            </w:r>
            <w:proofErr w:type="spellEnd"/>
            <w:r w:rsidR="0051078F">
              <w:rPr>
                <w:rFonts w:cstheme="minorHAnsi"/>
              </w:rPr>
              <w:t>.”</w:t>
            </w:r>
            <w:r w:rsidR="0051078F" w:rsidRPr="0050654A">
              <w:rPr>
                <w:rFonts w:cstheme="minorHAnsi"/>
              </w:rPr>
              <w:t xml:space="preserve"> 2</w:t>
            </w:r>
            <w:r w:rsidR="0051078F" w:rsidRPr="0050654A">
              <w:rPr>
                <w:rFonts w:cstheme="minorHAnsi"/>
                <w:vertAlign w:val="superscript"/>
              </w:rPr>
              <w:t>nd</w:t>
            </w:r>
            <w:r w:rsidR="0051078F">
              <w:rPr>
                <w:rFonts w:cstheme="minorHAnsi"/>
              </w:rPr>
              <w:t xml:space="preserve"> </w:t>
            </w:r>
            <w:r w:rsidR="0051078F" w:rsidRPr="0050654A">
              <w:rPr>
                <w:rFonts w:cstheme="minorHAnsi"/>
              </w:rPr>
              <w:t>Edition</w:t>
            </w:r>
            <w:r w:rsidR="0051078F">
              <w:rPr>
                <w:rFonts w:cstheme="minorHAnsi"/>
              </w:rPr>
              <w:t>. McKinney.</w:t>
            </w:r>
          </w:p>
          <w:p w14:paraId="3F5FCCA0" w14:textId="77777777" w:rsidR="002F71D3" w:rsidRPr="00272861" w:rsidRDefault="00272861" w:rsidP="00272861">
            <w:pPr>
              <w:pStyle w:val="ListParagraph"/>
              <w:spacing w:before="100" w:beforeAutospacing="1" w:after="100" w:afterAutospacing="1"/>
              <w:ind w:left="0"/>
              <w:jc w:val="both"/>
              <w:rPr>
                <w:rFonts w:cstheme="minorHAnsi"/>
              </w:rPr>
            </w:pPr>
            <w:r>
              <w:rPr>
                <w:rFonts w:cstheme="minorHAnsi"/>
                <w:b/>
                <w:bCs/>
              </w:rPr>
              <w:lastRenderedPageBreak/>
              <w:t>Recommended</w:t>
            </w:r>
            <w:r w:rsidR="00E34E4C">
              <w:rPr>
                <w:rFonts w:cstheme="minorHAnsi"/>
              </w:rPr>
              <w:t>:</w:t>
            </w:r>
          </w:p>
          <w:p w14:paraId="5939F2CF" w14:textId="77777777" w:rsidR="00292147" w:rsidRDefault="00292147" w:rsidP="00292147">
            <w:pPr>
              <w:pStyle w:val="ListParagraph"/>
              <w:numPr>
                <w:ilvl w:val="0"/>
                <w:numId w:val="10"/>
              </w:numPr>
              <w:spacing w:before="100" w:beforeAutospacing="1" w:after="100" w:afterAutospacing="1"/>
              <w:jc w:val="both"/>
              <w:rPr>
                <w:rFonts w:cstheme="minorHAnsi"/>
              </w:rPr>
            </w:pPr>
            <w:r>
              <w:rPr>
                <w:rFonts w:cstheme="minorHAnsi"/>
              </w:rPr>
              <w:t>“</w:t>
            </w:r>
            <w:r w:rsidRPr="00776891">
              <w:rPr>
                <w:rFonts w:cstheme="minorHAnsi"/>
              </w:rPr>
              <w:t>Practical Statistics for Data Scientists: 50 Essential Concepts</w:t>
            </w:r>
            <w:r>
              <w:rPr>
                <w:rFonts w:cstheme="minorHAnsi"/>
              </w:rPr>
              <w:t xml:space="preserve">.” Bruce, Bruce. </w:t>
            </w:r>
          </w:p>
          <w:p w14:paraId="1F24E37E" w14:textId="77777777" w:rsidR="0060389F" w:rsidRPr="0051078F" w:rsidRDefault="00272861" w:rsidP="00292147">
            <w:pPr>
              <w:pStyle w:val="ListParagraph"/>
              <w:numPr>
                <w:ilvl w:val="0"/>
                <w:numId w:val="10"/>
              </w:numPr>
              <w:spacing w:before="100" w:beforeAutospacing="1" w:after="100" w:afterAutospacing="1"/>
              <w:jc w:val="both"/>
              <w:rPr>
                <w:rFonts w:cstheme="minorHAnsi"/>
              </w:rPr>
            </w:pPr>
            <w:r>
              <w:rPr>
                <w:rFonts w:cstheme="minorHAnsi"/>
              </w:rPr>
              <w:t>“</w:t>
            </w:r>
            <w:r w:rsidRPr="0060389F">
              <w:rPr>
                <w:rFonts w:cstheme="minorHAnsi"/>
              </w:rPr>
              <w:t>Data Wrangling with Python: Tips and Tools to Make Your Life Easier</w:t>
            </w:r>
            <w:r>
              <w:rPr>
                <w:rFonts w:cstheme="minorHAnsi"/>
              </w:rPr>
              <w:t xml:space="preserve">.” </w:t>
            </w:r>
            <w:proofErr w:type="spellStart"/>
            <w:r>
              <w:rPr>
                <w:rFonts w:cstheme="minorHAnsi"/>
              </w:rPr>
              <w:t>Kazil</w:t>
            </w:r>
            <w:proofErr w:type="spellEnd"/>
            <w:r>
              <w:rPr>
                <w:rFonts w:cstheme="minorHAnsi"/>
              </w:rPr>
              <w:t xml:space="preserve">, </w:t>
            </w:r>
            <w:proofErr w:type="spellStart"/>
            <w:r>
              <w:rPr>
                <w:rFonts w:cstheme="minorHAnsi"/>
              </w:rPr>
              <w:t>Jarmul</w:t>
            </w:r>
            <w:proofErr w:type="spellEnd"/>
            <w:r>
              <w:rPr>
                <w:rFonts w:cstheme="minorHAnsi"/>
              </w:rPr>
              <w:t xml:space="preserve">. </w:t>
            </w:r>
          </w:p>
          <w:p w14:paraId="653808A7" w14:textId="77777777" w:rsidR="0051078F" w:rsidRPr="00BB555D" w:rsidRDefault="0051078F" w:rsidP="00292147">
            <w:pPr>
              <w:pStyle w:val="ListParagraph"/>
              <w:numPr>
                <w:ilvl w:val="0"/>
                <w:numId w:val="10"/>
              </w:numPr>
              <w:spacing w:before="100" w:beforeAutospacing="1" w:after="100" w:afterAutospacing="1"/>
              <w:jc w:val="both"/>
              <w:rPr>
                <w:rFonts w:cstheme="minorHAnsi"/>
              </w:rPr>
            </w:pPr>
            <w:r w:rsidRPr="005411F1">
              <w:rPr>
                <w:rFonts w:cstheme="minorHAnsi"/>
              </w:rPr>
              <w:t>“The Visual Display of Quantitative Information.” 2</w:t>
            </w:r>
            <w:r w:rsidRPr="005411F1">
              <w:rPr>
                <w:rFonts w:cstheme="minorHAnsi"/>
                <w:vertAlign w:val="superscript"/>
              </w:rPr>
              <w:t>nd</w:t>
            </w:r>
            <w:r w:rsidRPr="005411F1">
              <w:rPr>
                <w:rFonts w:cstheme="minorHAnsi"/>
              </w:rPr>
              <w:t xml:space="preserve"> Edition. </w:t>
            </w:r>
            <w:proofErr w:type="spellStart"/>
            <w:r w:rsidRPr="005411F1">
              <w:rPr>
                <w:rFonts w:cstheme="minorHAnsi"/>
              </w:rPr>
              <w:t>Tufte</w:t>
            </w:r>
            <w:proofErr w:type="spellEnd"/>
            <w:r w:rsidRPr="005411F1">
              <w:rPr>
                <w:rFonts w:cstheme="minorHAnsi"/>
              </w:rPr>
              <w:t>.</w:t>
            </w:r>
          </w:p>
        </w:tc>
      </w:tr>
      <w:tr w:rsidR="008C7978" w:rsidRPr="008C7978" w14:paraId="619C3314" w14:textId="77777777" w:rsidTr="006B0533">
        <w:tc>
          <w:tcPr>
            <w:tcW w:w="1483" w:type="dxa"/>
            <w:hideMark/>
          </w:tcPr>
          <w:p w14:paraId="666D905F" w14:textId="77777777" w:rsidR="008C7978" w:rsidRPr="00093F92" w:rsidRDefault="008C7978" w:rsidP="008C7978">
            <w:pPr>
              <w:spacing w:before="100" w:beforeAutospacing="1" w:after="100" w:afterAutospacing="1"/>
              <w:rPr>
                <w:rFonts w:cstheme="minorHAnsi"/>
                <w:b/>
                <w:bCs/>
              </w:rPr>
            </w:pPr>
            <w:r w:rsidRPr="00093F92">
              <w:rPr>
                <w:rFonts w:cstheme="minorHAnsi"/>
                <w:b/>
                <w:bCs/>
              </w:rPr>
              <w:lastRenderedPageBreak/>
              <w:t>Assignments</w:t>
            </w:r>
          </w:p>
        </w:tc>
        <w:tc>
          <w:tcPr>
            <w:tcW w:w="9392" w:type="dxa"/>
          </w:tcPr>
          <w:p w14:paraId="14486F1F" w14:textId="77777777" w:rsidR="003B11D9" w:rsidRDefault="009D680B" w:rsidP="00C27CCC">
            <w:pPr>
              <w:spacing w:before="100" w:beforeAutospacing="1" w:after="100" w:afterAutospacing="1"/>
              <w:rPr>
                <w:rFonts w:cstheme="minorHAnsi"/>
              </w:rPr>
            </w:pPr>
            <w:r>
              <w:rPr>
                <w:rFonts w:cstheme="minorHAnsi"/>
              </w:rPr>
              <w:t>There will be weekly programming assignments to implement the methods studied that week and apply them to a data set provided by the professor.</w:t>
            </w:r>
          </w:p>
          <w:p w14:paraId="39DBAD3D" w14:textId="77777777" w:rsidR="003765CC" w:rsidRDefault="005D4F97" w:rsidP="005D4F97">
            <w:pPr>
              <w:spacing w:before="100" w:beforeAutospacing="1" w:after="100" w:afterAutospacing="1"/>
              <w:rPr>
                <w:rFonts w:cstheme="minorHAnsi"/>
              </w:rPr>
            </w:pPr>
            <w:r>
              <w:rPr>
                <w:rFonts w:cstheme="minorHAnsi"/>
              </w:rPr>
              <w:t>For the first eight weeks, e</w:t>
            </w:r>
            <w:r w:rsidR="003765CC">
              <w:rPr>
                <w:rFonts w:cstheme="minorHAnsi"/>
              </w:rPr>
              <w:t>ach assignment will involve doing an initial analysis of a data set before cleaning it, and documenting the results &amp; recommendations reached. Students will then apply one or more approaches to clean the data and then redo their analysis and document the new results &amp; recommendations. Both the initial results &amp; recommendations as well as those reached after data cleaning will be compared to the “ground truth”, i.e., reality, of what is happening in the business or organization.</w:t>
            </w:r>
          </w:p>
          <w:p w14:paraId="3B91C0BF" w14:textId="77777777" w:rsidR="00891721" w:rsidRPr="009D680B" w:rsidRDefault="00891721" w:rsidP="00BF7BEE">
            <w:pPr>
              <w:spacing w:before="100" w:beforeAutospacing="1" w:after="100" w:afterAutospacing="1"/>
              <w:rPr>
                <w:rFonts w:cstheme="minorHAnsi"/>
              </w:rPr>
            </w:pPr>
            <w:r>
              <w:rPr>
                <w:rFonts w:cstheme="minorHAnsi"/>
              </w:rPr>
              <w:t xml:space="preserve">For the last four weeks, which focus on data transformation, assignments will involve </w:t>
            </w:r>
            <w:r w:rsidR="00BF7BEE">
              <w:rPr>
                <w:rFonts w:cstheme="minorHAnsi"/>
              </w:rPr>
              <w:t>taking multiple related data sets, transforming them correctly to form an accurate global picture, and testing the transformed data set against some assignment-specific metrics that will indicate if the transformation was done correctly.</w:t>
            </w:r>
          </w:p>
        </w:tc>
      </w:tr>
      <w:tr w:rsidR="00C27CCC" w:rsidRPr="008C7978" w14:paraId="1F4BF91C" w14:textId="77777777" w:rsidTr="0008413A">
        <w:tc>
          <w:tcPr>
            <w:tcW w:w="1483" w:type="dxa"/>
          </w:tcPr>
          <w:p w14:paraId="40608259" w14:textId="77777777" w:rsidR="00C27CCC" w:rsidRPr="00093F92" w:rsidRDefault="00C27CCC" w:rsidP="008C7978">
            <w:pPr>
              <w:spacing w:before="100" w:beforeAutospacing="1" w:after="100" w:afterAutospacing="1"/>
              <w:rPr>
                <w:rFonts w:cstheme="minorHAnsi"/>
                <w:b/>
                <w:bCs/>
              </w:rPr>
            </w:pPr>
            <w:r>
              <w:rPr>
                <w:rFonts w:cstheme="minorHAnsi"/>
                <w:b/>
                <w:bCs/>
              </w:rPr>
              <w:t>Assignment Grading</w:t>
            </w:r>
          </w:p>
        </w:tc>
        <w:tc>
          <w:tcPr>
            <w:tcW w:w="9392" w:type="dxa"/>
          </w:tcPr>
          <w:p w14:paraId="51756261" w14:textId="77777777" w:rsidR="00C27CCC" w:rsidRPr="00093F92" w:rsidRDefault="00891721" w:rsidP="00891721">
            <w:pPr>
              <w:spacing w:before="100" w:beforeAutospacing="1" w:after="100" w:afterAutospacing="1"/>
              <w:rPr>
                <w:rFonts w:cstheme="minorHAnsi"/>
              </w:rPr>
            </w:pPr>
            <w:r>
              <w:rPr>
                <w:rFonts w:cstheme="minorHAnsi"/>
              </w:rPr>
              <w:t>Mathematically correct i</w:t>
            </w:r>
            <w:r w:rsidR="009D680B">
              <w:rPr>
                <w:rFonts w:cstheme="minorHAnsi"/>
              </w:rPr>
              <w:t xml:space="preserve">mplementation of the </w:t>
            </w:r>
            <w:r w:rsidR="00627F47">
              <w:rPr>
                <w:rFonts w:cstheme="minorHAnsi"/>
              </w:rPr>
              <w:t xml:space="preserve">given </w:t>
            </w:r>
            <w:r w:rsidR="009D680B">
              <w:rPr>
                <w:rFonts w:cstheme="minorHAnsi"/>
              </w:rPr>
              <w:t>method</w:t>
            </w:r>
            <w:r w:rsidR="00627F47">
              <w:rPr>
                <w:rFonts w:cstheme="minorHAnsi"/>
              </w:rPr>
              <w:t>/approach</w:t>
            </w:r>
            <w:r w:rsidR="009D680B">
              <w:rPr>
                <w:rFonts w:cstheme="minorHAnsi"/>
              </w:rPr>
              <w:t>: 40%</w:t>
            </w:r>
            <w:r w:rsidR="009D680B">
              <w:rPr>
                <w:rFonts w:cstheme="minorHAnsi"/>
              </w:rPr>
              <w:br/>
              <w:t>Applying the method</w:t>
            </w:r>
            <w:r w:rsidR="00627F47">
              <w:rPr>
                <w:rFonts w:cstheme="minorHAnsi"/>
              </w:rPr>
              <w:t xml:space="preserve">/approach and achieving the desired data </w:t>
            </w:r>
            <w:r>
              <w:rPr>
                <w:rFonts w:cstheme="minorHAnsi"/>
              </w:rPr>
              <w:t>cleaning or transformation</w:t>
            </w:r>
            <w:r w:rsidR="00627F47">
              <w:rPr>
                <w:rFonts w:cstheme="minorHAnsi"/>
              </w:rPr>
              <w:t xml:space="preserve"> results</w:t>
            </w:r>
            <w:r w:rsidR="009D680B">
              <w:rPr>
                <w:rFonts w:cstheme="minorHAnsi"/>
              </w:rPr>
              <w:t>: 60%</w:t>
            </w:r>
            <w:r w:rsidR="009D680B">
              <w:rPr>
                <w:rFonts w:cstheme="minorHAnsi"/>
              </w:rPr>
              <w:br/>
            </w:r>
            <w:r w:rsidR="00C27CCC" w:rsidRPr="00C27CCC">
              <w:rPr>
                <w:rFonts w:cstheme="minorHAnsi"/>
                <w:b/>
                <w:bCs/>
              </w:rPr>
              <w:t xml:space="preserve">Assignments submitted after the due </w:t>
            </w:r>
            <w:r w:rsidR="00C27CCC">
              <w:rPr>
                <w:rFonts w:cstheme="minorHAnsi"/>
                <w:b/>
                <w:bCs/>
              </w:rPr>
              <w:t>date &amp; time receive a grade of zero.</w:t>
            </w:r>
          </w:p>
        </w:tc>
      </w:tr>
      <w:tr w:rsidR="00243CC4" w:rsidRPr="008C7978" w14:paraId="2910323F" w14:textId="77777777" w:rsidTr="0008413A">
        <w:tc>
          <w:tcPr>
            <w:tcW w:w="1483" w:type="dxa"/>
          </w:tcPr>
          <w:p w14:paraId="40A060CB" w14:textId="77777777" w:rsidR="00243CC4" w:rsidRPr="00093F92" w:rsidRDefault="00243CC4" w:rsidP="008C7978">
            <w:pPr>
              <w:spacing w:before="100" w:beforeAutospacing="1" w:after="100" w:afterAutospacing="1"/>
              <w:rPr>
                <w:rFonts w:cstheme="minorHAnsi"/>
                <w:b/>
                <w:bCs/>
              </w:rPr>
            </w:pPr>
            <w:r>
              <w:rPr>
                <w:rFonts w:cstheme="minorHAnsi"/>
                <w:b/>
                <w:bCs/>
              </w:rPr>
              <w:t>Exams</w:t>
            </w:r>
          </w:p>
        </w:tc>
        <w:tc>
          <w:tcPr>
            <w:tcW w:w="9392" w:type="dxa"/>
          </w:tcPr>
          <w:p w14:paraId="63AE195F" w14:textId="77777777" w:rsidR="00243CC4" w:rsidRPr="00093F92" w:rsidRDefault="003B11D9" w:rsidP="005E6D19">
            <w:pPr>
              <w:spacing w:before="100" w:beforeAutospacing="1" w:after="100" w:afterAutospacing="1"/>
              <w:jc w:val="both"/>
              <w:rPr>
                <w:rFonts w:cstheme="minorHAnsi"/>
              </w:rPr>
            </w:pPr>
            <w:r>
              <w:rPr>
                <w:rFonts w:cstheme="minorHAnsi"/>
              </w:rPr>
              <w:t>The</w:t>
            </w:r>
            <w:r w:rsidR="005E6D19">
              <w:rPr>
                <w:rFonts w:cstheme="minorHAnsi"/>
              </w:rPr>
              <w:t xml:space="preserve">re will be </w:t>
            </w:r>
            <w:r>
              <w:rPr>
                <w:rFonts w:cstheme="minorHAnsi"/>
              </w:rPr>
              <w:t>a final exam at the end of the semester</w:t>
            </w:r>
          </w:p>
        </w:tc>
      </w:tr>
      <w:tr w:rsidR="003B11D9" w:rsidRPr="008C7978" w14:paraId="67F73716" w14:textId="77777777" w:rsidTr="0008413A">
        <w:tc>
          <w:tcPr>
            <w:tcW w:w="1483" w:type="dxa"/>
          </w:tcPr>
          <w:p w14:paraId="6D646177" w14:textId="77777777" w:rsidR="003B11D9" w:rsidRDefault="003B11D9" w:rsidP="003B11D9">
            <w:pPr>
              <w:spacing w:before="100" w:beforeAutospacing="1" w:after="100" w:afterAutospacing="1"/>
              <w:rPr>
                <w:rFonts w:cstheme="minorHAnsi"/>
                <w:b/>
                <w:bCs/>
              </w:rPr>
            </w:pPr>
            <w:r>
              <w:rPr>
                <w:rFonts w:cstheme="minorHAnsi"/>
                <w:b/>
                <w:bCs/>
              </w:rPr>
              <w:t>Components of Student’s Grade</w:t>
            </w:r>
          </w:p>
        </w:tc>
        <w:tc>
          <w:tcPr>
            <w:tcW w:w="9392" w:type="dxa"/>
          </w:tcPr>
          <w:p w14:paraId="3EFC167B" w14:textId="77777777" w:rsidR="003B11D9" w:rsidRDefault="005E6D19" w:rsidP="003B11D9">
            <w:pPr>
              <w:spacing w:before="100" w:beforeAutospacing="1" w:after="100" w:afterAutospacing="1"/>
              <w:rPr>
                <w:rFonts w:cstheme="minorHAnsi"/>
              </w:rPr>
            </w:pPr>
            <w:r>
              <w:rPr>
                <w:rFonts w:cstheme="minorHAnsi"/>
              </w:rPr>
              <w:t>Assignments: 6</w:t>
            </w:r>
            <w:r w:rsidR="003B11D9">
              <w:rPr>
                <w:rFonts w:cstheme="minorHAnsi"/>
              </w:rPr>
              <w:t>0%</w:t>
            </w:r>
            <w:r w:rsidR="003B11D9">
              <w:rPr>
                <w:rFonts w:cstheme="minorHAnsi"/>
              </w:rPr>
              <w:br/>
              <w:t>F</w:t>
            </w:r>
            <w:r>
              <w:rPr>
                <w:rFonts w:cstheme="minorHAnsi"/>
              </w:rPr>
              <w:t>inal exam: 40%</w:t>
            </w:r>
          </w:p>
        </w:tc>
      </w:tr>
      <w:tr w:rsidR="000E08B5" w:rsidRPr="008C7978" w14:paraId="71A3E987" w14:textId="77777777" w:rsidTr="0008413A">
        <w:tc>
          <w:tcPr>
            <w:tcW w:w="1483" w:type="dxa"/>
          </w:tcPr>
          <w:p w14:paraId="12092EFF" w14:textId="77777777" w:rsidR="000E08B5" w:rsidRDefault="000E08B5" w:rsidP="003B11D9">
            <w:pPr>
              <w:spacing w:before="100" w:beforeAutospacing="1" w:after="100" w:afterAutospacing="1"/>
              <w:rPr>
                <w:rFonts w:cstheme="minorHAnsi"/>
                <w:b/>
                <w:bCs/>
              </w:rPr>
            </w:pPr>
            <w:r>
              <w:rPr>
                <w:rFonts w:cstheme="minorHAnsi"/>
                <w:b/>
                <w:bCs/>
              </w:rPr>
              <w:t>Grading Scale:</w:t>
            </w:r>
          </w:p>
        </w:tc>
        <w:tc>
          <w:tcPr>
            <w:tcW w:w="9392" w:type="dxa"/>
          </w:tcPr>
          <w:tbl>
            <w:tblPr>
              <w:tblW w:w="0" w:type="auto"/>
              <w:tblLook w:val="04A0" w:firstRow="1" w:lastRow="0" w:firstColumn="1" w:lastColumn="0" w:noHBand="0" w:noVBand="1"/>
            </w:tblPr>
            <w:tblGrid>
              <w:gridCol w:w="1644"/>
              <w:gridCol w:w="1710"/>
              <w:gridCol w:w="1705"/>
              <w:gridCol w:w="2430"/>
            </w:tblGrid>
            <w:tr w:rsidR="000E08B5" w14:paraId="1D312B84" w14:textId="77777777" w:rsidTr="0012074C">
              <w:trPr>
                <w:trHeight w:val="270"/>
              </w:trPr>
              <w:tc>
                <w:tcPr>
                  <w:tcW w:w="1644" w:type="dxa"/>
                  <w:hideMark/>
                </w:tcPr>
                <w:p w14:paraId="055CA49D" w14:textId="77777777" w:rsidR="000E08B5" w:rsidRDefault="000E08B5" w:rsidP="0012074C">
                  <w:pPr>
                    <w:spacing w:after="120"/>
                  </w:pPr>
                  <w:proofErr w:type="gramStart"/>
                  <w:r>
                    <w:t xml:space="preserve">A </w:t>
                  </w:r>
                  <w:r w:rsidR="0012074C">
                    <w:t xml:space="preserve"> </w:t>
                  </w:r>
                  <w:r>
                    <w:t>=</w:t>
                  </w:r>
                  <w:proofErr w:type="gramEnd"/>
                  <w:r>
                    <w:t xml:space="preserve"> 93-100% </w:t>
                  </w:r>
                </w:p>
              </w:tc>
              <w:tc>
                <w:tcPr>
                  <w:tcW w:w="1710" w:type="dxa"/>
                  <w:hideMark/>
                </w:tcPr>
                <w:p w14:paraId="4E23C272" w14:textId="77777777" w:rsidR="000E08B5" w:rsidRDefault="000E08B5" w:rsidP="0012074C">
                  <w:pPr>
                    <w:spacing w:after="120"/>
                  </w:pPr>
                  <w:r>
                    <w:t>B+ = 87-89%</w:t>
                  </w:r>
                </w:p>
              </w:tc>
              <w:tc>
                <w:tcPr>
                  <w:tcW w:w="1705" w:type="dxa"/>
                  <w:hideMark/>
                </w:tcPr>
                <w:p w14:paraId="4CE77E15" w14:textId="77777777" w:rsidR="000E08B5" w:rsidRDefault="000E08B5" w:rsidP="0012074C">
                  <w:pPr>
                    <w:spacing w:after="120"/>
                  </w:pPr>
                  <w:r>
                    <w:t>C+ = 77-79%</w:t>
                  </w:r>
                </w:p>
              </w:tc>
              <w:tc>
                <w:tcPr>
                  <w:tcW w:w="2430" w:type="dxa"/>
                </w:tcPr>
                <w:p w14:paraId="67DCD055" w14:textId="77777777" w:rsidR="000E08B5" w:rsidRDefault="000E08B5" w:rsidP="0012074C">
                  <w:pPr>
                    <w:spacing w:after="120"/>
                  </w:pPr>
                  <w:r>
                    <w:t>D+ = 67-69%</w:t>
                  </w:r>
                </w:p>
              </w:tc>
            </w:tr>
            <w:tr w:rsidR="000E08B5" w14:paraId="225F1FA9" w14:textId="77777777" w:rsidTr="0012074C">
              <w:trPr>
                <w:trHeight w:val="171"/>
              </w:trPr>
              <w:tc>
                <w:tcPr>
                  <w:tcW w:w="1644" w:type="dxa"/>
                  <w:hideMark/>
                </w:tcPr>
                <w:p w14:paraId="025F2A3E" w14:textId="77777777" w:rsidR="000E08B5" w:rsidRDefault="000E08B5" w:rsidP="0012074C">
                  <w:pPr>
                    <w:spacing w:after="120"/>
                  </w:pPr>
                  <w:r>
                    <w:t>A- = 90-92%</w:t>
                  </w:r>
                </w:p>
              </w:tc>
              <w:tc>
                <w:tcPr>
                  <w:tcW w:w="1710" w:type="dxa"/>
                  <w:hideMark/>
                </w:tcPr>
                <w:p w14:paraId="17E44459" w14:textId="77777777" w:rsidR="000E08B5" w:rsidRDefault="000E08B5" w:rsidP="0012074C">
                  <w:pPr>
                    <w:spacing w:after="120"/>
                  </w:pPr>
                  <w:r>
                    <w:t xml:space="preserve">B </w:t>
                  </w:r>
                  <w:r w:rsidR="0012074C">
                    <w:t xml:space="preserve">  </w:t>
                  </w:r>
                  <w:r>
                    <w:t>= 83-86%</w:t>
                  </w:r>
                </w:p>
              </w:tc>
              <w:tc>
                <w:tcPr>
                  <w:tcW w:w="1705" w:type="dxa"/>
                  <w:hideMark/>
                </w:tcPr>
                <w:p w14:paraId="2B1ECA2D" w14:textId="77777777" w:rsidR="000E08B5" w:rsidRDefault="000E08B5" w:rsidP="0012074C">
                  <w:pPr>
                    <w:spacing w:after="120"/>
                  </w:pPr>
                  <w:r>
                    <w:t xml:space="preserve">C </w:t>
                  </w:r>
                  <w:r w:rsidR="0012074C">
                    <w:t xml:space="preserve">  </w:t>
                  </w:r>
                  <w:r>
                    <w:t>= 73-76%</w:t>
                  </w:r>
                </w:p>
              </w:tc>
              <w:tc>
                <w:tcPr>
                  <w:tcW w:w="2430" w:type="dxa"/>
                </w:tcPr>
                <w:p w14:paraId="573EE189" w14:textId="77777777" w:rsidR="000E08B5" w:rsidRDefault="000E08B5" w:rsidP="0012074C">
                  <w:pPr>
                    <w:spacing w:after="120"/>
                  </w:pPr>
                  <w:r>
                    <w:t xml:space="preserve">D  </w:t>
                  </w:r>
                  <w:r w:rsidR="0012074C">
                    <w:t xml:space="preserve"> </w:t>
                  </w:r>
                  <w:r>
                    <w:t>= 65-66%</w:t>
                  </w:r>
                </w:p>
              </w:tc>
            </w:tr>
            <w:tr w:rsidR="000E08B5" w14:paraId="698B43DB" w14:textId="77777777" w:rsidTr="0012074C">
              <w:trPr>
                <w:trHeight w:val="51"/>
              </w:trPr>
              <w:tc>
                <w:tcPr>
                  <w:tcW w:w="1644" w:type="dxa"/>
                </w:tcPr>
                <w:p w14:paraId="364E5689" w14:textId="77777777" w:rsidR="000E08B5" w:rsidRDefault="000E08B5" w:rsidP="0012074C">
                  <w:pPr>
                    <w:spacing w:after="120"/>
                    <w:rPr>
                      <w:rFonts w:ascii="Calibri" w:hAnsi="Calibri" w:cs="Calibri"/>
                    </w:rPr>
                  </w:pPr>
                </w:p>
              </w:tc>
              <w:tc>
                <w:tcPr>
                  <w:tcW w:w="1710" w:type="dxa"/>
                  <w:hideMark/>
                </w:tcPr>
                <w:p w14:paraId="765A8BD3" w14:textId="77777777" w:rsidR="000E08B5" w:rsidRDefault="000E08B5" w:rsidP="0012074C">
                  <w:pPr>
                    <w:spacing w:after="120"/>
                  </w:pPr>
                  <w:r>
                    <w:t>B</w:t>
                  </w:r>
                  <w:proofErr w:type="gramStart"/>
                  <w:r>
                    <w:t xml:space="preserve">- </w:t>
                  </w:r>
                  <w:r w:rsidR="0012074C">
                    <w:t xml:space="preserve"> </w:t>
                  </w:r>
                  <w:r>
                    <w:t>=</w:t>
                  </w:r>
                  <w:proofErr w:type="gramEnd"/>
                  <w:r>
                    <w:t xml:space="preserve"> 80-82%</w:t>
                  </w:r>
                </w:p>
              </w:tc>
              <w:tc>
                <w:tcPr>
                  <w:tcW w:w="1705" w:type="dxa"/>
                  <w:hideMark/>
                </w:tcPr>
                <w:p w14:paraId="0AB3177D" w14:textId="77777777" w:rsidR="000E08B5" w:rsidRDefault="000E08B5" w:rsidP="0012074C">
                  <w:pPr>
                    <w:spacing w:after="120"/>
                  </w:pPr>
                  <w:r>
                    <w:t>C</w:t>
                  </w:r>
                  <w:proofErr w:type="gramStart"/>
                  <w:r>
                    <w:t xml:space="preserve">- </w:t>
                  </w:r>
                  <w:r w:rsidR="0012074C">
                    <w:t xml:space="preserve"> </w:t>
                  </w:r>
                  <w:r>
                    <w:t>=</w:t>
                  </w:r>
                  <w:proofErr w:type="gramEnd"/>
                  <w:r>
                    <w:t xml:space="preserve"> 70-72%</w:t>
                  </w:r>
                </w:p>
              </w:tc>
              <w:tc>
                <w:tcPr>
                  <w:tcW w:w="2430" w:type="dxa"/>
                </w:tcPr>
                <w:p w14:paraId="1398D760" w14:textId="77777777" w:rsidR="000E08B5" w:rsidRDefault="000E08B5" w:rsidP="0012074C">
                  <w:pPr>
                    <w:spacing w:after="120"/>
                  </w:pPr>
                  <w:r>
                    <w:t xml:space="preserve">F </w:t>
                  </w:r>
                  <w:r w:rsidR="0012074C">
                    <w:t xml:space="preserve">  </w:t>
                  </w:r>
                  <w:r>
                    <w:t>= 64 and lower</w:t>
                  </w:r>
                </w:p>
              </w:tc>
            </w:tr>
          </w:tbl>
          <w:p w14:paraId="1EB71B6D" w14:textId="77777777" w:rsidR="000E08B5" w:rsidRDefault="000E08B5" w:rsidP="003B11D9">
            <w:pPr>
              <w:spacing w:before="100" w:beforeAutospacing="1" w:after="100" w:afterAutospacing="1"/>
              <w:rPr>
                <w:rFonts w:cstheme="minorHAnsi"/>
              </w:rPr>
            </w:pPr>
          </w:p>
        </w:tc>
      </w:tr>
      <w:tr w:rsidR="0008413A" w:rsidRPr="008C7978" w14:paraId="0B502B17" w14:textId="77777777" w:rsidTr="0008413A">
        <w:tc>
          <w:tcPr>
            <w:tcW w:w="1483" w:type="dxa"/>
          </w:tcPr>
          <w:p w14:paraId="3842E471" w14:textId="77777777" w:rsidR="0008413A" w:rsidRPr="00093F92" w:rsidRDefault="0008413A" w:rsidP="0008413A">
            <w:pPr>
              <w:spacing w:before="100" w:beforeAutospacing="1" w:after="100" w:afterAutospacing="1"/>
              <w:rPr>
                <w:rFonts w:cstheme="minorHAnsi"/>
                <w:b/>
                <w:bCs/>
              </w:rPr>
            </w:pPr>
            <w:r w:rsidRPr="00093F92">
              <w:rPr>
                <w:rFonts w:cstheme="minorHAnsi"/>
                <w:b/>
                <w:bCs/>
              </w:rPr>
              <w:t>Credits</w:t>
            </w:r>
          </w:p>
        </w:tc>
        <w:tc>
          <w:tcPr>
            <w:tcW w:w="9392" w:type="dxa"/>
          </w:tcPr>
          <w:p w14:paraId="79429B63" w14:textId="77777777" w:rsidR="0008413A" w:rsidRPr="00093F92" w:rsidRDefault="0008413A" w:rsidP="0008413A">
            <w:pPr>
              <w:spacing w:before="100" w:beforeAutospacing="1" w:after="100" w:afterAutospacing="1"/>
              <w:rPr>
                <w:rFonts w:cstheme="minorHAnsi"/>
              </w:rPr>
            </w:pPr>
            <w:r w:rsidRPr="00093F92">
              <w:rPr>
                <w:rFonts w:cstheme="minorHAnsi"/>
              </w:rPr>
              <w:t>3</w:t>
            </w:r>
          </w:p>
        </w:tc>
      </w:tr>
      <w:tr w:rsidR="0008413A" w:rsidRPr="008C7978" w14:paraId="3352213E" w14:textId="77777777" w:rsidTr="0008413A">
        <w:tc>
          <w:tcPr>
            <w:tcW w:w="1483" w:type="dxa"/>
          </w:tcPr>
          <w:p w14:paraId="1D91CA3A" w14:textId="77777777" w:rsidR="0008413A" w:rsidRPr="00093F92" w:rsidRDefault="0008413A" w:rsidP="0008413A">
            <w:pPr>
              <w:spacing w:before="100" w:beforeAutospacing="1" w:after="100" w:afterAutospacing="1"/>
              <w:rPr>
                <w:rFonts w:cstheme="minorHAnsi"/>
                <w:b/>
                <w:bCs/>
              </w:rPr>
            </w:pPr>
            <w:r>
              <w:rPr>
                <w:rFonts w:cstheme="minorHAnsi"/>
                <w:b/>
                <w:bCs/>
              </w:rPr>
              <w:t>Weekly Schedule</w:t>
            </w:r>
          </w:p>
        </w:tc>
        <w:tc>
          <w:tcPr>
            <w:tcW w:w="9392" w:type="dxa"/>
          </w:tcPr>
          <w:p w14:paraId="7D07E7BC" w14:textId="77777777" w:rsidR="0008413A" w:rsidRPr="00093F92" w:rsidRDefault="0008413A" w:rsidP="0008413A">
            <w:pPr>
              <w:spacing w:before="100" w:beforeAutospacing="1" w:after="100" w:afterAutospacing="1"/>
              <w:rPr>
                <w:rFonts w:cstheme="minorHAnsi"/>
              </w:rPr>
            </w:pPr>
            <w:r>
              <w:rPr>
                <w:rFonts w:cstheme="minorHAnsi"/>
              </w:rPr>
              <w:t>Two sessions a week, 75 minutes each</w:t>
            </w:r>
          </w:p>
        </w:tc>
      </w:tr>
      <w:tr w:rsidR="0008413A" w:rsidRPr="008C7978" w14:paraId="6D2C87DC" w14:textId="77777777" w:rsidTr="0008413A">
        <w:tc>
          <w:tcPr>
            <w:tcW w:w="1483" w:type="dxa"/>
          </w:tcPr>
          <w:p w14:paraId="70D20A6F" w14:textId="77777777" w:rsidR="0008413A" w:rsidRDefault="0008413A" w:rsidP="0008413A">
            <w:pPr>
              <w:spacing w:before="100" w:beforeAutospacing="1" w:after="100" w:afterAutospacing="1"/>
              <w:rPr>
                <w:rFonts w:cstheme="minorHAnsi"/>
                <w:b/>
                <w:bCs/>
              </w:rPr>
            </w:pPr>
            <w:r>
              <w:rPr>
                <w:rFonts w:cstheme="minorHAnsi"/>
                <w:b/>
                <w:bCs/>
              </w:rPr>
              <w:t>Attendance Policy</w:t>
            </w:r>
          </w:p>
        </w:tc>
        <w:tc>
          <w:tcPr>
            <w:tcW w:w="9392" w:type="dxa"/>
          </w:tcPr>
          <w:p w14:paraId="44E72608" w14:textId="77777777" w:rsidR="0008413A" w:rsidRDefault="0008413A" w:rsidP="0008413A">
            <w:pPr>
              <w:pStyle w:val="ListParagraph"/>
              <w:numPr>
                <w:ilvl w:val="0"/>
                <w:numId w:val="9"/>
              </w:numPr>
              <w:spacing w:before="100" w:beforeAutospacing="1" w:after="100" w:afterAutospacing="1"/>
              <w:rPr>
                <w:rFonts w:cstheme="minorHAnsi"/>
              </w:rPr>
            </w:pPr>
            <w:r w:rsidRPr="007333A8">
              <w:rPr>
                <w:rFonts w:cstheme="minorHAnsi"/>
              </w:rPr>
              <w:t>A</w:t>
            </w:r>
            <w:r>
              <w:rPr>
                <w:rFonts w:cstheme="minorHAnsi"/>
              </w:rPr>
              <w:t>ttendance of every session is mandatory</w:t>
            </w:r>
            <w:r w:rsidRPr="007333A8">
              <w:rPr>
                <w:rFonts w:cstheme="minorHAnsi"/>
              </w:rPr>
              <w:t>.</w:t>
            </w:r>
          </w:p>
          <w:p w14:paraId="72AAD559" w14:textId="77777777" w:rsidR="0008413A" w:rsidRDefault="0008413A" w:rsidP="0008413A">
            <w:pPr>
              <w:pStyle w:val="ListParagraph"/>
              <w:numPr>
                <w:ilvl w:val="0"/>
                <w:numId w:val="9"/>
              </w:numPr>
              <w:spacing w:before="100" w:beforeAutospacing="1" w:after="100" w:afterAutospacing="1"/>
              <w:rPr>
                <w:rFonts w:cstheme="minorHAnsi"/>
              </w:rPr>
            </w:pPr>
            <w:r>
              <w:rPr>
                <w:rFonts w:cstheme="minorHAnsi"/>
              </w:rPr>
              <w:t>Every</w:t>
            </w:r>
            <w:r w:rsidRPr="007333A8">
              <w:rPr>
                <w:rFonts w:cstheme="minorHAnsi"/>
              </w:rPr>
              <w:t xml:space="preserve"> unexcused absence </w:t>
            </w:r>
            <w:r>
              <w:rPr>
                <w:rFonts w:cstheme="minorHAnsi"/>
              </w:rPr>
              <w:t>incurs a penalty of</w:t>
            </w:r>
            <w:r w:rsidRPr="007333A8">
              <w:rPr>
                <w:rFonts w:cstheme="minorHAnsi"/>
              </w:rPr>
              <w:t xml:space="preserve"> one point off the final exam.</w:t>
            </w:r>
          </w:p>
          <w:p w14:paraId="1EC7AC5F" w14:textId="77777777" w:rsidR="0008413A" w:rsidRDefault="0008413A" w:rsidP="0008413A">
            <w:pPr>
              <w:pStyle w:val="ListParagraph"/>
              <w:numPr>
                <w:ilvl w:val="0"/>
                <w:numId w:val="9"/>
              </w:numPr>
              <w:spacing w:before="100" w:beforeAutospacing="1" w:after="100" w:afterAutospacing="1"/>
              <w:rPr>
                <w:rFonts w:cstheme="minorHAnsi"/>
              </w:rPr>
            </w:pPr>
            <w:r w:rsidRPr="007333A8">
              <w:rPr>
                <w:rFonts w:cstheme="minorHAnsi"/>
              </w:rPr>
              <w:t xml:space="preserve">Every third unexcused absence </w:t>
            </w:r>
            <w:r>
              <w:rPr>
                <w:rFonts w:cstheme="minorHAnsi"/>
              </w:rPr>
              <w:t>additionally incurs the penalty of the student’s final grade in the course being lowered by two letter “places” (e.g. from an A- to a B, from a B+ to a B-, etc.)</w:t>
            </w:r>
          </w:p>
        </w:tc>
      </w:tr>
      <w:tr w:rsidR="0091461C" w:rsidRPr="008C7978" w14:paraId="55710C4C" w14:textId="77777777" w:rsidTr="0008413A">
        <w:tc>
          <w:tcPr>
            <w:tcW w:w="1483" w:type="dxa"/>
          </w:tcPr>
          <w:p w14:paraId="6064EA79" w14:textId="77777777" w:rsidR="0091461C" w:rsidRDefault="0091461C" w:rsidP="0008413A">
            <w:pPr>
              <w:spacing w:before="100" w:beforeAutospacing="1" w:after="100" w:afterAutospacing="1"/>
              <w:rPr>
                <w:rFonts w:cstheme="minorHAnsi"/>
                <w:b/>
                <w:bCs/>
              </w:rPr>
            </w:pPr>
            <w:r>
              <w:rPr>
                <w:rFonts w:cstheme="minorHAnsi"/>
                <w:b/>
                <w:bCs/>
              </w:rPr>
              <w:t>Y.C. C.S. Department Academic Integrity Policy</w:t>
            </w:r>
          </w:p>
        </w:tc>
        <w:tc>
          <w:tcPr>
            <w:tcW w:w="9392" w:type="dxa"/>
          </w:tcPr>
          <w:p w14:paraId="1A83FEFF" w14:textId="77777777" w:rsidR="002070DB" w:rsidRDefault="002070DB" w:rsidP="002070DB">
            <w:pPr>
              <w:spacing w:before="100" w:beforeAutospacing="1" w:after="100" w:afterAutospacing="1"/>
              <w:rPr>
                <w:rFonts w:cstheme="minorHAnsi"/>
              </w:rPr>
            </w:pPr>
            <w:r w:rsidRPr="00D43C8C">
              <w:rPr>
                <w:rFonts w:cstheme="minorHAnsi"/>
                <w:b/>
                <w:bCs/>
              </w:rPr>
              <w:t>If you need help with any aspect of any Y.C. C.S. course, please reach out to your professor and/or TA - we are there to help. Do not under any circumstances resort to cheating or plagiarizing in any way.</w:t>
            </w:r>
            <w:r w:rsidRPr="002070DB">
              <w:rPr>
                <w:rFonts w:cstheme="minorHAnsi"/>
              </w:rPr>
              <w:t xml:space="preserve"> All academic integrity cases in Y.C. C.S. classes will be handled as follows:</w:t>
            </w:r>
            <w:r>
              <w:rPr>
                <w:rFonts w:cstheme="minorHAnsi"/>
              </w:rPr>
              <w:br/>
            </w:r>
            <w:r w:rsidRPr="002070DB">
              <w:rPr>
                <w:rFonts w:cstheme="minorHAnsi"/>
                <w:b/>
                <w:bCs/>
              </w:rPr>
              <w:t>1)</w:t>
            </w:r>
            <w:r w:rsidRPr="002070DB">
              <w:rPr>
                <w:rFonts w:cstheme="minorHAnsi"/>
              </w:rPr>
              <w:t xml:space="preserve"> Every case will be referred to the dean</w:t>
            </w:r>
            <w:r w:rsidR="006478F7">
              <w:rPr>
                <w:rFonts w:cstheme="minorHAnsi"/>
              </w:rPr>
              <w:t>’s office</w:t>
            </w:r>
            <w:r w:rsidRPr="002070DB">
              <w:rPr>
                <w:rFonts w:cstheme="minorHAnsi"/>
              </w:rPr>
              <w:t xml:space="preserve"> for investigation and disciplinary measures - no exceptions</w:t>
            </w:r>
            <w:r>
              <w:rPr>
                <w:rFonts w:cstheme="minorHAnsi"/>
              </w:rPr>
              <w:br/>
            </w:r>
            <w:r w:rsidRPr="002070DB">
              <w:rPr>
                <w:rFonts w:cstheme="minorHAnsi"/>
                <w:b/>
                <w:bCs/>
              </w:rPr>
              <w:t>2)</w:t>
            </w:r>
            <w:r w:rsidRPr="002070DB">
              <w:rPr>
                <w:rFonts w:cstheme="minorHAnsi"/>
              </w:rPr>
              <w:t xml:space="preserve"> The first time a student is caught cheating or plagiarizing on any part of any work item (e.g. a homework assignment, exam, etc.) for any Y.C. C.S. course, he will receive a zero on the work item on which he cheated or plagiarized and have his final grade in the course lowered by an entire letter (e.g. from B+ to C+.) Repeat offenders, whether they repeat in a single </w:t>
            </w:r>
            <w:r w:rsidRPr="002070DB">
              <w:rPr>
                <w:rFonts w:cstheme="minorHAnsi"/>
              </w:rPr>
              <w:lastRenderedPageBreak/>
              <w:t>semester or across multiple semesters, will be dealt with more stringently. These penalties have been, and will be, applied even if it means a senior not graduating and/or a student having to take the course all over again.</w:t>
            </w:r>
          </w:p>
          <w:p w14:paraId="54DA4AB6" w14:textId="77777777" w:rsidR="0091461C" w:rsidRPr="0091461C" w:rsidRDefault="002070DB" w:rsidP="002070DB">
            <w:pPr>
              <w:spacing w:before="100" w:beforeAutospacing="1" w:after="100" w:afterAutospacing="1"/>
              <w:rPr>
                <w:rFonts w:cstheme="minorHAnsi"/>
              </w:rPr>
            </w:pPr>
            <w:r w:rsidRPr="002070DB">
              <w:rPr>
                <w:rFonts w:cstheme="minorHAnsi"/>
              </w:rPr>
              <w:t xml:space="preserve">For more information, please see </w:t>
            </w:r>
            <w:hyperlink r:id="rId8" w:history="1">
              <w:r w:rsidRPr="002070DB">
                <w:rPr>
                  <w:rStyle w:val="Hyperlink"/>
                  <w:rFonts w:cstheme="minorHAnsi"/>
                </w:rPr>
                <w:t>Yeshiva College's Academic Integrity Policy</w:t>
              </w:r>
            </w:hyperlink>
            <w:r>
              <w:rPr>
                <w:rFonts w:cstheme="minorHAnsi"/>
              </w:rPr>
              <w:t>.</w:t>
            </w:r>
          </w:p>
        </w:tc>
      </w:tr>
    </w:tbl>
    <w:p w14:paraId="6CF193D4" w14:textId="77777777" w:rsidR="00B71F89" w:rsidRDefault="00B71F89" w:rsidP="00E75723">
      <w:pPr>
        <w:pStyle w:val="NormalWeb"/>
        <w:shd w:val="clear" w:color="auto" w:fill="FFFFFF"/>
        <w:rPr>
          <w:rFonts w:asciiTheme="minorHAnsi" w:hAnsiTheme="minorHAnsi" w:cstheme="minorHAnsi"/>
        </w:rPr>
      </w:pPr>
    </w:p>
    <w:tbl>
      <w:tblPr>
        <w:tblStyle w:val="TableGrid"/>
        <w:tblW w:w="0" w:type="auto"/>
        <w:tblLook w:val="04A0" w:firstRow="1" w:lastRow="0" w:firstColumn="1" w:lastColumn="0" w:noHBand="0" w:noVBand="1"/>
      </w:tblPr>
      <w:tblGrid>
        <w:gridCol w:w="1435"/>
        <w:gridCol w:w="9355"/>
      </w:tblGrid>
      <w:tr w:rsidR="00E277DA" w14:paraId="2AFBE972" w14:textId="77777777" w:rsidTr="00AC1B48">
        <w:tc>
          <w:tcPr>
            <w:tcW w:w="10790" w:type="dxa"/>
            <w:gridSpan w:val="2"/>
          </w:tcPr>
          <w:p w14:paraId="0AC10C27" w14:textId="77777777" w:rsidR="00E277DA" w:rsidRPr="00E277DA" w:rsidRDefault="00E277DA" w:rsidP="00E277DA">
            <w:pPr>
              <w:pStyle w:val="Heading2"/>
              <w:jc w:val="center"/>
              <w:outlineLvl w:val="1"/>
              <w:rPr>
                <w:b/>
                <w:bCs/>
              </w:rPr>
            </w:pPr>
            <w:r w:rsidRPr="00E277DA">
              <w:rPr>
                <w:b/>
                <w:bCs/>
              </w:rPr>
              <w:t>Weekly Schedule</w:t>
            </w:r>
          </w:p>
        </w:tc>
      </w:tr>
      <w:tr w:rsidR="00E277DA" w14:paraId="72382EB0" w14:textId="77777777" w:rsidTr="00E277DA">
        <w:tc>
          <w:tcPr>
            <w:tcW w:w="1435" w:type="dxa"/>
          </w:tcPr>
          <w:p w14:paraId="1D377383" w14:textId="77777777" w:rsidR="00E277DA" w:rsidRPr="00E277DA" w:rsidRDefault="00E277DA" w:rsidP="00E75723">
            <w:pPr>
              <w:pStyle w:val="NormalWeb"/>
              <w:rPr>
                <w:rFonts w:asciiTheme="minorHAnsi" w:hAnsiTheme="minorHAnsi" w:cstheme="minorHAnsi"/>
                <w:b/>
                <w:bCs/>
              </w:rPr>
            </w:pPr>
            <w:r w:rsidRPr="00E277DA">
              <w:rPr>
                <w:rFonts w:asciiTheme="minorHAnsi" w:hAnsiTheme="minorHAnsi" w:cstheme="minorHAnsi"/>
                <w:b/>
                <w:bCs/>
              </w:rPr>
              <w:t>Week</w:t>
            </w:r>
          </w:p>
        </w:tc>
        <w:tc>
          <w:tcPr>
            <w:tcW w:w="9355" w:type="dxa"/>
          </w:tcPr>
          <w:p w14:paraId="73572BCC" w14:textId="77777777" w:rsidR="00E277DA" w:rsidRPr="00E277DA" w:rsidRDefault="00E277DA" w:rsidP="00E75723">
            <w:pPr>
              <w:pStyle w:val="NormalWeb"/>
              <w:rPr>
                <w:rFonts w:asciiTheme="minorHAnsi" w:hAnsiTheme="minorHAnsi" w:cstheme="minorHAnsi"/>
                <w:b/>
                <w:bCs/>
              </w:rPr>
            </w:pPr>
            <w:r w:rsidRPr="00E277DA">
              <w:rPr>
                <w:rFonts w:asciiTheme="minorHAnsi" w:hAnsiTheme="minorHAnsi" w:cstheme="minorHAnsi"/>
                <w:b/>
                <w:bCs/>
              </w:rPr>
              <w:t>Topics</w:t>
            </w:r>
          </w:p>
        </w:tc>
      </w:tr>
      <w:tr w:rsidR="00E277DA" w14:paraId="69509B02" w14:textId="77777777" w:rsidTr="00E277DA">
        <w:tc>
          <w:tcPr>
            <w:tcW w:w="1435" w:type="dxa"/>
          </w:tcPr>
          <w:p w14:paraId="70640042" w14:textId="77777777" w:rsidR="00E277DA" w:rsidRDefault="00E277DA" w:rsidP="00E75723">
            <w:pPr>
              <w:pStyle w:val="NormalWeb"/>
              <w:rPr>
                <w:rFonts w:asciiTheme="minorHAnsi" w:hAnsiTheme="minorHAnsi" w:cstheme="minorHAnsi"/>
              </w:rPr>
            </w:pPr>
            <w:r>
              <w:rPr>
                <w:rFonts w:asciiTheme="minorHAnsi" w:hAnsiTheme="minorHAnsi" w:cstheme="minorHAnsi"/>
              </w:rPr>
              <w:t>1</w:t>
            </w:r>
          </w:p>
        </w:tc>
        <w:tc>
          <w:tcPr>
            <w:tcW w:w="9355" w:type="dxa"/>
          </w:tcPr>
          <w:p w14:paraId="476ADA97" w14:textId="77777777" w:rsidR="00E277DA" w:rsidRDefault="00D26A3E" w:rsidP="00E862DA">
            <w:pPr>
              <w:pStyle w:val="NormalWeb"/>
              <w:rPr>
                <w:rFonts w:asciiTheme="minorHAnsi" w:hAnsiTheme="minorHAnsi" w:cstheme="minorHAnsi"/>
              </w:rPr>
            </w:pPr>
            <w:r>
              <w:rPr>
                <w:rFonts w:asciiTheme="minorHAnsi" w:hAnsiTheme="minorHAnsi" w:cstheme="minorHAnsi"/>
              </w:rPr>
              <w:t>Course overview.</w:t>
            </w:r>
            <w:r w:rsidR="00E862DA">
              <w:rPr>
                <w:rFonts w:asciiTheme="minorHAnsi" w:hAnsiTheme="minorHAnsi" w:cstheme="minorHAnsi"/>
              </w:rPr>
              <w:t xml:space="preserve"> </w:t>
            </w:r>
            <w:r>
              <w:rPr>
                <w:rFonts w:asciiTheme="minorHAnsi" w:hAnsiTheme="minorHAnsi" w:cstheme="minorHAnsi"/>
              </w:rPr>
              <w:t>Garbage in, garbage out: how dirty data can impact analysis.</w:t>
            </w:r>
            <w:r w:rsidR="00F64286">
              <w:rPr>
                <w:rFonts w:asciiTheme="minorHAnsi" w:hAnsiTheme="minorHAnsi" w:cstheme="minorHAnsi"/>
              </w:rPr>
              <w:br/>
              <w:t xml:space="preserve">Errors vs. </w:t>
            </w:r>
            <w:r w:rsidR="00E862DA">
              <w:rPr>
                <w:rFonts w:asciiTheme="minorHAnsi" w:hAnsiTheme="minorHAnsi" w:cstheme="minorHAnsi"/>
              </w:rPr>
              <w:t>artifacts.</w:t>
            </w:r>
            <w:r w:rsidR="00E862DA">
              <w:rPr>
                <w:rFonts w:asciiTheme="minorHAnsi" w:hAnsiTheme="minorHAnsi" w:cstheme="minorHAnsi"/>
              </w:rPr>
              <w:br/>
            </w:r>
            <w:r>
              <w:rPr>
                <w:rFonts w:asciiTheme="minorHAnsi" w:hAnsiTheme="minorHAnsi" w:cstheme="minorHAnsi"/>
              </w:rPr>
              <w:t>Sources of errors in data and their telltale signs</w:t>
            </w:r>
            <w:r w:rsidR="00832B3E">
              <w:rPr>
                <w:rFonts w:asciiTheme="minorHAnsi" w:hAnsiTheme="minorHAnsi" w:cstheme="minorHAnsi"/>
              </w:rPr>
              <w:t xml:space="preserve"> in data sets</w:t>
            </w:r>
            <w:r>
              <w:rPr>
                <w:rFonts w:asciiTheme="minorHAnsi" w:hAnsiTheme="minorHAnsi" w:cstheme="minorHAnsi"/>
              </w:rPr>
              <w:t>.</w:t>
            </w:r>
          </w:p>
        </w:tc>
      </w:tr>
      <w:tr w:rsidR="00E277DA" w14:paraId="1007BB3A" w14:textId="77777777" w:rsidTr="00E277DA">
        <w:tc>
          <w:tcPr>
            <w:tcW w:w="1435" w:type="dxa"/>
          </w:tcPr>
          <w:p w14:paraId="545798DB" w14:textId="77777777" w:rsidR="00E277DA" w:rsidRDefault="00E277DA" w:rsidP="00E75723">
            <w:pPr>
              <w:pStyle w:val="NormalWeb"/>
              <w:rPr>
                <w:rFonts w:asciiTheme="minorHAnsi" w:hAnsiTheme="minorHAnsi" w:cstheme="minorHAnsi"/>
              </w:rPr>
            </w:pPr>
            <w:r>
              <w:rPr>
                <w:rFonts w:asciiTheme="minorHAnsi" w:hAnsiTheme="minorHAnsi" w:cstheme="minorHAnsi"/>
              </w:rPr>
              <w:t>2</w:t>
            </w:r>
          </w:p>
        </w:tc>
        <w:tc>
          <w:tcPr>
            <w:tcW w:w="9355" w:type="dxa"/>
          </w:tcPr>
          <w:p w14:paraId="3F8FF06F" w14:textId="77777777" w:rsidR="00E277DA" w:rsidRDefault="00BD6CCD" w:rsidP="00BD6CCD">
            <w:pPr>
              <w:pStyle w:val="NormalWeb"/>
              <w:rPr>
                <w:rFonts w:asciiTheme="minorHAnsi" w:hAnsiTheme="minorHAnsi" w:cstheme="minorHAnsi"/>
              </w:rPr>
            </w:pPr>
            <w:r>
              <w:rPr>
                <w:rFonts w:asciiTheme="minorHAnsi" w:hAnsiTheme="minorHAnsi" w:cstheme="minorHAnsi"/>
              </w:rPr>
              <w:t>Exploratory Data Analysis.</w:t>
            </w:r>
            <w:r w:rsidR="009E01EA">
              <w:rPr>
                <w:rFonts w:asciiTheme="minorHAnsi" w:hAnsiTheme="minorHAnsi" w:cstheme="minorHAnsi"/>
              </w:rPr>
              <w:br/>
            </w:r>
            <w:r w:rsidR="000C4462">
              <w:rPr>
                <w:rFonts w:asciiTheme="minorHAnsi" w:hAnsiTheme="minorHAnsi" w:cstheme="minorHAnsi"/>
              </w:rPr>
              <w:t>Visualization tools.</w:t>
            </w:r>
            <w:r w:rsidR="009E01EA">
              <w:rPr>
                <w:rFonts w:asciiTheme="minorHAnsi" w:hAnsiTheme="minorHAnsi" w:cstheme="minorHAnsi"/>
              </w:rPr>
              <w:br/>
            </w:r>
            <w:r w:rsidR="00BD00A7">
              <w:rPr>
                <w:rFonts w:asciiTheme="minorHAnsi" w:hAnsiTheme="minorHAnsi" w:cstheme="minorHAnsi"/>
              </w:rPr>
              <w:t>Regular expressions.</w:t>
            </w:r>
            <w:r w:rsidR="00F64286">
              <w:rPr>
                <w:rFonts w:asciiTheme="minorHAnsi" w:hAnsiTheme="minorHAnsi" w:cstheme="minorHAnsi"/>
              </w:rPr>
              <w:t xml:space="preserve"> </w:t>
            </w:r>
            <w:hyperlink r:id="rId9" w:history="1">
              <w:proofErr w:type="spellStart"/>
              <w:r w:rsidR="00F64286" w:rsidRPr="00607A27">
                <w:rPr>
                  <w:rStyle w:val="Hyperlink"/>
                  <w:rFonts w:asciiTheme="minorHAnsi" w:hAnsiTheme="minorHAnsi" w:cstheme="minorHAnsi"/>
                </w:rPr>
                <w:t>OpenRefine</w:t>
              </w:r>
              <w:proofErr w:type="spellEnd"/>
            </w:hyperlink>
            <w:r w:rsidR="00F64286">
              <w:rPr>
                <w:rFonts w:asciiTheme="minorHAnsi" w:hAnsiTheme="minorHAnsi" w:cstheme="minorHAnsi"/>
              </w:rPr>
              <w:t>.</w:t>
            </w:r>
          </w:p>
        </w:tc>
      </w:tr>
      <w:tr w:rsidR="000C4462" w14:paraId="1A5D612E" w14:textId="77777777" w:rsidTr="00E277DA">
        <w:tc>
          <w:tcPr>
            <w:tcW w:w="1435" w:type="dxa"/>
          </w:tcPr>
          <w:p w14:paraId="13A65EF0" w14:textId="77777777" w:rsidR="000C4462" w:rsidRDefault="000C4462" w:rsidP="000C4462">
            <w:pPr>
              <w:pStyle w:val="NormalWeb"/>
              <w:rPr>
                <w:rFonts w:asciiTheme="minorHAnsi" w:hAnsiTheme="minorHAnsi" w:cstheme="minorHAnsi"/>
              </w:rPr>
            </w:pPr>
            <w:r>
              <w:rPr>
                <w:rFonts w:asciiTheme="minorHAnsi" w:hAnsiTheme="minorHAnsi" w:cstheme="minorHAnsi"/>
              </w:rPr>
              <w:t>3</w:t>
            </w:r>
          </w:p>
        </w:tc>
        <w:tc>
          <w:tcPr>
            <w:tcW w:w="9355" w:type="dxa"/>
          </w:tcPr>
          <w:p w14:paraId="7094DFDF" w14:textId="77777777" w:rsidR="000C4462" w:rsidRDefault="00BD6CCD" w:rsidP="00BD6CCD">
            <w:pPr>
              <w:pStyle w:val="NormalWeb"/>
              <w:rPr>
                <w:rFonts w:asciiTheme="minorHAnsi" w:hAnsiTheme="minorHAnsi" w:cstheme="minorHAnsi"/>
              </w:rPr>
            </w:pPr>
            <w:r>
              <w:rPr>
                <w:rFonts w:asciiTheme="minorHAnsi" w:hAnsiTheme="minorHAnsi" w:cstheme="minorHAnsi"/>
              </w:rPr>
              <w:t>Univariate outlier</w:t>
            </w:r>
            <w:r w:rsidR="000C4462">
              <w:rPr>
                <w:rFonts w:asciiTheme="minorHAnsi" w:hAnsiTheme="minorHAnsi" w:cstheme="minorHAnsi"/>
              </w:rPr>
              <w:t xml:space="preserve"> detection.</w:t>
            </w:r>
            <w:r w:rsidR="000C4462">
              <w:rPr>
                <w:rFonts w:asciiTheme="minorHAnsi" w:hAnsiTheme="minorHAnsi" w:cstheme="minorHAnsi"/>
              </w:rPr>
              <w:br/>
              <w:t>Robust Statistics and Estimators.</w:t>
            </w:r>
          </w:p>
        </w:tc>
      </w:tr>
      <w:tr w:rsidR="000C4462" w14:paraId="73D84148" w14:textId="77777777" w:rsidTr="00E277DA">
        <w:tc>
          <w:tcPr>
            <w:tcW w:w="1435" w:type="dxa"/>
          </w:tcPr>
          <w:p w14:paraId="0B65DC3C" w14:textId="77777777" w:rsidR="000C4462" w:rsidRDefault="000C4462" w:rsidP="000C4462">
            <w:pPr>
              <w:pStyle w:val="NormalWeb"/>
              <w:rPr>
                <w:rFonts w:asciiTheme="minorHAnsi" w:hAnsiTheme="minorHAnsi" w:cstheme="minorHAnsi"/>
              </w:rPr>
            </w:pPr>
            <w:r>
              <w:rPr>
                <w:rFonts w:asciiTheme="minorHAnsi" w:hAnsiTheme="minorHAnsi" w:cstheme="minorHAnsi"/>
              </w:rPr>
              <w:t>4</w:t>
            </w:r>
          </w:p>
        </w:tc>
        <w:tc>
          <w:tcPr>
            <w:tcW w:w="9355" w:type="dxa"/>
          </w:tcPr>
          <w:p w14:paraId="5DBE97F4" w14:textId="77777777" w:rsidR="000C4462" w:rsidRDefault="000C4462" w:rsidP="000C4462">
            <w:pPr>
              <w:pStyle w:val="NormalWeb"/>
              <w:rPr>
                <w:rFonts w:asciiTheme="minorHAnsi" w:hAnsiTheme="minorHAnsi" w:cstheme="minorHAnsi"/>
              </w:rPr>
            </w:pPr>
            <w:r>
              <w:rPr>
                <w:rFonts w:asciiTheme="minorHAnsi" w:hAnsiTheme="minorHAnsi" w:cstheme="minorHAnsi"/>
              </w:rPr>
              <w:t>Multivariate outlier detection.</w:t>
            </w:r>
            <w:r>
              <w:rPr>
                <w:rFonts w:asciiTheme="minorHAnsi" w:hAnsiTheme="minorHAnsi" w:cstheme="minorHAnsi"/>
              </w:rPr>
              <w:br/>
              <w:t>Robust Multivariate Estimation.</w:t>
            </w:r>
          </w:p>
        </w:tc>
      </w:tr>
      <w:tr w:rsidR="000C4462" w14:paraId="5F63E363" w14:textId="77777777" w:rsidTr="00E277DA">
        <w:tc>
          <w:tcPr>
            <w:tcW w:w="1435" w:type="dxa"/>
          </w:tcPr>
          <w:p w14:paraId="4A4D5899" w14:textId="77777777" w:rsidR="000C4462" w:rsidRDefault="000C4462" w:rsidP="000C4462">
            <w:pPr>
              <w:pStyle w:val="NormalWeb"/>
              <w:rPr>
                <w:rFonts w:asciiTheme="minorHAnsi" w:hAnsiTheme="minorHAnsi" w:cstheme="minorHAnsi"/>
              </w:rPr>
            </w:pPr>
            <w:r>
              <w:rPr>
                <w:rFonts w:asciiTheme="minorHAnsi" w:hAnsiTheme="minorHAnsi" w:cstheme="minorHAnsi"/>
              </w:rPr>
              <w:t>5</w:t>
            </w:r>
          </w:p>
        </w:tc>
        <w:tc>
          <w:tcPr>
            <w:tcW w:w="9355" w:type="dxa"/>
          </w:tcPr>
          <w:p w14:paraId="144CBFB9" w14:textId="77777777" w:rsidR="000C4462" w:rsidRDefault="000C4462" w:rsidP="000C4462">
            <w:pPr>
              <w:pStyle w:val="NormalWeb"/>
              <w:rPr>
                <w:rFonts w:asciiTheme="minorHAnsi" w:hAnsiTheme="minorHAnsi" w:cstheme="minorHAnsi"/>
              </w:rPr>
            </w:pPr>
            <w:r>
              <w:rPr>
                <w:rFonts w:asciiTheme="minorHAnsi" w:hAnsiTheme="minorHAnsi" w:cstheme="minorHAnsi"/>
              </w:rPr>
              <w:t>C</w:t>
            </w:r>
            <w:r w:rsidR="00605CA4">
              <w:rPr>
                <w:rFonts w:asciiTheme="minorHAnsi" w:hAnsiTheme="minorHAnsi" w:cstheme="minorHAnsi"/>
              </w:rPr>
              <w:t xml:space="preserve">ase study: </w:t>
            </w:r>
            <w:r>
              <w:rPr>
                <w:rFonts w:asciiTheme="minorHAnsi" w:hAnsiTheme="minorHAnsi" w:cstheme="minorHAnsi"/>
              </w:rPr>
              <w:t>outlier detection in financial data –</w:t>
            </w:r>
            <w:r w:rsidR="00851DAF">
              <w:rPr>
                <w:rFonts w:asciiTheme="minorHAnsi" w:hAnsiTheme="minorHAnsi" w:cstheme="minorHAnsi"/>
              </w:rPr>
              <w:t xml:space="preserve"> opportunity, </w:t>
            </w:r>
            <w:r w:rsidR="00605CA4">
              <w:rPr>
                <w:rFonts w:asciiTheme="minorHAnsi" w:hAnsiTheme="minorHAnsi" w:cstheme="minorHAnsi"/>
              </w:rPr>
              <w:t>error</w:t>
            </w:r>
            <w:r w:rsidR="00851DAF">
              <w:rPr>
                <w:rFonts w:asciiTheme="minorHAnsi" w:hAnsiTheme="minorHAnsi" w:cstheme="minorHAnsi"/>
              </w:rPr>
              <w:t>, or artifact?</w:t>
            </w:r>
            <w:r w:rsidR="00851DAF">
              <w:rPr>
                <w:rFonts w:asciiTheme="minorHAnsi" w:hAnsiTheme="minorHAnsi" w:cstheme="minorHAnsi"/>
              </w:rPr>
              <w:br/>
            </w:r>
            <w:r>
              <w:rPr>
                <w:rFonts w:asciiTheme="minorHAnsi" w:hAnsiTheme="minorHAnsi" w:cstheme="minorHAnsi"/>
              </w:rPr>
              <w:t>Missing values. Imputing missing values.</w:t>
            </w:r>
          </w:p>
        </w:tc>
      </w:tr>
      <w:tr w:rsidR="000C4462" w14:paraId="72046758" w14:textId="77777777" w:rsidTr="00E277DA">
        <w:tc>
          <w:tcPr>
            <w:tcW w:w="1435" w:type="dxa"/>
          </w:tcPr>
          <w:p w14:paraId="16173C3C" w14:textId="77777777" w:rsidR="000C4462" w:rsidRDefault="000C4462" w:rsidP="000C4462">
            <w:pPr>
              <w:pStyle w:val="NormalWeb"/>
              <w:rPr>
                <w:rFonts w:asciiTheme="minorHAnsi" w:hAnsiTheme="minorHAnsi" w:cstheme="minorHAnsi"/>
              </w:rPr>
            </w:pPr>
            <w:r>
              <w:rPr>
                <w:rFonts w:asciiTheme="minorHAnsi" w:hAnsiTheme="minorHAnsi" w:cstheme="minorHAnsi"/>
              </w:rPr>
              <w:t>6</w:t>
            </w:r>
          </w:p>
        </w:tc>
        <w:tc>
          <w:tcPr>
            <w:tcW w:w="9355" w:type="dxa"/>
          </w:tcPr>
          <w:p w14:paraId="146E9986" w14:textId="77777777" w:rsidR="000C4462" w:rsidRDefault="000C4462" w:rsidP="000C4462">
            <w:pPr>
              <w:pStyle w:val="NormalWeb"/>
              <w:rPr>
                <w:rFonts w:asciiTheme="minorHAnsi" w:hAnsiTheme="minorHAnsi" w:cstheme="minorHAnsi"/>
              </w:rPr>
            </w:pPr>
            <w:r>
              <w:rPr>
                <w:rFonts w:asciiTheme="minorHAnsi" w:hAnsiTheme="minorHAnsi" w:cstheme="minorHAnsi"/>
              </w:rPr>
              <w:t>Resampling Techniques.</w:t>
            </w:r>
            <w:r>
              <w:rPr>
                <w:rFonts w:asciiTheme="minorHAnsi" w:hAnsiTheme="minorHAnsi" w:cstheme="minorHAnsi"/>
              </w:rPr>
              <w:br/>
              <w:t>Frequency outliers.</w:t>
            </w:r>
          </w:p>
        </w:tc>
      </w:tr>
      <w:tr w:rsidR="000C4462" w14:paraId="6192A8B2" w14:textId="77777777" w:rsidTr="00E277DA">
        <w:tc>
          <w:tcPr>
            <w:tcW w:w="1435" w:type="dxa"/>
          </w:tcPr>
          <w:p w14:paraId="2DFD879E" w14:textId="77777777" w:rsidR="000C4462" w:rsidRDefault="000C4462" w:rsidP="000C4462">
            <w:pPr>
              <w:pStyle w:val="NormalWeb"/>
              <w:rPr>
                <w:rFonts w:asciiTheme="minorHAnsi" w:hAnsiTheme="minorHAnsi" w:cstheme="minorHAnsi"/>
              </w:rPr>
            </w:pPr>
            <w:r>
              <w:rPr>
                <w:rFonts w:asciiTheme="minorHAnsi" w:hAnsiTheme="minorHAnsi" w:cstheme="minorHAnsi"/>
              </w:rPr>
              <w:t>7</w:t>
            </w:r>
          </w:p>
        </w:tc>
        <w:tc>
          <w:tcPr>
            <w:tcW w:w="9355" w:type="dxa"/>
          </w:tcPr>
          <w:p w14:paraId="72487A8F" w14:textId="77777777" w:rsidR="000C4462" w:rsidRDefault="00C13208" w:rsidP="00FF4878">
            <w:pPr>
              <w:pStyle w:val="NormalWeb"/>
              <w:rPr>
                <w:rFonts w:asciiTheme="minorHAnsi" w:hAnsiTheme="minorHAnsi" w:cstheme="minorHAnsi"/>
              </w:rPr>
            </w:pPr>
            <w:r>
              <w:rPr>
                <w:rFonts w:asciiTheme="minorHAnsi" w:hAnsiTheme="minorHAnsi" w:cstheme="minorHAnsi"/>
              </w:rPr>
              <w:t>Data Sampling:</w:t>
            </w:r>
            <w:r>
              <w:rPr>
                <w:rFonts w:asciiTheme="minorHAnsi" w:hAnsiTheme="minorHAnsi" w:cstheme="minorHAnsi"/>
              </w:rPr>
              <w:br/>
              <w:t xml:space="preserve">    Sample and selection bias.</w:t>
            </w:r>
            <w:r>
              <w:rPr>
                <w:rFonts w:asciiTheme="minorHAnsi" w:hAnsiTheme="minorHAnsi" w:cstheme="minorHAnsi"/>
              </w:rPr>
              <w:br/>
              <w:t xml:space="preserve">    Confidence intervals.</w:t>
            </w:r>
            <w:r>
              <w:rPr>
                <w:rFonts w:asciiTheme="minorHAnsi" w:hAnsiTheme="minorHAnsi" w:cstheme="minorHAnsi"/>
              </w:rPr>
              <w:br/>
              <w:t xml:space="preserve">    Distributions: normal, t, binomial, Poisson.</w:t>
            </w:r>
          </w:p>
        </w:tc>
      </w:tr>
      <w:tr w:rsidR="000C4462" w14:paraId="6C8D38AD" w14:textId="77777777" w:rsidTr="00E277DA">
        <w:tc>
          <w:tcPr>
            <w:tcW w:w="1435" w:type="dxa"/>
          </w:tcPr>
          <w:p w14:paraId="525EB278" w14:textId="77777777" w:rsidR="000C4462" w:rsidRDefault="000C4462" w:rsidP="000C4462">
            <w:pPr>
              <w:pStyle w:val="NormalWeb"/>
              <w:rPr>
                <w:rFonts w:asciiTheme="minorHAnsi" w:hAnsiTheme="minorHAnsi" w:cstheme="minorHAnsi"/>
              </w:rPr>
            </w:pPr>
            <w:r>
              <w:rPr>
                <w:rFonts w:asciiTheme="minorHAnsi" w:hAnsiTheme="minorHAnsi" w:cstheme="minorHAnsi"/>
              </w:rPr>
              <w:t>8</w:t>
            </w:r>
          </w:p>
        </w:tc>
        <w:tc>
          <w:tcPr>
            <w:tcW w:w="9355" w:type="dxa"/>
          </w:tcPr>
          <w:p w14:paraId="15F17E76" w14:textId="77777777" w:rsidR="000C4462" w:rsidRDefault="001E36E4" w:rsidP="001E36E4">
            <w:pPr>
              <w:pStyle w:val="NormalWeb"/>
              <w:rPr>
                <w:rFonts w:asciiTheme="minorHAnsi" w:hAnsiTheme="minorHAnsi" w:cstheme="minorHAnsi"/>
              </w:rPr>
            </w:pPr>
            <w:r>
              <w:rPr>
                <w:rFonts w:asciiTheme="minorHAnsi" w:hAnsiTheme="minorHAnsi" w:cstheme="minorHAnsi"/>
              </w:rPr>
              <w:t>Deduplication.</w:t>
            </w:r>
            <w:r>
              <w:rPr>
                <w:rFonts w:asciiTheme="minorHAnsi" w:hAnsiTheme="minorHAnsi" w:cstheme="minorHAnsi"/>
              </w:rPr>
              <w:br/>
              <w:t xml:space="preserve">Case study: sales data, accounting changes, and the surprise jump in revenue </w:t>
            </w:r>
          </w:p>
        </w:tc>
      </w:tr>
      <w:tr w:rsidR="000C4462" w14:paraId="6BF81185" w14:textId="77777777" w:rsidTr="00E277DA">
        <w:tc>
          <w:tcPr>
            <w:tcW w:w="1435" w:type="dxa"/>
          </w:tcPr>
          <w:p w14:paraId="00C42D74" w14:textId="77777777" w:rsidR="000C4462" w:rsidRDefault="000C4462" w:rsidP="000C4462">
            <w:pPr>
              <w:pStyle w:val="NormalWeb"/>
              <w:rPr>
                <w:rFonts w:asciiTheme="minorHAnsi" w:hAnsiTheme="minorHAnsi" w:cstheme="minorHAnsi"/>
              </w:rPr>
            </w:pPr>
            <w:r>
              <w:rPr>
                <w:rFonts w:asciiTheme="minorHAnsi" w:hAnsiTheme="minorHAnsi" w:cstheme="minorHAnsi"/>
              </w:rPr>
              <w:t>9</w:t>
            </w:r>
          </w:p>
        </w:tc>
        <w:tc>
          <w:tcPr>
            <w:tcW w:w="9355" w:type="dxa"/>
          </w:tcPr>
          <w:p w14:paraId="01105E23" w14:textId="77777777" w:rsidR="000C4462" w:rsidRDefault="001E36E4" w:rsidP="000C4462">
            <w:pPr>
              <w:pStyle w:val="NormalWeb"/>
              <w:rPr>
                <w:rFonts w:asciiTheme="minorHAnsi" w:hAnsiTheme="minorHAnsi" w:cstheme="minorHAnsi"/>
              </w:rPr>
            </w:pPr>
            <w:r>
              <w:rPr>
                <w:rFonts w:asciiTheme="minorHAnsi" w:hAnsiTheme="minorHAnsi" w:cstheme="minorHAnsi"/>
              </w:rPr>
              <w:t>Data Transformation: Restructuring, Enriching.</w:t>
            </w:r>
          </w:p>
        </w:tc>
      </w:tr>
      <w:tr w:rsidR="001E36E4" w14:paraId="778E905D" w14:textId="77777777" w:rsidTr="00E277DA">
        <w:tc>
          <w:tcPr>
            <w:tcW w:w="1435" w:type="dxa"/>
          </w:tcPr>
          <w:p w14:paraId="26C5187C" w14:textId="77777777" w:rsidR="001E36E4" w:rsidRDefault="001E36E4" w:rsidP="001E36E4">
            <w:pPr>
              <w:pStyle w:val="NormalWeb"/>
              <w:rPr>
                <w:rFonts w:asciiTheme="minorHAnsi" w:hAnsiTheme="minorHAnsi" w:cstheme="minorHAnsi"/>
              </w:rPr>
            </w:pPr>
            <w:r>
              <w:rPr>
                <w:rFonts w:asciiTheme="minorHAnsi" w:hAnsiTheme="minorHAnsi" w:cstheme="minorHAnsi"/>
              </w:rPr>
              <w:t>10</w:t>
            </w:r>
          </w:p>
        </w:tc>
        <w:tc>
          <w:tcPr>
            <w:tcW w:w="9355" w:type="dxa"/>
          </w:tcPr>
          <w:p w14:paraId="72490D42" w14:textId="77777777" w:rsidR="001E36E4" w:rsidRDefault="001E36E4" w:rsidP="001E36E4">
            <w:pPr>
              <w:pStyle w:val="NormalWeb"/>
              <w:rPr>
                <w:rFonts w:asciiTheme="minorHAnsi" w:hAnsiTheme="minorHAnsi" w:cstheme="minorHAnsi"/>
              </w:rPr>
            </w:pPr>
            <w:r>
              <w:rPr>
                <w:rFonts w:asciiTheme="minorHAnsi" w:hAnsiTheme="minorHAnsi" w:cstheme="minorHAnsi"/>
              </w:rPr>
              <w:t>Univariate entity resolution (a.k.a. string matching)</w:t>
            </w:r>
          </w:p>
        </w:tc>
      </w:tr>
      <w:tr w:rsidR="001E36E4" w14:paraId="17B58AB3" w14:textId="77777777" w:rsidTr="00E277DA">
        <w:tc>
          <w:tcPr>
            <w:tcW w:w="1435" w:type="dxa"/>
          </w:tcPr>
          <w:p w14:paraId="33453580" w14:textId="77777777" w:rsidR="001E36E4" w:rsidRDefault="001E36E4" w:rsidP="001E36E4">
            <w:pPr>
              <w:pStyle w:val="NormalWeb"/>
              <w:rPr>
                <w:rFonts w:asciiTheme="minorHAnsi" w:hAnsiTheme="minorHAnsi" w:cstheme="minorHAnsi"/>
              </w:rPr>
            </w:pPr>
            <w:r>
              <w:rPr>
                <w:rFonts w:asciiTheme="minorHAnsi" w:hAnsiTheme="minorHAnsi" w:cstheme="minorHAnsi"/>
              </w:rPr>
              <w:t>11</w:t>
            </w:r>
          </w:p>
        </w:tc>
        <w:tc>
          <w:tcPr>
            <w:tcW w:w="9355" w:type="dxa"/>
          </w:tcPr>
          <w:p w14:paraId="012230C4" w14:textId="77777777" w:rsidR="001E36E4" w:rsidRDefault="001E36E4" w:rsidP="001E36E4">
            <w:pPr>
              <w:pStyle w:val="NormalWeb"/>
              <w:rPr>
                <w:rFonts w:asciiTheme="minorHAnsi" w:hAnsiTheme="minorHAnsi" w:cstheme="minorHAnsi"/>
              </w:rPr>
            </w:pPr>
            <w:r>
              <w:rPr>
                <w:rFonts w:asciiTheme="minorHAnsi" w:hAnsiTheme="minorHAnsi" w:cstheme="minorHAnsi"/>
              </w:rPr>
              <w:t>Schema Matching and Mapping</w:t>
            </w:r>
          </w:p>
        </w:tc>
      </w:tr>
      <w:tr w:rsidR="001E36E4" w14:paraId="5AD97AD7" w14:textId="77777777" w:rsidTr="00E277DA">
        <w:tc>
          <w:tcPr>
            <w:tcW w:w="1435" w:type="dxa"/>
          </w:tcPr>
          <w:p w14:paraId="2A96B10C" w14:textId="77777777" w:rsidR="001E36E4" w:rsidRDefault="001E36E4" w:rsidP="001E36E4">
            <w:pPr>
              <w:pStyle w:val="NormalWeb"/>
              <w:rPr>
                <w:rFonts w:asciiTheme="minorHAnsi" w:hAnsiTheme="minorHAnsi" w:cstheme="minorHAnsi"/>
              </w:rPr>
            </w:pPr>
            <w:r>
              <w:rPr>
                <w:rFonts w:asciiTheme="minorHAnsi" w:hAnsiTheme="minorHAnsi" w:cstheme="minorHAnsi"/>
              </w:rPr>
              <w:t>12</w:t>
            </w:r>
          </w:p>
        </w:tc>
        <w:tc>
          <w:tcPr>
            <w:tcW w:w="9355" w:type="dxa"/>
          </w:tcPr>
          <w:p w14:paraId="7212EB4A" w14:textId="77777777" w:rsidR="001E36E4" w:rsidRDefault="001E36E4" w:rsidP="001E36E4">
            <w:pPr>
              <w:pStyle w:val="NormalWeb"/>
              <w:rPr>
                <w:rFonts w:asciiTheme="minorHAnsi" w:hAnsiTheme="minorHAnsi" w:cstheme="minorHAnsi"/>
              </w:rPr>
            </w:pPr>
            <w:r>
              <w:rPr>
                <w:rFonts w:asciiTheme="minorHAnsi" w:hAnsiTheme="minorHAnsi" w:cstheme="minorHAnsi"/>
              </w:rPr>
              <w:t>Multivariate entity resolution (a.k.a. data matching)</w:t>
            </w:r>
          </w:p>
        </w:tc>
      </w:tr>
      <w:tr w:rsidR="001E36E4" w14:paraId="13A73DBF" w14:textId="77777777" w:rsidTr="00E277DA">
        <w:tc>
          <w:tcPr>
            <w:tcW w:w="1435" w:type="dxa"/>
          </w:tcPr>
          <w:p w14:paraId="644A8390" w14:textId="77777777" w:rsidR="001E36E4" w:rsidRDefault="001E36E4" w:rsidP="001E36E4">
            <w:pPr>
              <w:pStyle w:val="NormalWeb"/>
              <w:rPr>
                <w:rFonts w:asciiTheme="minorHAnsi" w:hAnsiTheme="minorHAnsi" w:cstheme="minorHAnsi"/>
              </w:rPr>
            </w:pPr>
            <w:r>
              <w:rPr>
                <w:rFonts w:asciiTheme="minorHAnsi" w:hAnsiTheme="minorHAnsi" w:cstheme="minorHAnsi"/>
              </w:rPr>
              <w:t>13</w:t>
            </w:r>
          </w:p>
        </w:tc>
        <w:tc>
          <w:tcPr>
            <w:tcW w:w="9355" w:type="dxa"/>
          </w:tcPr>
          <w:p w14:paraId="19A61603" w14:textId="77777777" w:rsidR="001E36E4" w:rsidRDefault="001E36E4" w:rsidP="001E36E4">
            <w:pPr>
              <w:pStyle w:val="NormalWeb"/>
              <w:rPr>
                <w:rFonts w:asciiTheme="minorHAnsi" w:hAnsiTheme="minorHAnsi" w:cstheme="minorHAnsi"/>
              </w:rPr>
            </w:pPr>
            <w:r>
              <w:rPr>
                <w:rFonts w:asciiTheme="minorHAnsi" w:hAnsiTheme="minorHAnsi" w:cstheme="minorHAnsi"/>
              </w:rPr>
              <w:t>Review</w:t>
            </w:r>
          </w:p>
        </w:tc>
      </w:tr>
    </w:tbl>
    <w:bookmarkEnd w:id="0"/>
    <w:p w14:paraId="11F874E6" w14:textId="77777777" w:rsidR="00F35A38" w:rsidRDefault="00F35A38" w:rsidP="00F35A38">
      <w:pPr>
        <w:pStyle w:val="NormalWeb"/>
        <w:pBdr>
          <w:bottom w:val="single" w:sz="12" w:space="1" w:color="auto"/>
        </w:pBdr>
        <w:shd w:val="clear" w:color="auto" w:fill="FFFFFF"/>
        <w:rPr>
          <w:rFonts w:asciiTheme="minorHAnsi" w:hAnsiTheme="minorHAnsi" w:cstheme="minorHAnsi"/>
          <w:b/>
          <w:bCs/>
          <w:sz w:val="32"/>
          <w:szCs w:val="32"/>
        </w:rPr>
      </w:pPr>
      <w:r w:rsidRPr="00F35A38">
        <w:rPr>
          <w:rFonts w:asciiTheme="minorHAnsi" w:hAnsiTheme="minorHAnsi" w:cstheme="minorHAnsi"/>
          <w:b/>
          <w:bCs/>
          <w:sz w:val="32"/>
          <w:szCs w:val="32"/>
        </w:rPr>
        <w:t xml:space="preserve">Students </w:t>
      </w:r>
      <w:proofErr w:type="gramStart"/>
      <w:r w:rsidRPr="00F35A38">
        <w:rPr>
          <w:rFonts w:asciiTheme="minorHAnsi" w:hAnsiTheme="minorHAnsi" w:cstheme="minorHAnsi"/>
          <w:b/>
          <w:bCs/>
          <w:sz w:val="32"/>
          <w:szCs w:val="32"/>
        </w:rPr>
        <w:t>With</w:t>
      </w:r>
      <w:proofErr w:type="gramEnd"/>
      <w:r w:rsidRPr="00F35A38">
        <w:rPr>
          <w:rFonts w:asciiTheme="minorHAnsi" w:hAnsiTheme="minorHAnsi" w:cstheme="minorHAnsi"/>
          <w:b/>
          <w:bCs/>
          <w:sz w:val="32"/>
          <w:szCs w:val="32"/>
        </w:rPr>
        <w:t xml:space="preserve"> Disabilities</w:t>
      </w:r>
    </w:p>
    <w:p w14:paraId="03A94AFD" w14:textId="6C043816" w:rsidR="00F35A38" w:rsidRDefault="00F35A38" w:rsidP="00F35A38">
      <w:pPr>
        <w:pStyle w:val="NormalWeb"/>
        <w:shd w:val="clear" w:color="auto" w:fill="FFFFFF"/>
        <w:rPr>
          <w:rFonts w:asciiTheme="minorHAnsi" w:hAnsiTheme="minorHAnsi" w:cstheme="minorHAnsi"/>
        </w:rPr>
      </w:pPr>
      <w:r w:rsidRPr="00F35A38">
        <w:rPr>
          <w:rFonts w:asciiTheme="minorHAnsi" w:hAnsiTheme="minorHAnsi" w:cstheme="minorHAnsi"/>
        </w:rPr>
        <w:t xml:space="preserve">The Office of Academic Support provides services and resources designed to help students on Wilf Campus develop more efficient and effective study skills and strategies. Individual support is available in areas such as time management and organization, active reading, note-taking, exam preparation and test-taking skills. The office is located in </w:t>
      </w:r>
      <w:proofErr w:type="spellStart"/>
      <w:r w:rsidRPr="00F35A38">
        <w:rPr>
          <w:rFonts w:asciiTheme="minorHAnsi" w:hAnsiTheme="minorHAnsi" w:cstheme="minorHAnsi"/>
        </w:rPr>
        <w:t>Furst</w:t>
      </w:r>
      <w:proofErr w:type="spellEnd"/>
      <w:r w:rsidRPr="00F35A38">
        <w:rPr>
          <w:rFonts w:asciiTheme="minorHAnsi" w:hAnsiTheme="minorHAnsi" w:cstheme="minorHAnsi"/>
        </w:rPr>
        <w:t xml:space="preserve"> Hall, Suite 412. To schedule an appointment, call 646-592-4285 or em</w:t>
      </w:r>
      <w:r>
        <w:rPr>
          <w:rFonts w:asciiTheme="minorHAnsi" w:hAnsiTheme="minorHAnsi" w:cstheme="minorHAnsi"/>
        </w:rPr>
        <w:t xml:space="preserve">ail </w:t>
      </w:r>
      <w:hyperlink r:id="rId10" w:history="1">
        <w:r w:rsidRPr="001A6D56">
          <w:rPr>
            <w:rStyle w:val="Hyperlink"/>
            <w:rFonts w:asciiTheme="minorHAnsi" w:hAnsiTheme="minorHAnsi" w:cstheme="minorHAnsi"/>
          </w:rPr>
          <w:t>academicsupport.wilf@yu.edu</w:t>
        </w:r>
      </w:hyperlink>
      <w:r>
        <w:rPr>
          <w:rFonts w:asciiTheme="minorHAnsi" w:hAnsiTheme="minorHAnsi" w:cstheme="minorHAnsi"/>
        </w:rPr>
        <w:t>.</w:t>
      </w:r>
    </w:p>
    <w:p w14:paraId="2ABB31EB" w14:textId="77777777" w:rsidR="00EA3EDA" w:rsidRDefault="00EA3EDA" w:rsidP="00F35A38">
      <w:pPr>
        <w:pStyle w:val="NormalWeb"/>
        <w:shd w:val="clear" w:color="auto" w:fill="FFFFFF"/>
        <w:rPr>
          <w:rFonts w:asciiTheme="minorHAnsi" w:hAnsiTheme="minorHAnsi" w:cstheme="minorHAnsi"/>
        </w:rPr>
      </w:pPr>
      <w:bookmarkStart w:id="1" w:name="_GoBack"/>
      <w:bookmarkEnd w:id="1"/>
    </w:p>
    <w:p w14:paraId="2C6A241E" w14:textId="77777777" w:rsidR="00EA3EDA" w:rsidRPr="008C7978" w:rsidRDefault="00EA3EDA" w:rsidP="00F35A38">
      <w:pPr>
        <w:pStyle w:val="NormalWeb"/>
        <w:shd w:val="clear" w:color="auto" w:fill="FFFFFF"/>
        <w:rPr>
          <w:rFonts w:asciiTheme="minorHAnsi" w:hAnsiTheme="minorHAnsi" w:cstheme="minorHAnsi"/>
        </w:rPr>
      </w:pPr>
    </w:p>
    <w:sectPr w:rsidR="00EA3EDA" w:rsidRPr="008C7978" w:rsidSect="00385233">
      <w:footerReference w:type="default" r:id="rId11"/>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59106" w14:textId="77777777" w:rsidR="007D634C" w:rsidRDefault="007D634C" w:rsidP="003774CF">
      <w:r>
        <w:separator/>
      </w:r>
    </w:p>
  </w:endnote>
  <w:endnote w:type="continuationSeparator" w:id="0">
    <w:p w14:paraId="192FE926" w14:textId="77777777" w:rsidR="007D634C" w:rsidRDefault="007D634C" w:rsidP="0037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652336"/>
      <w:docPartObj>
        <w:docPartGallery w:val="Page Numbers (Bottom of Page)"/>
        <w:docPartUnique/>
      </w:docPartObj>
    </w:sdtPr>
    <w:sdtEndPr>
      <w:rPr>
        <w:noProof/>
      </w:rPr>
    </w:sdtEndPr>
    <w:sdtContent>
      <w:p w14:paraId="6B9EB17B" w14:textId="77777777" w:rsidR="00AC1B48" w:rsidRDefault="00AC1B48">
        <w:pPr>
          <w:pStyle w:val="Footer"/>
          <w:jc w:val="center"/>
        </w:pPr>
        <w:r>
          <w:fldChar w:fldCharType="begin"/>
        </w:r>
        <w:r>
          <w:instrText xml:space="preserve"> PAGE   \* MERGEFORMAT </w:instrText>
        </w:r>
        <w:r>
          <w:fldChar w:fldCharType="separate"/>
        </w:r>
        <w:r w:rsidR="00C21D41">
          <w:rPr>
            <w:noProof/>
          </w:rPr>
          <w:t>2</w:t>
        </w:r>
        <w:r>
          <w:rPr>
            <w:noProof/>
          </w:rPr>
          <w:fldChar w:fldCharType="end"/>
        </w:r>
      </w:p>
    </w:sdtContent>
  </w:sdt>
  <w:p w14:paraId="420BA110" w14:textId="77777777" w:rsidR="00AC1B48" w:rsidRDefault="00AC1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AFD42" w14:textId="77777777" w:rsidR="007D634C" w:rsidRDefault="007D634C" w:rsidP="003774CF">
      <w:r>
        <w:separator/>
      </w:r>
    </w:p>
  </w:footnote>
  <w:footnote w:type="continuationSeparator" w:id="0">
    <w:p w14:paraId="45845492" w14:textId="77777777" w:rsidR="007D634C" w:rsidRDefault="007D634C" w:rsidP="00377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8B4"/>
    <w:multiLevelType w:val="multilevel"/>
    <w:tmpl w:val="3248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22F24"/>
    <w:multiLevelType w:val="hybridMultilevel"/>
    <w:tmpl w:val="DCE03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824A1"/>
    <w:multiLevelType w:val="hybridMultilevel"/>
    <w:tmpl w:val="BBFAE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2C7590"/>
    <w:multiLevelType w:val="hybridMultilevel"/>
    <w:tmpl w:val="F1C833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33B269AA"/>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44026"/>
    <w:multiLevelType w:val="multilevel"/>
    <w:tmpl w:val="6D3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735F6"/>
    <w:multiLevelType w:val="multilevel"/>
    <w:tmpl w:val="AA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17B35"/>
    <w:multiLevelType w:val="hybridMultilevel"/>
    <w:tmpl w:val="02DAE02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48CA3A7C"/>
    <w:multiLevelType w:val="multilevel"/>
    <w:tmpl w:val="AD7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3130E"/>
    <w:multiLevelType w:val="hybridMultilevel"/>
    <w:tmpl w:val="5F12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D1D16"/>
    <w:multiLevelType w:val="hybridMultilevel"/>
    <w:tmpl w:val="E97CD5E8"/>
    <w:lvl w:ilvl="0" w:tplc="A6B2A06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962D1"/>
    <w:multiLevelType w:val="multilevel"/>
    <w:tmpl w:val="518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A1CB9"/>
    <w:multiLevelType w:val="hybridMultilevel"/>
    <w:tmpl w:val="F5A6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6"/>
  </w:num>
  <w:num w:numId="5">
    <w:abstractNumId w:val="4"/>
  </w:num>
  <w:num w:numId="6">
    <w:abstractNumId w:val="8"/>
  </w:num>
  <w:num w:numId="7">
    <w:abstractNumId w:val="12"/>
  </w:num>
  <w:num w:numId="8">
    <w:abstractNumId w:val="1"/>
  </w:num>
  <w:num w:numId="9">
    <w:abstractNumId w:val="2"/>
  </w:num>
  <w:num w:numId="10">
    <w:abstractNumId w:val="10"/>
  </w:num>
  <w:num w:numId="11">
    <w:abstractNumId w:val="9"/>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89"/>
    <w:rsid w:val="000035B6"/>
    <w:rsid w:val="00023888"/>
    <w:rsid w:val="0002742B"/>
    <w:rsid w:val="00042F34"/>
    <w:rsid w:val="00050F9A"/>
    <w:rsid w:val="0005715D"/>
    <w:rsid w:val="00072B6F"/>
    <w:rsid w:val="00083A10"/>
    <w:rsid w:val="0008413A"/>
    <w:rsid w:val="00093F92"/>
    <w:rsid w:val="000A0680"/>
    <w:rsid w:val="000B54A6"/>
    <w:rsid w:val="000C4462"/>
    <w:rsid w:val="000E08B5"/>
    <w:rsid w:val="000E72E6"/>
    <w:rsid w:val="001014BA"/>
    <w:rsid w:val="001019D2"/>
    <w:rsid w:val="0012074C"/>
    <w:rsid w:val="00127DF0"/>
    <w:rsid w:val="00157353"/>
    <w:rsid w:val="00161125"/>
    <w:rsid w:val="00185F57"/>
    <w:rsid w:val="001A13A3"/>
    <w:rsid w:val="001C238A"/>
    <w:rsid w:val="001D7E3E"/>
    <w:rsid w:val="001E27DA"/>
    <w:rsid w:val="001E36E4"/>
    <w:rsid w:val="002070DB"/>
    <w:rsid w:val="0021472F"/>
    <w:rsid w:val="0021789B"/>
    <w:rsid w:val="00243CC4"/>
    <w:rsid w:val="00272861"/>
    <w:rsid w:val="002810DC"/>
    <w:rsid w:val="00292147"/>
    <w:rsid w:val="00292899"/>
    <w:rsid w:val="002A410D"/>
    <w:rsid w:val="002C5325"/>
    <w:rsid w:val="002E4F57"/>
    <w:rsid w:val="002F71D3"/>
    <w:rsid w:val="00300396"/>
    <w:rsid w:val="00313BA2"/>
    <w:rsid w:val="003312FF"/>
    <w:rsid w:val="003765CC"/>
    <w:rsid w:val="003774CF"/>
    <w:rsid w:val="00385233"/>
    <w:rsid w:val="00386A1F"/>
    <w:rsid w:val="003B11D9"/>
    <w:rsid w:val="003B5751"/>
    <w:rsid w:val="003C45FD"/>
    <w:rsid w:val="00407AEB"/>
    <w:rsid w:val="00426E9E"/>
    <w:rsid w:val="00436C47"/>
    <w:rsid w:val="004646C6"/>
    <w:rsid w:val="00487AAE"/>
    <w:rsid w:val="004B1263"/>
    <w:rsid w:val="0050654A"/>
    <w:rsid w:val="0051078F"/>
    <w:rsid w:val="005225F9"/>
    <w:rsid w:val="00536F47"/>
    <w:rsid w:val="005411F1"/>
    <w:rsid w:val="0056789D"/>
    <w:rsid w:val="00596AA8"/>
    <w:rsid w:val="005C30C9"/>
    <w:rsid w:val="005D4F97"/>
    <w:rsid w:val="005E202B"/>
    <w:rsid w:val="005E5E3F"/>
    <w:rsid w:val="005E6D19"/>
    <w:rsid w:val="005E7024"/>
    <w:rsid w:val="0060389F"/>
    <w:rsid w:val="00605CA4"/>
    <w:rsid w:val="00607A27"/>
    <w:rsid w:val="00627F47"/>
    <w:rsid w:val="00631CF4"/>
    <w:rsid w:val="006404EF"/>
    <w:rsid w:val="006478F7"/>
    <w:rsid w:val="00672FC8"/>
    <w:rsid w:val="0069039C"/>
    <w:rsid w:val="0069189C"/>
    <w:rsid w:val="006B0533"/>
    <w:rsid w:val="006C31C1"/>
    <w:rsid w:val="0073191F"/>
    <w:rsid w:val="007333A8"/>
    <w:rsid w:val="00752303"/>
    <w:rsid w:val="00776891"/>
    <w:rsid w:val="00780D6A"/>
    <w:rsid w:val="007863E8"/>
    <w:rsid w:val="007A08C9"/>
    <w:rsid w:val="007A38B4"/>
    <w:rsid w:val="007C2588"/>
    <w:rsid w:val="007D634C"/>
    <w:rsid w:val="008304E0"/>
    <w:rsid w:val="00832B3E"/>
    <w:rsid w:val="00851DAF"/>
    <w:rsid w:val="00885724"/>
    <w:rsid w:val="00891721"/>
    <w:rsid w:val="008C7978"/>
    <w:rsid w:val="008F5D16"/>
    <w:rsid w:val="0090169B"/>
    <w:rsid w:val="0091461C"/>
    <w:rsid w:val="00920295"/>
    <w:rsid w:val="00957A71"/>
    <w:rsid w:val="009D36D7"/>
    <w:rsid w:val="009D680B"/>
    <w:rsid w:val="009E01EA"/>
    <w:rsid w:val="009E44E8"/>
    <w:rsid w:val="00A01F07"/>
    <w:rsid w:val="00A52D26"/>
    <w:rsid w:val="00A60009"/>
    <w:rsid w:val="00A66B1F"/>
    <w:rsid w:val="00AB1912"/>
    <w:rsid w:val="00AC1B48"/>
    <w:rsid w:val="00B00FD2"/>
    <w:rsid w:val="00B177AA"/>
    <w:rsid w:val="00B35FB0"/>
    <w:rsid w:val="00B35FB7"/>
    <w:rsid w:val="00B44469"/>
    <w:rsid w:val="00B5193A"/>
    <w:rsid w:val="00B71F89"/>
    <w:rsid w:val="00B81456"/>
    <w:rsid w:val="00B81F0C"/>
    <w:rsid w:val="00B8234E"/>
    <w:rsid w:val="00B87063"/>
    <w:rsid w:val="00B94B20"/>
    <w:rsid w:val="00B9696E"/>
    <w:rsid w:val="00BA3861"/>
    <w:rsid w:val="00BB555D"/>
    <w:rsid w:val="00BC73F3"/>
    <w:rsid w:val="00BD00A7"/>
    <w:rsid w:val="00BD2635"/>
    <w:rsid w:val="00BD5979"/>
    <w:rsid w:val="00BD6CCD"/>
    <w:rsid w:val="00BE20C9"/>
    <w:rsid w:val="00BF7BEE"/>
    <w:rsid w:val="00C13208"/>
    <w:rsid w:val="00C21D41"/>
    <w:rsid w:val="00C27CCC"/>
    <w:rsid w:val="00C27D68"/>
    <w:rsid w:val="00C65309"/>
    <w:rsid w:val="00C71B4A"/>
    <w:rsid w:val="00C737E7"/>
    <w:rsid w:val="00C756F3"/>
    <w:rsid w:val="00C931AE"/>
    <w:rsid w:val="00CE6908"/>
    <w:rsid w:val="00D02818"/>
    <w:rsid w:val="00D2418A"/>
    <w:rsid w:val="00D26A3E"/>
    <w:rsid w:val="00D43C8C"/>
    <w:rsid w:val="00D47A66"/>
    <w:rsid w:val="00D72ACA"/>
    <w:rsid w:val="00DB5231"/>
    <w:rsid w:val="00DC6799"/>
    <w:rsid w:val="00DD68A9"/>
    <w:rsid w:val="00DF05E5"/>
    <w:rsid w:val="00DF2B7C"/>
    <w:rsid w:val="00E21318"/>
    <w:rsid w:val="00E277DA"/>
    <w:rsid w:val="00E34E4C"/>
    <w:rsid w:val="00E37B29"/>
    <w:rsid w:val="00E54F37"/>
    <w:rsid w:val="00E75723"/>
    <w:rsid w:val="00E80EA5"/>
    <w:rsid w:val="00E862DA"/>
    <w:rsid w:val="00E94F28"/>
    <w:rsid w:val="00EA3EDA"/>
    <w:rsid w:val="00EA5FC6"/>
    <w:rsid w:val="00EB7FC4"/>
    <w:rsid w:val="00F05AF4"/>
    <w:rsid w:val="00F21E62"/>
    <w:rsid w:val="00F31D81"/>
    <w:rsid w:val="00F35A38"/>
    <w:rsid w:val="00F64286"/>
    <w:rsid w:val="00F658E1"/>
    <w:rsid w:val="00F77A1B"/>
    <w:rsid w:val="00FF48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2A20"/>
  <w15:chartTrackingRefBased/>
  <w15:docId w15:val="{2E9EA1CF-83C0-4826-B6D0-C91C2613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D16"/>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8C79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8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F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1F89"/>
    <w:pPr>
      <w:ind w:left="720"/>
      <w:contextualSpacing/>
    </w:pPr>
  </w:style>
  <w:style w:type="paragraph" w:styleId="NormalWeb">
    <w:name w:val="Normal (Web)"/>
    <w:basedOn w:val="Normal"/>
    <w:uiPriority w:val="99"/>
    <w:unhideWhenUsed/>
    <w:rsid w:val="00B71F89"/>
    <w:pPr>
      <w:spacing w:before="100" w:beforeAutospacing="1" w:after="100" w:afterAutospacing="1"/>
    </w:pPr>
  </w:style>
  <w:style w:type="character" w:styleId="Strong">
    <w:name w:val="Strong"/>
    <w:basedOn w:val="DefaultParagraphFont"/>
    <w:uiPriority w:val="22"/>
    <w:qFormat/>
    <w:rsid w:val="00B71F89"/>
    <w:rPr>
      <w:b/>
      <w:bCs/>
    </w:rPr>
  </w:style>
  <w:style w:type="character" w:styleId="Hyperlink">
    <w:name w:val="Hyperlink"/>
    <w:basedOn w:val="DefaultParagraphFont"/>
    <w:uiPriority w:val="99"/>
    <w:unhideWhenUsed/>
    <w:rsid w:val="00B71F89"/>
    <w:rPr>
      <w:color w:val="0000FF"/>
      <w:u w:val="single"/>
    </w:rPr>
  </w:style>
  <w:style w:type="character" w:customStyle="1" w:styleId="Heading1Char">
    <w:name w:val="Heading 1 Char"/>
    <w:basedOn w:val="DefaultParagraphFont"/>
    <w:link w:val="Heading1"/>
    <w:uiPriority w:val="9"/>
    <w:rsid w:val="008C797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C7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79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autoRedefine/>
    <w:uiPriority w:val="10"/>
    <w:qFormat/>
    <w:rsid w:val="00C65309"/>
    <w:pPr>
      <w:pBdr>
        <w:bottom w:val="single" w:sz="12" w:space="1" w:color="auto"/>
      </w:pBd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C65309"/>
    <w:rPr>
      <w:rFonts w:asciiTheme="majorHAnsi" w:eastAsiaTheme="majorEastAsia" w:hAnsiTheme="majorHAnsi" w:cstheme="majorBidi"/>
      <w:b/>
      <w:spacing w:val="-10"/>
      <w:kern w:val="28"/>
      <w:sz w:val="48"/>
      <w:szCs w:val="56"/>
    </w:rPr>
  </w:style>
  <w:style w:type="paragraph" w:styleId="Header">
    <w:name w:val="header"/>
    <w:basedOn w:val="Normal"/>
    <w:link w:val="HeaderChar"/>
    <w:uiPriority w:val="99"/>
    <w:unhideWhenUsed/>
    <w:rsid w:val="003774CF"/>
    <w:pPr>
      <w:tabs>
        <w:tab w:val="center" w:pos="4680"/>
        <w:tab w:val="right" w:pos="9360"/>
      </w:tabs>
    </w:pPr>
  </w:style>
  <w:style w:type="character" w:customStyle="1" w:styleId="HeaderChar">
    <w:name w:val="Header Char"/>
    <w:basedOn w:val="DefaultParagraphFont"/>
    <w:link w:val="Header"/>
    <w:uiPriority w:val="99"/>
    <w:rsid w:val="003774CF"/>
  </w:style>
  <w:style w:type="paragraph" w:styleId="Footer">
    <w:name w:val="footer"/>
    <w:basedOn w:val="Normal"/>
    <w:link w:val="FooterChar"/>
    <w:uiPriority w:val="99"/>
    <w:unhideWhenUsed/>
    <w:rsid w:val="003774CF"/>
    <w:pPr>
      <w:tabs>
        <w:tab w:val="center" w:pos="4680"/>
        <w:tab w:val="right" w:pos="9360"/>
      </w:tabs>
    </w:pPr>
  </w:style>
  <w:style w:type="character" w:customStyle="1" w:styleId="FooterChar">
    <w:name w:val="Footer Char"/>
    <w:basedOn w:val="DefaultParagraphFont"/>
    <w:link w:val="Footer"/>
    <w:uiPriority w:val="99"/>
    <w:rsid w:val="003774CF"/>
  </w:style>
  <w:style w:type="character" w:styleId="Emphasis">
    <w:name w:val="Emphasis"/>
    <w:basedOn w:val="DefaultParagraphFont"/>
    <w:uiPriority w:val="20"/>
    <w:qFormat/>
    <w:rsid w:val="00EA3E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22579">
      <w:bodyDiv w:val="1"/>
      <w:marLeft w:val="0"/>
      <w:marRight w:val="0"/>
      <w:marTop w:val="0"/>
      <w:marBottom w:val="0"/>
      <w:divBdr>
        <w:top w:val="none" w:sz="0" w:space="0" w:color="auto"/>
        <w:left w:val="none" w:sz="0" w:space="0" w:color="auto"/>
        <w:bottom w:val="none" w:sz="0" w:space="0" w:color="auto"/>
        <w:right w:val="none" w:sz="0" w:space="0" w:color="auto"/>
      </w:divBdr>
    </w:div>
    <w:div w:id="790514898">
      <w:bodyDiv w:val="1"/>
      <w:marLeft w:val="0"/>
      <w:marRight w:val="0"/>
      <w:marTop w:val="0"/>
      <w:marBottom w:val="0"/>
      <w:divBdr>
        <w:top w:val="none" w:sz="0" w:space="0" w:color="auto"/>
        <w:left w:val="none" w:sz="0" w:space="0" w:color="auto"/>
        <w:bottom w:val="none" w:sz="0" w:space="0" w:color="auto"/>
        <w:right w:val="none" w:sz="0" w:space="0" w:color="auto"/>
      </w:divBdr>
    </w:div>
    <w:div w:id="992097548">
      <w:bodyDiv w:val="1"/>
      <w:marLeft w:val="0"/>
      <w:marRight w:val="0"/>
      <w:marTop w:val="0"/>
      <w:marBottom w:val="0"/>
      <w:divBdr>
        <w:top w:val="none" w:sz="0" w:space="0" w:color="auto"/>
        <w:left w:val="none" w:sz="0" w:space="0" w:color="auto"/>
        <w:bottom w:val="none" w:sz="0" w:space="0" w:color="auto"/>
        <w:right w:val="none" w:sz="0" w:space="0" w:color="auto"/>
      </w:divBdr>
      <w:divsChild>
        <w:div w:id="671416732">
          <w:marLeft w:val="0"/>
          <w:marRight w:val="0"/>
          <w:marTop w:val="0"/>
          <w:marBottom w:val="0"/>
          <w:divBdr>
            <w:top w:val="none" w:sz="0" w:space="0" w:color="auto"/>
            <w:left w:val="none" w:sz="0" w:space="0" w:color="auto"/>
            <w:bottom w:val="none" w:sz="0" w:space="0" w:color="auto"/>
            <w:right w:val="none" w:sz="0" w:space="0" w:color="auto"/>
          </w:divBdr>
        </w:div>
      </w:divsChild>
    </w:div>
    <w:div w:id="1291286126">
      <w:bodyDiv w:val="1"/>
      <w:marLeft w:val="0"/>
      <w:marRight w:val="0"/>
      <w:marTop w:val="0"/>
      <w:marBottom w:val="0"/>
      <w:divBdr>
        <w:top w:val="none" w:sz="0" w:space="0" w:color="auto"/>
        <w:left w:val="none" w:sz="0" w:space="0" w:color="auto"/>
        <w:bottom w:val="none" w:sz="0" w:space="0" w:color="auto"/>
        <w:right w:val="none" w:sz="0" w:space="0" w:color="auto"/>
      </w:divBdr>
    </w:div>
    <w:div w:id="1803306283">
      <w:bodyDiv w:val="1"/>
      <w:marLeft w:val="0"/>
      <w:marRight w:val="0"/>
      <w:marTop w:val="0"/>
      <w:marBottom w:val="0"/>
      <w:divBdr>
        <w:top w:val="none" w:sz="0" w:space="0" w:color="auto"/>
        <w:left w:val="none" w:sz="0" w:space="0" w:color="auto"/>
        <w:bottom w:val="none" w:sz="0" w:space="0" w:color="auto"/>
        <w:right w:val="none" w:sz="0" w:space="0" w:color="auto"/>
      </w:divBdr>
    </w:div>
    <w:div w:id="20483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edu/yeshiva-college/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cademicsupport.wilf@yu.edu" TargetMode="External"/><Relationship Id="rId4" Type="http://schemas.openxmlformats.org/officeDocument/2006/relationships/settings" Target="settings.xml"/><Relationship Id="rId9" Type="http://schemas.openxmlformats.org/officeDocument/2006/relationships/hyperlink" Target="http://openref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7E322-7B74-C842-A46C-57D2A797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diament</dc:creator>
  <cp:keywords/>
  <dc:description/>
  <cp:lastModifiedBy>Microsoft Office User</cp:lastModifiedBy>
  <cp:revision>3</cp:revision>
  <dcterms:created xsi:type="dcterms:W3CDTF">2018-11-30T04:17:00Z</dcterms:created>
  <dcterms:modified xsi:type="dcterms:W3CDTF">2018-11-30T04:20:00Z</dcterms:modified>
</cp:coreProperties>
</file>