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1A4A"/>
          <w:sz w:val="40"/>
        </w:rPr>
        <w:t>Cheat sheet: keep at the lectern</w:t>
      </w:r>
    </w:p>
    <w:p>
      <w:r>
        <w:rPr>
          <w:color w:val="6B6B6B"/>
          <w:sz w:val="22"/>
        </w:rPr>
        <w:t>Chia U-Meng Adrian (Xie Youming) · MTCS-MRMC5</w:t>
      </w:r>
    </w:p>
    <w:p>
      <w:pPr>
        <w:pStyle w:val="Heading2"/>
      </w:pPr>
      <w:r>
        <w:t>Three messages</w:t>
      </w:r>
    </w:p>
    <w:p>
      <w:pPr>
        <w:pStyle w:val="ListNumber"/>
      </w:pPr>
      <w:r>
        <w:t>Per-client rate limits cannot see a low-and-slow attack that rotates IPs; one-minute campaign-level aggregates can.</w:t>
      </w:r>
    </w:p>
    <w:p>
      <w:pPr>
        <w:pStyle w:val="ListNumber"/>
      </w:pPr>
      <w:r>
        <w:t>A 28,241-parameter TCN learns the campaign rule and carries it to unseen traffic, even when the IP pattern flips.</w:t>
      </w:r>
    </w:p>
    <w:p>
      <w:pPr>
        <w:pStyle w:val="ListNumber"/>
      </w:pPr>
      <w:r>
        <w:t>It costs about 0.65 ms once a minute (≈ 0.001% of one CPU core).</w:t>
      </w:r>
    </w:p>
    <w:p>
      <w:pPr>
        <w:pStyle w:val="Heading2"/>
      </w:pPr>
      <w:r>
        <w:t>Key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2835"/>
            <w:shd w:val="clear" w:color="auto" w:fill="8B1A4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055"/>
            <w:shd w:val="clear" w:color="auto" w:fill="8B1A4A"/>
          </w:tcPr>
          <w:p>
            <w:r/>
            <w:r>
              <w:rPr>
                <w:b/>
                <w:color w:val="FFFFFF"/>
                <w:sz w:val="19"/>
              </w:rPr>
              <w:t>Values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Training Dataset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53.1 h · 8,095,202 requests · 3,187 windows · split 70/15/15 in time order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Chaotic Dataset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154 min · 145 sequences (44 attack / 101 benign)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Large Dataset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233.4 h · 33,731,232 requests · 13,351 sequences (1,992 / 11,359)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Large Dataset, θ = 0.50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precision 0.9945 · recall 1.0000 · F1 0.9972 · FPR 0.00097 · 1.39 alerts/day · ROC-AUC 0.999983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Chaotic Dataset, θ = 0.50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precision 0.8947 · recall 0.7727 · F1 0.8293 · FPR 0.0396 · ROC-AUC 0.9876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Hold-out test set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470 benign sequences · 0 false positives · max score 0.000000146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Plot twist (mean IPs)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Training 1,459 attack vs 775 benign · Large 288 vs 803 · Spearman: failure rate +0.707, IPs −0.392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Earlier model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497 windows, 0.40 labels, GELU · Large Dataset recall 0.2575, ROC-AUC 0.3576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Latency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mean 0.65 ms · P50 0.62 · P95 0.81 · P99 1.64 · ≈ 0.001% of one core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Errors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15 FPs (failure rate 0.19–0.30, all ≤ 15 min from an attack) · 10 misses (0.32–0.36, last Chaotic attack)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3 residual blocks, dilations 1/2/4, k = 3, channels 16/32/64, dropout 0.2, ReLU · 28,241 parameters · RF 29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Training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BCE with w+ = 0.3925 · AdamW lr 0.001 · batch 64 · 30 epochs · epoch 27 kept · no seed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Label rule</w:t>
            </w:r>
          </w:p>
        </w:tc>
        <w:tc>
          <w:tcPr>
            <w:tcW w:type="dxa" w:w="11055"/>
          </w:tcPr>
          <w:p>
            <w:r/>
            <w:r>
              <w:rPr>
                <w:sz w:val="19"/>
              </w:rPr>
              <w:t>failure rate &gt; 0.30 and distinct IPs &gt; 5 (last window of the sequence)</w:t>
            </w:r>
          </w:p>
        </w:tc>
      </w:tr>
    </w:tbl>
    <w:p>
      <w:pPr>
        <w:pStyle w:val="Heading2"/>
      </w:pPr>
      <w:r>
        <w:t>Limitations (ch.5.2)</w:t>
      </w:r>
    </w:p>
    <w:p>
      <w:r>
        <w:t>L1 labels are a rule over the inputs   ·   L2 validation set is benign only   ·   L3 evasion: ≈ 2.33 good logins per failure   ·   L4 overlapping sequences, single run, no seed   ·   L5 JA3 constant, no header features   ·   L6 synthetic traffic   ·   L7 minutes, not IPs; no throttle built</w:t>
      </w:r>
    </w:p>
    <w:p>
      <w:pPr>
        <w:pStyle w:val="Heading2"/>
      </w:pPr>
      <w:r>
        <w:t>Answer pattern</w:t>
      </w:r>
    </w:p>
    <w:p>
      <w:r>
        <w:t>Acknowledge the point in one sentence.  →  Give the evidence: number, table or chapter.  →  State the boundary: what the result does and does not show.  →  Offer the backup slide if useful.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B1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