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blPrEx>
          <w:tblCellMar>
            <w:top w:w="0" w:type="dxa"/>
            <w:bottom w:w="0" w:type="dxa"/>
          </w:tblCellMar>
        </w:tblPrEx>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blPrEx>
          <w:tblCellMar>
            <w:top w:w="0" w:type="dxa"/>
            <w:bottom w:w="0" w:type="dxa"/>
          </w:tblCellMar>
        </w:tblPrEx>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blPrEx>
          <w:tblCellMar>
            <w:top w:w="0" w:type="dxa"/>
            <w:bottom w:w="0" w:type="dxa"/>
          </w:tblCellMar>
        </w:tblPrEx>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blPrEx>
          <w:tblCellMar>
            <w:top w:w="0" w:type="dxa"/>
            <w:bottom w:w="0" w:type="dxa"/>
          </w:tblCellMar>
        </w:tblPrEx>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D8239C" w:rsidRPr="00021B73" w:rsidRDefault="00D8239C" w:rsidP="005939A3">
      <w:pPr>
        <w:pStyle w:val="Tbasetext"/>
        <w:rPr>
          <w:lang w:val="ro-RO"/>
        </w:rPr>
      </w:pPr>
    </w:p>
    <w:p w:rsidR="00D8239C" w:rsidRPr="00021B73" w:rsidRDefault="00D8239C" w:rsidP="005939A3">
      <w:pPr>
        <w:pStyle w:val="Tbasetext"/>
        <w:rPr>
          <w:lang w:val="ro-RO"/>
        </w:rPr>
      </w:pPr>
    </w:p>
    <w:p w:rsidR="004E7C2D" w:rsidRPr="00021B73" w:rsidRDefault="004E7C2D" w:rsidP="00783BFC">
      <w:pPr>
        <w:pStyle w:val="Ttableofcontents"/>
        <w:jc w:val="left"/>
        <w:rPr>
          <w:b w:val="0"/>
          <w:bCs w:val="0"/>
          <w:sz w:val="22"/>
          <w:lang w:val="ro-RO" w:eastAsia="ro-RO"/>
        </w:rPr>
      </w:pPr>
    </w:p>
    <w:p w:rsidR="00783BFC" w:rsidRPr="00021B73" w:rsidRDefault="00783BFC">
      <w:pPr>
        <w:pStyle w:val="TOCHeading"/>
        <w:rPr>
          <w:color w:val="auto"/>
          <w:sz w:val="32"/>
          <w:szCs w:val="32"/>
          <w:lang w:val="ro-RO"/>
        </w:rPr>
      </w:pPr>
      <w:r w:rsidRPr="00021B73">
        <w:rPr>
          <w:color w:val="auto"/>
          <w:sz w:val="32"/>
          <w:szCs w:val="32"/>
          <w:lang w:val="ro-RO"/>
        </w:rPr>
        <w:t>Con</w:t>
      </w:r>
      <w:r w:rsidR="00CA6168" w:rsidRPr="00021B73">
        <w:rPr>
          <w:color w:val="auto"/>
          <w:sz w:val="32"/>
          <w:szCs w:val="32"/>
          <w:lang w:val="ro-RO"/>
        </w:rPr>
        <w:t>țin</w:t>
      </w:r>
      <w:r w:rsidRPr="00021B73">
        <w:rPr>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Pr="00021B73" w:rsidRDefault="00643F41" w:rsidP="00A9448B">
      <w:pPr>
        <w:pStyle w:val="Theading1"/>
        <w:rPr>
          <w:lang w:val="ro-RO"/>
        </w:rPr>
      </w:pPr>
    </w:p>
    <w:p w:rsidR="00A816C9" w:rsidRPr="00021B73" w:rsidRDefault="00A816C9" w:rsidP="00A9448B">
      <w:pPr>
        <w:pStyle w:val="Theading1"/>
        <w:rPr>
          <w:lang w:val="ro-RO"/>
        </w:rPr>
        <w:sectPr w:rsidR="00A816C9" w:rsidRPr="00021B73"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8B56B0" w:rsidRPr="00021B73" w:rsidRDefault="00F53008" w:rsidP="00A9448B">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Pr="00021B73"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tab/>
      </w:r>
      <w:r w:rsidRPr="00021B73">
        <w:rPr>
          <w:b/>
          <w:sz w:val="24"/>
          <w:szCs w:val="24"/>
          <w:lang w:val="ro-RO"/>
        </w:rPr>
        <w:t>2.1.1 Cadre beacon</w:t>
      </w:r>
    </w:p>
    <w:p w:rsidR="009B2380" w:rsidRPr="00021B73" w:rsidRDefault="009B2380" w:rsidP="00860737">
      <w:pPr>
        <w:pStyle w:val="Tbasetext"/>
        <w:ind w:firstLine="0"/>
        <w:rPr>
          <w:szCs w:val="22"/>
          <w:lang w:val="ro-RO"/>
        </w:rPr>
      </w:pPr>
    </w:p>
    <w:p w:rsidR="00E77922" w:rsidRPr="00021B73" w:rsidRDefault="00860737" w:rsidP="00860737">
      <w:pPr>
        <w:pStyle w:val="Tbasetext"/>
        <w:ind w:firstLine="720"/>
        <w:rPr>
          <w:szCs w:val="22"/>
          <w:lang w:val="ro-RO"/>
        </w:rPr>
      </w:pPr>
      <w:r w:rsidRPr="00021B73">
        <w:rPr>
          <w:szCs w:val="22"/>
          <w:lang w:val="ro-RO"/>
        </w:rPr>
        <w:t xml:space="preserve">  </w:t>
      </w:r>
      <w:r w:rsidR="00B21C2F"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Pr="00021B73">
        <w:rPr>
          <w:szCs w:val="22"/>
          <w:lang w:val="ro-RO"/>
        </w:rPr>
        <w:t>transmisia periodic</w:t>
      </w:r>
      <w:r w:rsidR="00801194" w:rsidRPr="00021B73">
        <w:rPr>
          <w:szCs w:val="22"/>
          <w:lang w:val="ro-RO"/>
        </w:rPr>
        <w:t>ă</w:t>
      </w:r>
      <w:r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021B73" w:rsidRDefault="00E87EFF" w:rsidP="00F3400B">
      <w:pPr>
        <w:pStyle w:val="Tfiguretitle"/>
        <w:rPr>
          <w:lang w:val="ro-RO"/>
        </w:rPr>
      </w:pPr>
      <w:r w:rsidRPr="00021B73">
        <w:rPr>
          <w:lang w:val="ro-RO"/>
        </w:rPr>
        <w:t>Fig.</w:t>
      </w:r>
      <w:r w:rsidR="00B11426" w:rsidRPr="00021B73">
        <w:rPr>
          <w:lang w:val="ro-RO"/>
        </w:rPr>
        <w:t xml:space="preserve"> 1</w:t>
      </w:r>
      <w:r w:rsidRPr="00021B73">
        <w:rPr>
          <w:lang w:val="ro-RO"/>
        </w:rPr>
        <w:t xml:space="preserve">.  </w:t>
      </w:r>
      <w:r w:rsidR="00B11426" w:rsidRPr="00021B73">
        <w:rPr>
          <w:lang w:val="ro-RO"/>
        </w:rPr>
        <w:t>Componența unui cadru Beacon [</w:t>
      </w:r>
      <w:r w:rsidR="009F4347" w:rsidRPr="00021B73">
        <w:rPr>
          <w:lang w:val="ro-RO"/>
        </w:rPr>
        <w:t>4]</w:t>
      </w:r>
    </w:p>
    <w:p w:rsidR="00F3400B" w:rsidRPr="00021B73" w:rsidRDefault="00F3400B" w:rsidP="00F3400B">
      <w:pPr>
        <w:pStyle w:val="Tfiguretitle"/>
        <w:rPr>
          <w:lang w:val="ro-RO"/>
        </w:rPr>
      </w:pPr>
    </w:p>
    <w:p w:rsidR="00F3400B" w:rsidRPr="00021B73" w:rsidRDefault="00F3400B" w:rsidP="00F3400B">
      <w:pPr>
        <w:pStyle w:val="Tfiguretitle"/>
        <w:jc w:val="both"/>
        <w:rPr>
          <w:sz w:val="22"/>
          <w:szCs w:val="22"/>
          <w:lang w:val="ro-RO"/>
        </w:rPr>
      </w:pPr>
      <w:r w:rsidRPr="00021B73">
        <w:rPr>
          <w:lang w:val="ro-RO"/>
        </w:rPr>
        <w:tab/>
      </w: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3400B">
      <w:pPr>
        <w:pStyle w:val="Tfiguretitle"/>
        <w:jc w:val="both"/>
        <w:rPr>
          <w:sz w:val="22"/>
          <w:szCs w:val="22"/>
          <w:lang w:val="ro-RO"/>
        </w:rPr>
      </w:pPr>
      <w:r w:rsidRPr="00021B73">
        <w:rPr>
          <w:sz w:val="22"/>
          <w:szCs w:val="22"/>
          <w:lang w:val="ro-RO"/>
        </w:rPr>
        <w:tab/>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9B2380" w:rsidP="00F3400B">
      <w:pPr>
        <w:pStyle w:val="Tfiguretitle"/>
        <w:jc w:val="both"/>
        <w:rPr>
          <w:b/>
          <w:sz w:val="24"/>
          <w:szCs w:val="24"/>
          <w:lang w:val="ro-RO"/>
        </w:rPr>
      </w:pPr>
      <w:r w:rsidRPr="00021B73">
        <w:rPr>
          <w:lang w:val="ro-RO"/>
        </w:rPr>
        <w:tab/>
      </w:r>
      <w:r w:rsidR="00184FDB" w:rsidRPr="00021B73">
        <w:rPr>
          <w:b/>
          <w:sz w:val="24"/>
          <w:szCs w:val="24"/>
          <w:lang w:val="ro-RO"/>
        </w:rPr>
        <w:t>2.1.2 Radiot</w:t>
      </w:r>
      <w:r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F3400B">
      <w:pPr>
        <w:pStyle w:val="Tfiguretitle"/>
        <w:jc w:val="both"/>
        <w:rPr>
          <w:sz w:val="22"/>
          <w:szCs w:val="22"/>
          <w:lang w:val="ro-RO"/>
        </w:rPr>
      </w:pPr>
      <w:r w:rsidRPr="00021B73">
        <w:rPr>
          <w:b/>
          <w:sz w:val="24"/>
          <w:szCs w:val="24"/>
          <w:lang w:val="ro-RO"/>
        </w:rPr>
        <w:tab/>
        <w:t xml:space="preserve">  </w:t>
      </w: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F3400B">
      <w:pPr>
        <w:pStyle w:val="Tfiguretitle"/>
        <w:jc w:val="both"/>
        <w:rPr>
          <w:sz w:val="22"/>
          <w:szCs w:val="22"/>
          <w:lang w:val="ro-RO"/>
        </w:rPr>
      </w:pPr>
      <w:r w:rsidRPr="00021B73">
        <w:rPr>
          <w:sz w:val="22"/>
          <w:szCs w:val="22"/>
          <w:lang w:val="ro-RO"/>
        </w:rPr>
        <w:tab/>
        <w:t xml:space="preserve">  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w:t>
      </w:r>
      <w:r w:rsidR="00281629" w:rsidRPr="00021B73">
        <w:rPr>
          <w:sz w:val="22"/>
          <w:szCs w:val="22"/>
          <w:lang w:val="ro-RO"/>
        </w:rPr>
        <w:lastRenderedPageBreak/>
        <w:t>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F3400B">
      <w:pPr>
        <w:pStyle w:val="Tfiguretitle"/>
        <w:jc w:val="both"/>
        <w:rPr>
          <w:sz w:val="22"/>
          <w:szCs w:val="22"/>
          <w:lang w:val="ro-RO"/>
        </w:rPr>
      </w:pPr>
      <w:r w:rsidRPr="00021B73">
        <w:rPr>
          <w:sz w:val="22"/>
          <w:szCs w:val="22"/>
          <w:lang w:val="ro-RO"/>
        </w:rPr>
        <w:tab/>
        <w:t xml:space="preserve">  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A313C9">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Pr="00021B73" w:rsidRDefault="00EA3B89" w:rsidP="003213FC">
      <w:pPr>
        <w:pStyle w:val="Tbasetext"/>
        <w:ind w:firstLine="0"/>
        <w:rPr>
          <w:b/>
          <w:sz w:val="26"/>
          <w:szCs w:val="26"/>
          <w:lang w:val="ro-RO"/>
        </w:rPr>
      </w:pPr>
    </w:p>
    <w:p w:rsidR="009377FD" w:rsidRPr="00021B73" w:rsidRDefault="009377FD" w:rsidP="009377FD">
      <w:pPr>
        <w:pStyle w:val="Tbasetext"/>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754751">
      <w:pPr>
        <w:pStyle w:val="Tbasetext"/>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1" w:name="_Toc387496030"/>
      <w:bookmarkStart w:id="12" w:name="_Toc387496175"/>
    </w:p>
    <w:p w:rsidR="006332AB" w:rsidRPr="00021B73" w:rsidRDefault="006332AB" w:rsidP="00754751">
      <w:pPr>
        <w:pStyle w:val="Tbasetext"/>
        <w:rPr>
          <w:lang w:val="ro-RO"/>
        </w:rPr>
      </w:pPr>
      <w:r w:rsidRPr="00021B73">
        <w:rPr>
          <w:lang w:val="ro-RO"/>
        </w:rPr>
        <w:t>De menționat este și [2], poate cel mai reprezentativ articol pentru a doua categorie de metode de localizare, cele probabilistice.</w:t>
      </w:r>
    </w:p>
    <w:p w:rsidR="009A00D2" w:rsidRPr="00021B73" w:rsidRDefault="00930F73" w:rsidP="00754751">
      <w:pPr>
        <w:pStyle w:val="Theading2"/>
        <w:ind w:left="720" w:firstLine="0"/>
        <w:rPr>
          <w:lang w:val="ro-RO"/>
        </w:rPr>
      </w:pPr>
      <w:bookmarkStart w:id="13" w:name="_Toc387497026"/>
      <w:r w:rsidRPr="00021B73">
        <w:rPr>
          <w:lang w:val="ro-RO"/>
        </w:rPr>
        <w:lastRenderedPageBreak/>
        <w:t>2.3</w:t>
      </w:r>
      <w:r w:rsidR="001029D2" w:rsidRPr="00021B73">
        <w:rPr>
          <w:lang w:val="ro-RO"/>
        </w:rPr>
        <w:t xml:space="preserve"> </w:t>
      </w:r>
      <w:r w:rsidR="009A00D2" w:rsidRPr="00021B73">
        <w:rPr>
          <w:lang w:val="ro-RO"/>
        </w:rPr>
        <w:t>Rezultate</w:t>
      </w:r>
      <w:bookmarkEnd w:id="11"/>
      <w:bookmarkEnd w:id="12"/>
      <w:bookmarkEnd w:id="13"/>
    </w:p>
    <w:p w:rsidR="005A05FB" w:rsidRPr="00021B73" w:rsidRDefault="0012225E" w:rsidP="005A05FB">
      <w:pPr>
        <w:pStyle w:val="Tbasetext"/>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t>NN -&gt; KNN -&gt; WKNN -&gt; EWKNN</w:t>
      </w:r>
    </w:p>
    <w:p w:rsidR="00D916D0" w:rsidRPr="00021B73" w:rsidRDefault="00D916D0" w:rsidP="00D916D0">
      <w:pPr>
        <w:pStyle w:val="Tbasetext"/>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EE7E63">
      <w:pPr>
        <w:pStyle w:val="Tbasetext"/>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p w:rsidR="00EE7E63" w:rsidRPr="00021B73" w:rsidRDefault="00EE7E63" w:rsidP="00EE7E63">
      <w:pPr>
        <w:pStyle w:val="Ttabletitle"/>
        <w:rPr>
          <w:lang w:val="ro-RO"/>
        </w:rPr>
      </w:pPr>
      <w:r w:rsidRPr="00021B73">
        <w:rPr>
          <w:lang w:val="ro-RO"/>
        </w:rPr>
        <w:t xml:space="preserve">Eroarea de poziționare a fiecărui algoritm </w:t>
      </w: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1029D2">
            <w:pPr>
              <w:pStyle w:val="Ttabletextcenter"/>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5A05FB" w:rsidRPr="00021B73" w:rsidRDefault="005A05FB" w:rsidP="005A05FB">
      <w:pPr>
        <w:pStyle w:val="Tbasetext"/>
        <w:rPr>
          <w:lang w:val="ro-RO"/>
        </w:rPr>
      </w:pPr>
    </w:p>
    <w:p w:rsidR="00643F41" w:rsidRPr="00021B73" w:rsidRDefault="001029D2" w:rsidP="00DB04B3">
      <w:pPr>
        <w:pStyle w:val="Tbasetext"/>
        <w:ind w:firstLine="0"/>
        <w:rPr>
          <w:lang w:val="ro-RO"/>
        </w:rPr>
      </w:pPr>
      <w:r w:rsidRPr="00021B73">
        <w:rPr>
          <w:lang w:val="ro-RO"/>
        </w:rPr>
        <w:tab/>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14" w:name="_Toc387495961"/>
      <w:bookmarkStart w:id="15" w:name="_Toc387496031"/>
      <w:bookmarkStart w:id="16" w:name="_Toc387496176"/>
      <w:bookmarkStart w:id="17" w:name="_Toc387497027"/>
    </w:p>
    <w:p w:rsidR="00A816C9" w:rsidRPr="00021B73" w:rsidRDefault="00A816C9" w:rsidP="001029D2">
      <w:pPr>
        <w:pStyle w:val="Theading2"/>
        <w:ind w:left="720" w:firstLine="0"/>
        <w:rPr>
          <w:sz w:val="28"/>
          <w:szCs w:val="28"/>
          <w:lang w:val="ro-RO"/>
        </w:rPr>
      </w:pPr>
    </w:p>
    <w:p w:rsidR="00DB04B3" w:rsidRPr="00021B73" w:rsidRDefault="00DB04B3" w:rsidP="00DB04B3">
      <w:pPr>
        <w:pStyle w:val="Tbasetext"/>
        <w:rPr>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14"/>
      <w:bookmarkEnd w:id="15"/>
      <w:bookmarkEnd w:id="16"/>
      <w:bookmarkEnd w:id="17"/>
    </w:p>
    <w:p w:rsidR="005A05FB" w:rsidRPr="00021B73" w:rsidRDefault="001029D2" w:rsidP="005A05FB">
      <w:pPr>
        <w:pStyle w:val="Tbasetext"/>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3C60CC" w:rsidRPr="00021B73" w:rsidRDefault="003C60CC" w:rsidP="003C60CC">
      <w:pPr>
        <w:pStyle w:val="Tfiguretitle"/>
        <w:rPr>
          <w:lang w:val="ro-RO"/>
        </w:rPr>
      </w:pPr>
      <w:r w:rsidRPr="00021B73">
        <w:rPr>
          <w:lang w:val="ro-RO"/>
        </w:rPr>
        <w:t>Fig. 1. Harta încăperii</w:t>
      </w:r>
    </w:p>
    <w:p w:rsidR="00613223" w:rsidRPr="00021B73" w:rsidRDefault="00613223" w:rsidP="003C60CC">
      <w:pPr>
        <w:pStyle w:val="Tbasetext"/>
        <w:jc w:val="center"/>
        <w:rPr>
          <w:lang w:val="ro-RO"/>
        </w:rPr>
      </w:pPr>
    </w:p>
    <w:p w:rsidR="00613223" w:rsidRPr="00021B73" w:rsidRDefault="00613223" w:rsidP="005A05FB">
      <w:pPr>
        <w:pStyle w:val="Tbasetext"/>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A12B41">
      <w:pPr>
        <w:pStyle w:val="Tbasetext"/>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2"/>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A12B41">
      <w:pPr>
        <w:pStyle w:val="Tbasetext"/>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A12B41">
      <w:pPr>
        <w:pStyle w:val="Tbasetext"/>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BC307C">
      <w:pPr>
        <w:pStyle w:val="Tbasetext"/>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3"/>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4"/>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BE3EF9">
      <w:pPr>
        <w:pStyle w:val="Tbasetext"/>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BE3EF9">
      <w:pPr>
        <w:pStyle w:val="Tbasetext"/>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lastRenderedPageBreak/>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BE3EF9">
      <w:pPr>
        <w:pStyle w:val="Tbasetext"/>
        <w:ind w:firstLine="0"/>
        <w:rPr>
          <w:b/>
          <w:sz w:val="26"/>
          <w:szCs w:val="26"/>
          <w:lang w:val="ro-RO"/>
        </w:rPr>
      </w:pPr>
      <w:r w:rsidRPr="00021B73">
        <w:rPr>
          <w:b/>
          <w:sz w:val="26"/>
          <w:szCs w:val="26"/>
          <w:lang w:val="ro-RO"/>
        </w:rPr>
        <w:tab/>
        <w:t>3.3 Colectarea datelor (antrenament)</w:t>
      </w:r>
    </w:p>
    <w:p w:rsidR="00460731" w:rsidRPr="00021B73" w:rsidRDefault="00460731" w:rsidP="00A12B41">
      <w:pPr>
        <w:pStyle w:val="Tbasetext"/>
        <w:rPr>
          <w:szCs w:val="22"/>
          <w:lang w:val="ro-RO"/>
        </w:rPr>
      </w:pPr>
    </w:p>
    <w:p w:rsidR="009377FD" w:rsidRPr="00021B73" w:rsidRDefault="00082FD1" w:rsidP="008D7A3E">
      <w:pPr>
        <w:pStyle w:val="Tbasetext"/>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p>
    <w:p w:rsidR="00EA4D74" w:rsidRPr="00021B73" w:rsidRDefault="003C60CC" w:rsidP="008D7A3E">
      <w:pPr>
        <w:pStyle w:val="Tbasetext"/>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10554" w:rsidRPr="00021B73">
        <w:rPr>
          <w:lang w:val="ro-RO"/>
        </w:rPr>
        <w:t>urile 2 și 3.</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2A0F76" w:rsidRPr="00021B73" w:rsidRDefault="002A0F76" w:rsidP="002A0F76">
      <w:pPr>
        <w:pStyle w:val="Tfiguretitle"/>
        <w:rPr>
          <w:lang w:val="ro-RO"/>
        </w:rPr>
      </w:pPr>
      <w:r w:rsidRPr="00021B73">
        <w:rPr>
          <w:lang w:val="ro-RO"/>
        </w:rPr>
        <w:t xml:space="preserve">Fig. 2.  </w:t>
      </w:r>
      <w:r w:rsidR="003C60CC" w:rsidRPr="00021B73">
        <w:rPr>
          <w:lang w:val="ro-RO"/>
        </w:rPr>
        <w:t xml:space="preserve">Puterea semnalului pentru fiecare AP </w:t>
      </w:r>
    </w:p>
    <w:p w:rsidR="009377FD" w:rsidRPr="00021B73" w:rsidRDefault="003C60CC" w:rsidP="002A0F76">
      <w:pPr>
        <w:pStyle w:val="Tfiguretitle"/>
        <w:rPr>
          <w:lang w:val="ro-RO"/>
        </w:rPr>
      </w:pPr>
      <w:r w:rsidRPr="00021B73">
        <w:rPr>
          <w:lang w:val="ro-RO"/>
        </w:rPr>
        <w:t>în funcție de poziție</w:t>
      </w:r>
      <w:r w:rsidR="001C5E6A" w:rsidRPr="00021B73">
        <w:rPr>
          <w:lang w:val="ro-RO"/>
        </w:rPr>
        <w:t>,</w:t>
      </w:r>
      <w:r w:rsidRPr="00021B73">
        <w:rPr>
          <w:lang w:val="ro-RO"/>
        </w:rPr>
        <w:t xml:space="preserve"> mergând pe cea mai lungă linie dreaptă a încăperii</w:t>
      </w:r>
      <w:r w:rsidR="008071C2" w:rsidRPr="00021B73">
        <w:rPr>
          <w:lang w:val="ro-RO"/>
        </w:rPr>
        <w:t>.</w:t>
      </w:r>
    </w:p>
    <w:p w:rsidR="009377FD" w:rsidRPr="00021B73" w:rsidRDefault="009377FD" w:rsidP="00D53837">
      <w:pPr>
        <w:pStyle w:val="Tbasetext"/>
        <w:ind w:firstLine="720"/>
        <w:rPr>
          <w:lang w:val="ro-RO"/>
        </w:rPr>
      </w:pPr>
    </w:p>
    <w:p w:rsidR="001C5E6A" w:rsidRPr="00021B73" w:rsidRDefault="001C5E6A" w:rsidP="00D53837">
      <w:pPr>
        <w:pStyle w:val="Tbasetext"/>
        <w:ind w:firstLine="720"/>
        <w:rPr>
          <w:lang w:val="ro-RO"/>
        </w:rPr>
      </w:pPr>
    </w:p>
    <w:p w:rsidR="004F0493" w:rsidRPr="00021B73" w:rsidRDefault="00212C46" w:rsidP="004F0493">
      <w:pPr>
        <w:pStyle w:val="Tbasetext"/>
        <w:ind w:firstLine="720"/>
        <w:jc w:val="center"/>
        <w:rPr>
          <w:lang w:val="ro-RO"/>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023CE0" w:rsidRPr="00021B73" w:rsidRDefault="004F0493" w:rsidP="00023CE0">
      <w:pPr>
        <w:pStyle w:val="Tfiguretitle"/>
        <w:rPr>
          <w:lang w:val="ro-RO"/>
        </w:rPr>
      </w:pPr>
      <w:r w:rsidRPr="00021B73">
        <w:rPr>
          <w:lang w:val="ro-RO"/>
        </w:rPr>
        <w:t xml:space="preserve">Fig. 3.  Harta </w:t>
      </w:r>
      <w:r w:rsidR="00023CE0" w:rsidRPr="00021B73">
        <w:rPr>
          <w:lang w:val="ro-RO"/>
        </w:rPr>
        <w:t>semnalului pentru un singur AP.</w:t>
      </w:r>
    </w:p>
    <w:p w:rsidR="009377FD" w:rsidRPr="00021B73" w:rsidRDefault="009377FD" w:rsidP="00D53837">
      <w:pPr>
        <w:pStyle w:val="Tbasetext"/>
        <w:ind w:firstLine="720"/>
        <w:rPr>
          <w:lang w:val="ro-RO"/>
        </w:rPr>
      </w:pPr>
    </w:p>
    <w:p w:rsidR="009377FD" w:rsidRPr="00021B73" w:rsidRDefault="00B91D99" w:rsidP="00D53837">
      <w:pPr>
        <w:pStyle w:val="Tbasetext"/>
        <w:ind w:firstLine="720"/>
        <w:rPr>
          <w:lang w:val="ro-RO"/>
        </w:rPr>
      </w:pPr>
      <w:r w:rsidRPr="00021B73">
        <w:rPr>
          <w:lang w:val="ro-RO"/>
        </w:rPr>
        <w:t>În figura 3 se observă că poziția fizică a unui AP, în caz că nu este cunoscută, poate fi aflată anal</w:t>
      </w:r>
      <w:r w:rsidR="0050449C" w:rsidRPr="00021B73">
        <w:rPr>
          <w:lang w:val="ro-RO"/>
        </w:rPr>
        <w:t>i</w:t>
      </w:r>
      <w:r w:rsidRPr="00021B73">
        <w:rPr>
          <w:lang w:val="ro-RO"/>
        </w:rPr>
        <w:t>zând harta semnalului generat de el și interpolând printre valori.</w:t>
      </w:r>
    </w:p>
    <w:p w:rsidR="009377FD" w:rsidRPr="00021B73" w:rsidRDefault="009377FD" w:rsidP="00D53837">
      <w:pPr>
        <w:pStyle w:val="Tbasetext"/>
        <w:ind w:firstLine="720"/>
        <w:rPr>
          <w:lang w:val="ro-RO"/>
        </w:rPr>
      </w:pPr>
    </w:p>
    <w:p w:rsidR="00693C55" w:rsidRPr="00021B73" w:rsidRDefault="00693C55" w:rsidP="00693C55">
      <w:pPr>
        <w:pStyle w:val="Theading1"/>
        <w:rPr>
          <w:sz w:val="26"/>
          <w:szCs w:val="26"/>
          <w:lang w:val="ro-RO"/>
        </w:rPr>
        <w:sectPr w:rsidR="00693C55" w:rsidRPr="00021B73" w:rsidSect="00A816C9">
          <w:pgSz w:w="11907" w:h="16840" w:code="9"/>
          <w:pgMar w:top="1440" w:right="1440" w:bottom="1440" w:left="1440" w:header="1699" w:footer="1699" w:gutter="0"/>
          <w:cols w:space="720"/>
          <w:titlePg/>
          <w:docGrid w:linePitch="360"/>
        </w:sectPr>
      </w:pPr>
      <w:bookmarkStart w:id="18" w:name="_Toc387496032"/>
      <w:bookmarkStart w:id="19" w:name="_Toc387496177"/>
      <w:bookmarkStart w:id="20" w:name="_Toc387497028"/>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5"/>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C958E0">
        <w:rPr>
          <w:b w:val="0"/>
          <w:sz w:val="22"/>
          <w:szCs w:val="22"/>
          <w:lang w:val="ro-RO"/>
        </w:rPr>
        <w:t xml:space="preserve"> După cum se menționeaza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8133D2" w:rsidP="00C958E0">
      <w:pPr>
        <w:pStyle w:val="Theading1"/>
        <w:spacing w:before="0" w:after="0"/>
        <w:jc w:val="both"/>
        <w:rPr>
          <w:sz w:val="22"/>
          <w:szCs w:val="22"/>
          <w:lang w:val="ro-RO"/>
        </w:rPr>
      </w:pPr>
      <w:r w:rsidRPr="008133D2">
        <w:rPr>
          <w:sz w:val="22"/>
          <w:szCs w:val="22"/>
          <w:lang w:val="ro-RO"/>
        </w:rPr>
        <w:t>3.5.1.2</w:t>
      </w:r>
      <w:r>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8133D2" w:rsidRDefault="008133D2" w:rsidP="00C958E0">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700373" w:rsidRDefault="00700373" w:rsidP="00C958E0">
      <w:pPr>
        <w:pStyle w:val="Theading1"/>
        <w:spacing w:before="0" w:after="0"/>
        <w:jc w:val="both"/>
        <w:rPr>
          <w:b w:val="0"/>
          <w:sz w:val="22"/>
          <w:szCs w:val="22"/>
          <w:lang w:val="ro-RO"/>
        </w:rPr>
      </w:pPr>
    </w:p>
    <w:p w:rsidR="008064A4" w:rsidRDefault="008064A4" w:rsidP="00C958E0">
      <w:pPr>
        <w:pStyle w:val="Theading1"/>
        <w:spacing w:before="0" w:after="0"/>
        <w:jc w:val="both"/>
        <w:rPr>
          <w:b w:val="0"/>
          <w:sz w:val="22"/>
          <w:szCs w:val="22"/>
          <w:lang w:val="ro-RO"/>
        </w:rPr>
      </w:pPr>
      <m:oMathPara>
        <m:oMath>
          <m:r>
            <w:rPr>
              <w:rFonts w:ascii="Cambria Math" w:hAnsi="Cambria Math"/>
              <w:sz w:val="22"/>
              <w:szCs w:val="22"/>
              <w:lang w:val="ro-RO"/>
            </w:rPr>
            <m:t>d</m:t>
          </m:r>
          <m:d>
            <m:dPr>
              <m:ctrlPr>
                <w:rPr>
                  <w:rFonts w:ascii="Cambria Math" w:hAnsi="Cambria Math"/>
                  <w:b w:val="0"/>
                  <w:i/>
                  <w:sz w:val="22"/>
                  <w:szCs w:val="22"/>
                  <w:lang w:val="ro-RO"/>
                </w:rPr>
              </m:ctrlPr>
            </m:dPr>
            <m:e>
              <m:r>
                <w:rPr>
                  <w:rFonts w:ascii="Cambria Math" w:hAnsi="Cambria Math"/>
                  <w:sz w:val="22"/>
                  <w:szCs w:val="22"/>
                  <w:lang w:val="ro-RO"/>
                </w:rPr>
                <m:t>x, y</m:t>
              </m:r>
            </m:e>
          </m:d>
          <m: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1</m:t>
                      </m:r>
                    </m:sub>
                  </m:sSub>
                  <m:r>
                    <w:rPr>
                      <w:rFonts w:ascii="Cambria Math" w:hAnsi="Cambria Math"/>
                      <w:sz w:val="22"/>
                      <w:szCs w:val="22"/>
                      <w:lang w:val="ro-RO"/>
                    </w:rPr>
                    <m:t>)</m:t>
                  </m:r>
                </m:e>
                <m:sup>
                  <m:r>
                    <w:rPr>
                      <w:rFonts w:ascii="Cambria Math" w:hAnsi="Cambria Math"/>
                      <w:sz w:val="22"/>
                      <w:szCs w:val="22"/>
                      <w:lang w:val="ro-RO"/>
                    </w:rPr>
                    <m:t>2</m:t>
                  </m:r>
                </m:sup>
              </m:sSup>
              <m:r>
                <w:rPr>
                  <w:rFonts w:ascii="Cambria Math" w:hAnsi="Cambria Math"/>
                  <w:sz w:val="22"/>
                  <w:szCs w:val="22"/>
                  <w:lang w:val="ro-RO"/>
                </w:rPr>
                <m:t>+</m:t>
              </m:r>
              <m:sSup>
                <m:sSupPr>
                  <m:ctrlPr>
                    <w:rPr>
                      <w:rFonts w:ascii="Cambria Math" w:hAnsi="Cambria Math"/>
                      <w:b w:val="0"/>
                      <w:i/>
                      <w:sz w:val="22"/>
                      <w:szCs w:val="22"/>
                      <w:lang w:val="ro-RO"/>
                    </w:rPr>
                  </m:ctrlPr>
                </m:sSupPr>
                <m:e>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2</m:t>
                      </m:r>
                    </m:sub>
                  </m:sSub>
                  <m:r>
                    <w:rPr>
                      <w:rFonts w:ascii="Cambria Math" w:hAnsi="Cambria Math"/>
                      <w:sz w:val="22"/>
                      <w:szCs w:val="22"/>
                      <w:lang w:val="ro-RO"/>
                    </w:rPr>
                    <m:t>)</m:t>
                  </m:r>
                </m:e>
                <m:sup>
                  <m:r>
                    <w:rPr>
                      <w:rFonts w:ascii="Cambria Math" w:hAnsi="Cambria Math"/>
                      <w:sz w:val="22"/>
                      <w:szCs w:val="22"/>
                      <w:lang w:val="ro-RO"/>
                    </w:rPr>
                    <m:t>2</m:t>
                  </m:r>
                </m:sup>
              </m:sSup>
            </m:e>
          </m:rad>
        </m:oMath>
      </m:oMathPara>
    </w:p>
    <w:p w:rsidR="008064A4" w:rsidRDefault="008064A4" w:rsidP="00C958E0">
      <w:pPr>
        <w:pStyle w:val="Theading1"/>
        <w:spacing w:before="0" w:after="0"/>
        <w:jc w:val="both"/>
        <w:rPr>
          <w:b w:val="0"/>
          <w:sz w:val="22"/>
          <w:szCs w:val="22"/>
          <w:lang w:val="ro-RO"/>
        </w:rPr>
      </w:pPr>
    </w:p>
    <w:p w:rsidR="00700373" w:rsidRDefault="00700373" w:rsidP="00C958E0">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7613E4" w:rsidRDefault="007613E4" w:rsidP="00C958E0">
      <w:pPr>
        <w:pStyle w:val="Theading1"/>
        <w:spacing w:before="0" w:after="0"/>
        <w:jc w:val="both"/>
        <w:rPr>
          <w:b w:val="0"/>
          <w:sz w:val="22"/>
          <w:szCs w:val="22"/>
          <w:lang w:val="ro-RO"/>
        </w:rPr>
      </w:pPr>
    </w:p>
    <w:p w:rsidR="00375ABF" w:rsidRDefault="00375ABF" w:rsidP="00375ABF">
      <w:pPr>
        <w:pStyle w:val="Theading1"/>
        <w:spacing w:before="0" w:after="0"/>
        <w:jc w:val="both"/>
        <w:rPr>
          <w:b w:val="0"/>
          <w:sz w:val="22"/>
          <w:szCs w:val="22"/>
          <w:lang w:val="ro-RO"/>
        </w:rPr>
      </w:pPr>
      <w:r>
        <w:rPr>
          <w:b w:val="0"/>
          <w:sz w:val="22"/>
          <w:szCs w:val="22"/>
          <w:lang w:val="ro-RO"/>
        </w:rPr>
        <w:tab/>
      </w:r>
      <m:r>
        <w:rPr>
          <w:rFonts w:ascii="Cambria Math" w:hAnsi="Cambria Math"/>
          <w:sz w:val="22"/>
          <w:szCs w:val="22"/>
          <w:lang w:val="ro-RO"/>
        </w:rPr>
        <w:br/>
      </m:r>
      <m:oMathPara>
        <m:oMath>
          <m:r>
            <w:rPr>
              <w:rFonts w:ascii="Cambria Math" w:hAnsi="Cambria Math"/>
              <w:sz w:val="22"/>
              <w:szCs w:val="22"/>
              <w:lang w:val="ro-RO"/>
            </w:rPr>
            <m:t>d</m:t>
          </m:r>
          <m:d>
            <m:dPr>
              <m:ctrlPr>
                <w:rPr>
                  <w:rFonts w:ascii="Cambria Math" w:hAnsi="Cambria Math"/>
                  <w:b w:val="0"/>
                  <w:i/>
                  <w:sz w:val="22"/>
                  <w:szCs w:val="22"/>
                  <w:lang w:val="ro-RO"/>
                </w:rPr>
              </m:ctrlPr>
            </m:dPr>
            <m:e>
              <m:r>
                <w:rPr>
                  <w:rFonts w:ascii="Cambria Math" w:hAnsi="Cambria Math"/>
                  <w:sz w:val="22"/>
                  <w:szCs w:val="22"/>
                  <w:lang w:val="ro-RO"/>
                </w:rPr>
                <m:t>x, y</m:t>
              </m:r>
            </m:e>
          </m:d>
          <m: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1</m:t>
                      </m:r>
                    </m:sub>
                  </m:sSub>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1</m:t>
                      </m:r>
                    </m:sub>
                  </m:sSub>
                  <m:r>
                    <w:rPr>
                      <w:rFonts w:ascii="Cambria Math" w:hAnsi="Cambria Math"/>
                      <w:sz w:val="22"/>
                      <w:szCs w:val="22"/>
                      <w:lang w:val="ro-RO"/>
                    </w:rPr>
                    <m:t>)</m:t>
                  </m:r>
                </m:e>
                <m:sup>
                  <m:r>
                    <w:rPr>
                      <w:rFonts w:ascii="Cambria Math" w:hAnsi="Cambria Math"/>
                      <w:sz w:val="22"/>
                      <w:szCs w:val="22"/>
                      <w:lang w:val="ro-RO"/>
                    </w:rPr>
                    <m:t>2</m:t>
                  </m:r>
                </m:sup>
              </m:sSup>
              <m:r>
                <w:rPr>
                  <w:rFonts w:ascii="Cambria Math" w:hAnsi="Cambria Math"/>
                  <w:sz w:val="22"/>
                  <w:szCs w:val="22"/>
                  <w:lang w:val="ro-RO"/>
                </w:rPr>
                <m:t>+</m:t>
              </m:r>
              <m:sSup>
                <m:sSupPr>
                  <m:ctrlPr>
                    <w:rPr>
                      <w:rFonts w:ascii="Cambria Math" w:hAnsi="Cambria Math"/>
                      <w:b w:val="0"/>
                      <w:i/>
                      <w:sz w:val="22"/>
                      <w:szCs w:val="22"/>
                      <w:lang w:val="ro-RO"/>
                    </w:rPr>
                  </m:ctrlPr>
                </m:sSupPr>
                <m:e>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2</m:t>
                      </m:r>
                    </m:sub>
                  </m:sSub>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2</m:t>
                      </m:r>
                    </m:sub>
                  </m:sSub>
                  <m:r>
                    <w:rPr>
                      <w:rFonts w:ascii="Cambria Math" w:hAnsi="Cambria Math"/>
                      <w:sz w:val="22"/>
                      <w:szCs w:val="22"/>
                      <w:lang w:val="ro-RO"/>
                    </w:rPr>
                    <m:t>)</m:t>
                  </m:r>
                </m:e>
                <m:sup>
                  <m:r>
                    <w:rPr>
                      <w:rFonts w:ascii="Cambria Math" w:hAnsi="Cambria Math"/>
                      <w:sz w:val="22"/>
                      <w:szCs w:val="22"/>
                      <w:lang w:val="ro-RO"/>
                    </w:rPr>
                    <m:t>2</m:t>
                  </m:r>
                </m:sup>
              </m:sSup>
              <m:r>
                <w:rPr>
                  <w:rFonts w:ascii="Cambria Math" w:hAnsi="Cambria Math"/>
                  <w:sz w:val="22"/>
                  <w:szCs w:val="22"/>
                  <w:lang w:val="ro-RO"/>
                </w:rPr>
                <m:t xml:space="preserve">+ …+ </m:t>
              </m:r>
              <m:sSup>
                <m:sSupPr>
                  <m:ctrlPr>
                    <w:rPr>
                      <w:rFonts w:ascii="Cambria Math" w:hAnsi="Cambria Math"/>
                      <w:b w:val="0"/>
                      <w:i/>
                      <w:sz w:val="22"/>
                      <w:szCs w:val="22"/>
                      <w:lang w:val="ro-RO"/>
                    </w:rPr>
                  </m:ctrlPr>
                </m:sSupPr>
                <m:e>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x</m:t>
                      </m:r>
                    </m:e>
                    <m:sub>
                      <m:r>
                        <w:rPr>
                          <w:rFonts w:ascii="Cambria Math" w:hAnsi="Cambria Math"/>
                          <w:sz w:val="22"/>
                          <w:szCs w:val="22"/>
                          <w:lang w:val="ro-RO"/>
                        </w:rPr>
                        <m:t>n</m:t>
                      </m:r>
                    </m:sub>
                  </m:sSub>
                  <m:r>
                    <w:rPr>
                      <w:rFonts w:ascii="Cambria Math" w:hAnsi="Cambria Math"/>
                      <w:sz w:val="22"/>
                      <w:szCs w:val="22"/>
                      <w:lang w:val="ro-RO"/>
                    </w:rPr>
                    <m:t>-</m:t>
                  </m:r>
                  <m:sSub>
                    <m:sSubPr>
                      <m:ctrlPr>
                        <w:rPr>
                          <w:rFonts w:ascii="Cambria Math" w:hAnsi="Cambria Math"/>
                          <w:b w:val="0"/>
                          <w:i/>
                          <w:sz w:val="22"/>
                          <w:szCs w:val="22"/>
                          <w:lang w:val="ro-RO"/>
                        </w:rPr>
                      </m:ctrlPr>
                    </m:sSubPr>
                    <m:e>
                      <m:r>
                        <w:rPr>
                          <w:rFonts w:ascii="Cambria Math" w:hAnsi="Cambria Math"/>
                          <w:sz w:val="22"/>
                          <w:szCs w:val="22"/>
                          <w:lang w:val="ro-RO"/>
                        </w:rPr>
                        <m:t>y</m:t>
                      </m:r>
                    </m:e>
                    <m:sub>
                      <m:r>
                        <w:rPr>
                          <w:rFonts w:ascii="Cambria Math" w:hAnsi="Cambria Math"/>
                          <w:sz w:val="22"/>
                          <w:szCs w:val="22"/>
                          <w:lang w:val="ro-RO"/>
                        </w:rPr>
                        <m:t>n</m:t>
                      </m:r>
                    </m:sub>
                  </m:sSub>
                  <m:r>
                    <w:rPr>
                      <w:rFonts w:ascii="Cambria Math" w:hAnsi="Cambria Math"/>
                      <w:sz w:val="22"/>
                      <w:szCs w:val="22"/>
                      <w:lang w:val="ro-RO"/>
                    </w:rPr>
                    <m:t>)</m:t>
                  </m:r>
                </m:e>
                <m:sup>
                  <m: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54712" w:rsidRDefault="00754712" w:rsidP="00F7674F">
      <w:pPr>
        <w:pStyle w:val="Theading1"/>
        <w:spacing w:before="0" w:after="0"/>
        <w:jc w:val="both"/>
        <w:rPr>
          <w:rFonts w:ascii="Courier New" w:hAnsi="Courier New" w:cs="Courier New"/>
          <w:b w:val="0"/>
          <w:sz w:val="22"/>
          <w:szCs w:val="22"/>
          <w:lang w:val="ro-RO"/>
        </w:rPr>
      </w:pPr>
    </w:p>
    <w:p w:rsidR="003E6C0A" w:rsidRDefault="003E6C0A" w:rsidP="00F7674F">
      <w:pPr>
        <w:pStyle w:val="Theading1"/>
        <w:spacing w:before="0" w:after="0"/>
        <w:jc w:val="both"/>
        <w:rPr>
          <w:rFonts w:ascii="Courier New" w:hAnsi="Courier New" w:cs="Courier New"/>
          <w:b w:val="0"/>
          <w:sz w:val="22"/>
          <w:szCs w:val="22"/>
          <w:lang w:val="ro-RO"/>
        </w:rPr>
      </w:pPr>
    </w:p>
    <w:p w:rsidR="003E6C0A" w:rsidRPr="00FF45A7" w:rsidRDefault="003E6C0A" w:rsidP="00F7674F">
      <w:pPr>
        <w:pStyle w:val="Theading1"/>
        <w:spacing w:before="0" w:after="0"/>
        <w:jc w:val="both"/>
        <w:rPr>
          <w:rFonts w:ascii="Courier New" w:hAnsi="Courier New" w:cs="Courier New"/>
          <w:sz w:val="22"/>
          <w:szCs w:val="22"/>
          <w:lang w:val="ro-RO"/>
        </w:rPr>
      </w:pPr>
      <w:r w:rsidRPr="00FF45A7">
        <w:rPr>
          <w:rFonts w:ascii="Courier New" w:hAnsi="Courier New" w:cs="Courier New"/>
          <w:sz w:val="22"/>
          <w:szCs w:val="22"/>
          <w:lang w:val="ro-RO"/>
        </w:rPr>
        <w:lastRenderedPageBreak/>
        <w:t>distance = 0</w:t>
      </w:r>
    </w:p>
    <w:p w:rsidR="003E6C0A" w:rsidRPr="00FF45A7" w:rsidRDefault="003E6C0A" w:rsidP="00F7674F">
      <w:pPr>
        <w:pStyle w:val="Theading1"/>
        <w:spacing w:before="0" w:after="0"/>
        <w:jc w:val="both"/>
        <w:rPr>
          <w:rFonts w:ascii="Courier New" w:hAnsi="Courier New" w:cs="Courier New"/>
          <w:sz w:val="22"/>
          <w:szCs w:val="22"/>
          <w:lang w:val="ro-RO"/>
        </w:rPr>
      </w:pPr>
      <w:r w:rsidRPr="00FF45A7">
        <w:rPr>
          <w:rFonts w:ascii="Courier New" w:hAnsi="Courier New" w:cs="Courier New"/>
          <w:sz w:val="22"/>
          <w:szCs w:val="22"/>
          <w:lang w:val="ro-RO"/>
        </w:rPr>
        <w:t>for Entry&lt;String, Integer&gt; in onlineData:</w:t>
      </w:r>
    </w:p>
    <w:p w:rsidR="003E6C0A" w:rsidRPr="00FF45A7" w:rsidRDefault="003E6C0A" w:rsidP="00F7674F">
      <w:pPr>
        <w:pStyle w:val="Theading1"/>
        <w:spacing w:before="0" w:after="0"/>
        <w:jc w:val="both"/>
        <w:rPr>
          <w:rFonts w:ascii="Courier New" w:hAnsi="Courier New" w:cs="Courier New"/>
          <w:sz w:val="22"/>
          <w:szCs w:val="22"/>
          <w:lang w:val="ro-RO"/>
        </w:rPr>
      </w:pPr>
      <w:r w:rsidRPr="00FF45A7">
        <w:rPr>
          <w:rFonts w:ascii="Courier New" w:hAnsi="Courier New" w:cs="Courier New"/>
          <w:sz w:val="22"/>
          <w:szCs w:val="22"/>
          <w:lang w:val="ro-RO"/>
        </w:rPr>
        <w:tab/>
        <w:t>for Entry&lt;String, Double&gt; in offlineData:</w:t>
      </w:r>
    </w:p>
    <w:p w:rsidR="003E6C0A" w:rsidRPr="00FF45A7" w:rsidRDefault="003E6C0A" w:rsidP="00F7674F">
      <w:pPr>
        <w:pStyle w:val="Theading1"/>
        <w:spacing w:before="0" w:after="0"/>
        <w:jc w:val="both"/>
        <w:rPr>
          <w:rFonts w:ascii="Courier New" w:hAnsi="Courier New" w:cs="Courier New"/>
          <w:sz w:val="22"/>
          <w:szCs w:val="22"/>
          <w:lang w:val="ro-RO"/>
        </w:rPr>
      </w:pPr>
      <w:r w:rsidRPr="00FF45A7">
        <w:rPr>
          <w:rFonts w:ascii="Courier New" w:hAnsi="Courier New" w:cs="Courier New"/>
          <w:sz w:val="22"/>
          <w:szCs w:val="22"/>
          <w:lang w:val="ro-RO"/>
        </w:rPr>
        <w:tab/>
      </w:r>
      <w:r w:rsidRPr="00FF45A7">
        <w:rPr>
          <w:rFonts w:ascii="Courier New" w:hAnsi="Courier New" w:cs="Courier New"/>
          <w:sz w:val="22"/>
          <w:szCs w:val="22"/>
          <w:lang w:val="ro-RO"/>
        </w:rPr>
        <w:tab/>
        <w:t>if  key1 equals key2:</w:t>
      </w:r>
    </w:p>
    <w:p w:rsidR="003E6C0A" w:rsidRPr="00FF45A7" w:rsidRDefault="003E6C0A" w:rsidP="00F7674F">
      <w:pPr>
        <w:pStyle w:val="Theading1"/>
        <w:spacing w:before="0" w:after="0"/>
        <w:jc w:val="both"/>
        <w:rPr>
          <w:rFonts w:ascii="Courier New" w:hAnsi="Courier New" w:cs="Courier New"/>
          <w:sz w:val="22"/>
          <w:szCs w:val="22"/>
          <w:lang w:val="ro-RO"/>
        </w:rPr>
      </w:pPr>
      <w:r w:rsidRPr="00FF45A7">
        <w:rPr>
          <w:rFonts w:ascii="Courier New" w:hAnsi="Courier New" w:cs="Courier New"/>
          <w:sz w:val="22"/>
          <w:szCs w:val="22"/>
          <w:lang w:val="ro-RO"/>
        </w:rPr>
        <w:tab/>
      </w:r>
      <w:r w:rsidRPr="00FF45A7">
        <w:rPr>
          <w:rFonts w:ascii="Courier New" w:hAnsi="Courier New" w:cs="Courier New"/>
          <w:sz w:val="22"/>
          <w:szCs w:val="22"/>
          <w:lang w:val="ro-RO"/>
        </w:rPr>
        <w:tab/>
      </w:r>
      <w:r w:rsidRPr="00FF45A7">
        <w:rPr>
          <w:rFonts w:ascii="Courier New" w:hAnsi="Courier New" w:cs="Courier New"/>
          <w:sz w:val="22"/>
          <w:szCs w:val="22"/>
          <w:lang w:val="ro-RO"/>
        </w:rPr>
        <w:tab/>
        <w:t>distance += (value1 – value2)^2</w:t>
      </w:r>
    </w:p>
    <w:p w:rsidR="003E6C0A" w:rsidRPr="00FF45A7" w:rsidRDefault="003E6C0A" w:rsidP="00F7674F">
      <w:pPr>
        <w:pStyle w:val="Theading1"/>
        <w:spacing w:before="0" w:after="0"/>
        <w:jc w:val="both"/>
        <w:rPr>
          <w:rFonts w:ascii="Courier New" w:hAnsi="Courier New" w:cs="Courier New"/>
          <w:sz w:val="22"/>
          <w:szCs w:val="22"/>
          <w:lang w:val="ro-RO"/>
        </w:rPr>
      </w:pPr>
      <w:r w:rsidRPr="00FF45A7">
        <w:rPr>
          <w:rFonts w:ascii="Courier New" w:hAnsi="Courier New" w:cs="Courier New"/>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FF45A7" w:rsidRPr="00FF45A7" w:rsidRDefault="00FF45A7" w:rsidP="00F7674F">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541E2E">
        <w:rPr>
          <w:rFonts w:asciiTheme="minorHAnsi" w:hAnsiTheme="minorHAnsi" w:cstheme="minorHAnsi"/>
          <w:b w:val="0"/>
          <w:sz w:val="22"/>
          <w:szCs w:val="22"/>
          <w:lang w:val="ro-RO"/>
        </w:rPr>
        <w:t>mediate și pot deveni raționale.</w:t>
      </w:r>
      <w:r w:rsidR="001B5CC7">
        <w:rPr>
          <w:rFonts w:asciiTheme="minorHAnsi" w:hAnsiTheme="minorHAnsi" w:cstheme="minorHAnsi"/>
          <w:b w:val="0"/>
          <w:sz w:val="22"/>
          <w:szCs w:val="22"/>
          <w:lang w:val="ro-RO"/>
        </w:rPr>
        <w:t xml:space="preserve"> </w:t>
      </w:r>
    </w:p>
    <w:p w:rsidR="00643F41" w:rsidRPr="00021B73" w:rsidRDefault="00643F41" w:rsidP="00B91D99">
      <w:pPr>
        <w:pStyle w:val="Theading1"/>
        <w:rPr>
          <w:lang w:val="ro-RO"/>
        </w:rPr>
      </w:pPr>
    </w:p>
    <w:p w:rsidR="00A816C9" w:rsidRPr="00021B73" w:rsidRDefault="00A816C9" w:rsidP="00B91D99">
      <w:pPr>
        <w:pStyle w:val="Theading1"/>
        <w:rPr>
          <w:lang w:val="ro-RO"/>
        </w:rPr>
        <w:sectPr w:rsidR="00A816C9" w:rsidRPr="00021B73" w:rsidSect="00A816C9">
          <w:pgSz w:w="11907" w:h="16840" w:code="9"/>
          <w:pgMar w:top="1440" w:right="1440" w:bottom="1440" w:left="1440" w:header="1699" w:footer="1699" w:gutter="0"/>
          <w:cols w:space="720"/>
          <w:titlePg/>
          <w:docGrid w:linePitch="360"/>
        </w:sectPr>
      </w:pPr>
    </w:p>
    <w:p w:rsidR="008B56B0" w:rsidRPr="00021B73" w:rsidRDefault="0003539A" w:rsidP="00B91D99">
      <w:pPr>
        <w:pStyle w:val="Theading1"/>
        <w:rPr>
          <w:lang w:val="ro-RO"/>
        </w:rPr>
      </w:pPr>
      <w:r w:rsidRPr="00021B73">
        <w:rPr>
          <w:lang w:val="ro-RO"/>
        </w:rPr>
        <w:lastRenderedPageBreak/>
        <w:t>4</w:t>
      </w:r>
      <w:r w:rsidR="00F53008" w:rsidRPr="00021B73">
        <w:rPr>
          <w:lang w:val="ro-RO"/>
        </w:rPr>
        <w:t xml:space="preserve">. </w:t>
      </w:r>
      <w:r w:rsidR="009D6D96" w:rsidRPr="00021B73">
        <w:rPr>
          <w:lang w:val="ro-RO"/>
        </w:rPr>
        <w:t>Conclu</w:t>
      </w:r>
      <w:r w:rsidRPr="00021B73">
        <w:rPr>
          <w:lang w:val="ro-RO"/>
        </w:rPr>
        <w:t>zii</w:t>
      </w:r>
      <w:bookmarkEnd w:id="18"/>
      <w:bookmarkEnd w:id="19"/>
      <w:bookmarkEnd w:id="20"/>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381B82" w:rsidRPr="00021B73" w:rsidRDefault="00381B82" w:rsidP="00F36F2E">
      <w:pPr>
        <w:pStyle w:val="Tbibliographytitle"/>
        <w:rPr>
          <w:lang w:val="ro-RO"/>
        </w:rPr>
      </w:pPr>
      <w:r w:rsidRPr="00021B73">
        <w:rPr>
          <w:lang w:val="ro-RO"/>
        </w:rPr>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Pr="00021B73" w:rsidRDefault="00B11426" w:rsidP="00073F2C">
      <w:pPr>
        <w:pStyle w:val="Treferences"/>
        <w:rPr>
          <w:lang w:val="ro-RO"/>
        </w:rPr>
      </w:pPr>
      <w:r w:rsidRPr="00021B73">
        <w:rPr>
          <w:lang w:val="ro-RO"/>
        </w:rPr>
        <w:t>[4] Matthew Gast, 802.11 Wireless Networks: The Definitive Guide, Second Edition, 2005</w:t>
      </w:r>
    </w:p>
    <w:sectPr w:rsidR="00B11426"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CD2" w:rsidRDefault="00342CD2">
      <w:r>
        <w:separator/>
      </w:r>
    </w:p>
  </w:endnote>
  <w:endnote w:type="continuationSeparator" w:id="0">
    <w:p w:rsidR="00342CD2" w:rsidRDefault="00342C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39A" w:rsidRDefault="00035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CD2" w:rsidRDefault="00342CD2">
      <w:r>
        <w:separator/>
      </w:r>
    </w:p>
  </w:footnote>
  <w:footnote w:type="continuationSeparator" w:id="0">
    <w:p w:rsidR="00342CD2" w:rsidRDefault="00342CD2">
      <w:r>
        <w:continuationSeparator/>
      </w:r>
    </w:p>
  </w:footnote>
  <w:footnote w:id="1">
    <w:p w:rsidR="00E73B8D" w:rsidRPr="00E73B8D" w:rsidRDefault="00E73B8D">
      <w:pPr>
        <w:pStyle w:val="FootnoteText"/>
        <w:rPr>
          <w:lang w:val="ro-RO"/>
        </w:rPr>
      </w:pPr>
      <w:r>
        <w:rPr>
          <w:rStyle w:val="FootnoteReference"/>
        </w:rPr>
        <w:footnoteRef/>
      </w:r>
      <w:r>
        <w:t xml:space="preserve"> </w:t>
      </w:r>
      <w:r w:rsidRPr="00E73B8D">
        <w:t>http://www.radiotap.org/defined-fields</w:t>
      </w:r>
    </w:p>
  </w:footnote>
  <w:footnote w:id="2">
    <w:p w:rsidR="002F1A02" w:rsidRPr="002F1A02" w:rsidRDefault="002F1A02">
      <w:pPr>
        <w:pStyle w:val="FootnoteText"/>
        <w:rPr>
          <w:lang w:val="ro-RO"/>
        </w:rPr>
      </w:pPr>
      <w:r>
        <w:rPr>
          <w:rStyle w:val="FootnoteReference"/>
        </w:rPr>
        <w:footnoteRef/>
      </w:r>
      <w:r>
        <w:t xml:space="preserve"> </w:t>
      </w:r>
      <w:r w:rsidRPr="002F1A02">
        <w:t>http://developer.android.com/reference/android/net/wifi/WifiManager.html</w:t>
      </w:r>
    </w:p>
  </w:footnote>
  <w:footnote w:id="3">
    <w:p w:rsidR="001D7BC2" w:rsidRPr="001D7BC2" w:rsidRDefault="001D7BC2">
      <w:pPr>
        <w:pStyle w:val="FootnoteText"/>
        <w:rPr>
          <w:lang w:val="ro-RO"/>
        </w:rPr>
      </w:pPr>
      <w:r>
        <w:rPr>
          <w:rStyle w:val="FootnoteReference"/>
        </w:rPr>
        <w:footnoteRef/>
      </w:r>
      <w:r>
        <w:t xml:space="preserve"> </w:t>
      </w:r>
      <w:r w:rsidRPr="001D7BC2">
        <w:t>http://developer.android.com/reference/android/app/DialogFragment.html</w:t>
      </w:r>
    </w:p>
  </w:footnote>
  <w:footnote w:id="4">
    <w:p w:rsidR="00C75756" w:rsidRPr="00C75756" w:rsidRDefault="00C75756">
      <w:pPr>
        <w:pStyle w:val="FootnoteText"/>
        <w:rPr>
          <w:lang w:val="ro-RO"/>
        </w:rPr>
      </w:pPr>
      <w:r>
        <w:rPr>
          <w:rStyle w:val="FootnoteReference"/>
        </w:rPr>
        <w:footnoteRef/>
      </w:r>
      <w:r>
        <w:t xml:space="preserve"> </w:t>
      </w:r>
      <w:r w:rsidRPr="00C75756">
        <w:t>http://developer.android.com/reference/android/graphics/Bitmap.html</w:t>
      </w:r>
    </w:p>
  </w:footnote>
  <w:footnote w:id="5">
    <w:p w:rsidR="00D22785" w:rsidRPr="00D22785" w:rsidRDefault="00D22785">
      <w:pPr>
        <w:pStyle w:val="FootnoteText"/>
        <w:rPr>
          <w:lang w:val="ro-RO"/>
        </w:rPr>
      </w:pPr>
      <w:r>
        <w:rPr>
          <w:rStyle w:val="FootnoteReference"/>
        </w:rPr>
        <w:footnoteRef/>
      </w:r>
      <w:r>
        <w:t xml:space="preserve"> </w:t>
      </w:r>
      <w:r w:rsidRPr="00D22785">
        <w:t>http://developer.android.com/reference/android/util/JsonReader.html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Pr="008B3A61" w:rsidRDefault="00B65FAD" w:rsidP="00A23A7A">
    <w:pPr>
      <w:pStyle w:val="Theader"/>
      <w:pBdr>
        <w:bottom w:val="single" w:sz="4" w:space="1" w:color="auto"/>
      </w:pBdr>
      <w:spacing w:before="0" w:after="0"/>
      <w:rPr>
        <w:b w:val="0"/>
        <w:sz w:val="20"/>
      </w:rPr>
    </w:pPr>
    <w:r>
      <w:rPr>
        <w:b w:val="0"/>
        <w:caps w:val="0"/>
        <w:sz w:val="20"/>
      </w:rPr>
      <w:t>ADRIAN DUMITRU NICOLAU</w:t>
    </w:r>
  </w:p>
  <w:p w:rsidR="00A23A7A" w:rsidRPr="008B3A61" w:rsidRDefault="00A23A7A"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61" w:rsidRPr="008B3A61" w:rsidRDefault="00B65FAD" w:rsidP="008B3A61">
    <w:pPr>
      <w:pStyle w:val="Theader"/>
      <w:pBdr>
        <w:bottom w:val="single" w:sz="4" w:space="1" w:color="auto"/>
      </w:pBdr>
      <w:spacing w:before="0" w:after="0"/>
      <w:rPr>
        <w:b w:val="0"/>
        <w:sz w:val="20"/>
      </w:rPr>
    </w:pPr>
    <w:r>
      <w:rPr>
        <w:b w:val="0"/>
        <w:caps w:val="0"/>
        <w:sz w:val="20"/>
      </w:rPr>
      <w:t>Poziționare în interior folosind amprente radio</w:t>
    </w:r>
  </w:p>
  <w:p w:rsidR="008B3A61" w:rsidRPr="008B3A61" w:rsidRDefault="008B3A61"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7">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8">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9"/>
  </w:num>
  <w:num w:numId="2">
    <w:abstractNumId w:val="1"/>
  </w:num>
  <w:num w:numId="3">
    <w:abstractNumId w:val="6"/>
  </w:num>
  <w:num w:numId="4">
    <w:abstractNumId w:val="7"/>
  </w:num>
  <w:num w:numId="5">
    <w:abstractNumId w:val="3"/>
  </w:num>
  <w:num w:numId="6">
    <w:abstractNumId w:val="11"/>
  </w:num>
  <w:num w:numId="7">
    <w:abstractNumId w:val="8"/>
  </w:num>
  <w:num w:numId="8">
    <w:abstractNumId w:val="2"/>
  </w:num>
  <w:num w:numId="9">
    <w:abstractNumId w:val="4"/>
  </w:num>
  <w:num w:numId="10">
    <w:abstractNumId w:val="5"/>
  </w:num>
  <w:num w:numId="11">
    <w:abstractNumId w:val="1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4F52AB"/>
    <w:rsid w:val="00000F23"/>
    <w:rsid w:val="00001582"/>
    <w:rsid w:val="00011901"/>
    <w:rsid w:val="00014353"/>
    <w:rsid w:val="00021B73"/>
    <w:rsid w:val="00023CE0"/>
    <w:rsid w:val="00026DB4"/>
    <w:rsid w:val="0003539A"/>
    <w:rsid w:val="000444AC"/>
    <w:rsid w:val="00051E1F"/>
    <w:rsid w:val="000662CC"/>
    <w:rsid w:val="00073F2C"/>
    <w:rsid w:val="00082FD1"/>
    <w:rsid w:val="00092207"/>
    <w:rsid w:val="00093F2F"/>
    <w:rsid w:val="000A5C07"/>
    <w:rsid w:val="000A7593"/>
    <w:rsid w:val="000B6469"/>
    <w:rsid w:val="000E0F7A"/>
    <w:rsid w:val="000E19D2"/>
    <w:rsid w:val="000E7867"/>
    <w:rsid w:val="000F26BF"/>
    <w:rsid w:val="000F5F44"/>
    <w:rsid w:val="001029D2"/>
    <w:rsid w:val="00111777"/>
    <w:rsid w:val="00113B61"/>
    <w:rsid w:val="0012225E"/>
    <w:rsid w:val="00133EF5"/>
    <w:rsid w:val="0015072B"/>
    <w:rsid w:val="0015436C"/>
    <w:rsid w:val="00154414"/>
    <w:rsid w:val="001578C5"/>
    <w:rsid w:val="00165BFB"/>
    <w:rsid w:val="0016651C"/>
    <w:rsid w:val="00176B9A"/>
    <w:rsid w:val="00184FDB"/>
    <w:rsid w:val="00190D91"/>
    <w:rsid w:val="001A3018"/>
    <w:rsid w:val="001A7C6D"/>
    <w:rsid w:val="001B5CC7"/>
    <w:rsid w:val="001C5204"/>
    <w:rsid w:val="001C5E6A"/>
    <w:rsid w:val="001D6051"/>
    <w:rsid w:val="001D7BC2"/>
    <w:rsid w:val="002118C1"/>
    <w:rsid w:val="00212C46"/>
    <w:rsid w:val="00214C4D"/>
    <w:rsid w:val="002214D6"/>
    <w:rsid w:val="002259E9"/>
    <w:rsid w:val="00227DB9"/>
    <w:rsid w:val="002442CF"/>
    <w:rsid w:val="00245FE7"/>
    <w:rsid w:val="002545EA"/>
    <w:rsid w:val="00257E83"/>
    <w:rsid w:val="00262124"/>
    <w:rsid w:val="002657F4"/>
    <w:rsid w:val="002738CD"/>
    <w:rsid w:val="00281135"/>
    <w:rsid w:val="00281629"/>
    <w:rsid w:val="00282545"/>
    <w:rsid w:val="00295EAB"/>
    <w:rsid w:val="002A0F76"/>
    <w:rsid w:val="002B3249"/>
    <w:rsid w:val="002B5335"/>
    <w:rsid w:val="002C117B"/>
    <w:rsid w:val="002C7C6D"/>
    <w:rsid w:val="002D45B9"/>
    <w:rsid w:val="002E1780"/>
    <w:rsid w:val="002F0846"/>
    <w:rsid w:val="002F122F"/>
    <w:rsid w:val="002F1A02"/>
    <w:rsid w:val="002F612B"/>
    <w:rsid w:val="002F73D0"/>
    <w:rsid w:val="0030042B"/>
    <w:rsid w:val="00302909"/>
    <w:rsid w:val="00304CF6"/>
    <w:rsid w:val="00317040"/>
    <w:rsid w:val="003213FC"/>
    <w:rsid w:val="00323022"/>
    <w:rsid w:val="0032650E"/>
    <w:rsid w:val="003265F2"/>
    <w:rsid w:val="00330F5E"/>
    <w:rsid w:val="003343BC"/>
    <w:rsid w:val="0034141C"/>
    <w:rsid w:val="00342CD2"/>
    <w:rsid w:val="003509A6"/>
    <w:rsid w:val="00350B47"/>
    <w:rsid w:val="00352750"/>
    <w:rsid w:val="00353A22"/>
    <w:rsid w:val="00356BBC"/>
    <w:rsid w:val="00364E29"/>
    <w:rsid w:val="00365E83"/>
    <w:rsid w:val="0036794A"/>
    <w:rsid w:val="00367EA2"/>
    <w:rsid w:val="00373C26"/>
    <w:rsid w:val="00374B12"/>
    <w:rsid w:val="00375ABF"/>
    <w:rsid w:val="00376783"/>
    <w:rsid w:val="00377223"/>
    <w:rsid w:val="00380F09"/>
    <w:rsid w:val="00381B82"/>
    <w:rsid w:val="00381DC9"/>
    <w:rsid w:val="00385E5F"/>
    <w:rsid w:val="003A04FB"/>
    <w:rsid w:val="003B15BA"/>
    <w:rsid w:val="003C2562"/>
    <w:rsid w:val="003C60CC"/>
    <w:rsid w:val="003D115F"/>
    <w:rsid w:val="003E471C"/>
    <w:rsid w:val="003E6C0A"/>
    <w:rsid w:val="0040051A"/>
    <w:rsid w:val="00405555"/>
    <w:rsid w:val="0041377D"/>
    <w:rsid w:val="004210A0"/>
    <w:rsid w:val="00430FB6"/>
    <w:rsid w:val="00431ABD"/>
    <w:rsid w:val="00431B32"/>
    <w:rsid w:val="004520ED"/>
    <w:rsid w:val="00460521"/>
    <w:rsid w:val="00460731"/>
    <w:rsid w:val="00466CC5"/>
    <w:rsid w:val="004778A1"/>
    <w:rsid w:val="004A3BBF"/>
    <w:rsid w:val="004A5811"/>
    <w:rsid w:val="004B3886"/>
    <w:rsid w:val="004B4D07"/>
    <w:rsid w:val="004B530A"/>
    <w:rsid w:val="004C1455"/>
    <w:rsid w:val="004C53FE"/>
    <w:rsid w:val="004D2FD5"/>
    <w:rsid w:val="004D3667"/>
    <w:rsid w:val="004E17CD"/>
    <w:rsid w:val="004E4C30"/>
    <w:rsid w:val="004E7C2D"/>
    <w:rsid w:val="004F0493"/>
    <w:rsid w:val="004F3153"/>
    <w:rsid w:val="004F52AB"/>
    <w:rsid w:val="0050449C"/>
    <w:rsid w:val="0050464C"/>
    <w:rsid w:val="005058C2"/>
    <w:rsid w:val="00505E01"/>
    <w:rsid w:val="00507AA3"/>
    <w:rsid w:val="00513DAD"/>
    <w:rsid w:val="005175BB"/>
    <w:rsid w:val="00520B45"/>
    <w:rsid w:val="00541E2E"/>
    <w:rsid w:val="005548C4"/>
    <w:rsid w:val="00555149"/>
    <w:rsid w:val="005578CC"/>
    <w:rsid w:val="0056039F"/>
    <w:rsid w:val="0057489B"/>
    <w:rsid w:val="00580919"/>
    <w:rsid w:val="00591376"/>
    <w:rsid w:val="005915F2"/>
    <w:rsid w:val="005939A3"/>
    <w:rsid w:val="005A05FB"/>
    <w:rsid w:val="005A0CDC"/>
    <w:rsid w:val="005A7B1C"/>
    <w:rsid w:val="005B32A0"/>
    <w:rsid w:val="005B3E08"/>
    <w:rsid w:val="005B57B6"/>
    <w:rsid w:val="005C0E88"/>
    <w:rsid w:val="005C229A"/>
    <w:rsid w:val="005C4C16"/>
    <w:rsid w:val="005C513C"/>
    <w:rsid w:val="005C522B"/>
    <w:rsid w:val="005D0EE7"/>
    <w:rsid w:val="005E1E0D"/>
    <w:rsid w:val="005F3521"/>
    <w:rsid w:val="00603806"/>
    <w:rsid w:val="006056EA"/>
    <w:rsid w:val="00613223"/>
    <w:rsid w:val="0061342C"/>
    <w:rsid w:val="00630F2E"/>
    <w:rsid w:val="006332AB"/>
    <w:rsid w:val="006375E4"/>
    <w:rsid w:val="00640C41"/>
    <w:rsid w:val="00643F41"/>
    <w:rsid w:val="006538B8"/>
    <w:rsid w:val="00654FC0"/>
    <w:rsid w:val="00670DF3"/>
    <w:rsid w:val="00672ECA"/>
    <w:rsid w:val="00673F05"/>
    <w:rsid w:val="00676BFF"/>
    <w:rsid w:val="00677F1F"/>
    <w:rsid w:val="006852F7"/>
    <w:rsid w:val="0068619F"/>
    <w:rsid w:val="0069296D"/>
    <w:rsid w:val="00693C55"/>
    <w:rsid w:val="006B154D"/>
    <w:rsid w:val="006B36E6"/>
    <w:rsid w:val="006B5955"/>
    <w:rsid w:val="006C15E8"/>
    <w:rsid w:val="006D102D"/>
    <w:rsid w:val="006D38E6"/>
    <w:rsid w:val="006D5439"/>
    <w:rsid w:val="006E085B"/>
    <w:rsid w:val="006E1453"/>
    <w:rsid w:val="006E1718"/>
    <w:rsid w:val="006F2C1C"/>
    <w:rsid w:val="006F3448"/>
    <w:rsid w:val="006F5605"/>
    <w:rsid w:val="006F5620"/>
    <w:rsid w:val="00700373"/>
    <w:rsid w:val="00701DD2"/>
    <w:rsid w:val="00702BE8"/>
    <w:rsid w:val="00706E49"/>
    <w:rsid w:val="00721CDF"/>
    <w:rsid w:val="00722336"/>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2E47"/>
    <w:rsid w:val="00783BFC"/>
    <w:rsid w:val="007A4D28"/>
    <w:rsid w:val="007A738F"/>
    <w:rsid w:val="007B6E68"/>
    <w:rsid w:val="007C70FD"/>
    <w:rsid w:val="007D0B60"/>
    <w:rsid w:val="007D2A42"/>
    <w:rsid w:val="007E6451"/>
    <w:rsid w:val="00801194"/>
    <w:rsid w:val="008064A4"/>
    <w:rsid w:val="008071C2"/>
    <w:rsid w:val="00811A0F"/>
    <w:rsid w:val="008133D2"/>
    <w:rsid w:val="00822131"/>
    <w:rsid w:val="00830E62"/>
    <w:rsid w:val="008368FB"/>
    <w:rsid w:val="00837D62"/>
    <w:rsid w:val="00840488"/>
    <w:rsid w:val="00842624"/>
    <w:rsid w:val="00843ED3"/>
    <w:rsid w:val="0085320B"/>
    <w:rsid w:val="00856555"/>
    <w:rsid w:val="00857577"/>
    <w:rsid w:val="00860737"/>
    <w:rsid w:val="00865ABF"/>
    <w:rsid w:val="00867B32"/>
    <w:rsid w:val="00871AB6"/>
    <w:rsid w:val="00875D2F"/>
    <w:rsid w:val="00886826"/>
    <w:rsid w:val="008922CC"/>
    <w:rsid w:val="0089309B"/>
    <w:rsid w:val="00893268"/>
    <w:rsid w:val="008955D9"/>
    <w:rsid w:val="008A0908"/>
    <w:rsid w:val="008A5F98"/>
    <w:rsid w:val="008B3A61"/>
    <w:rsid w:val="008B4650"/>
    <w:rsid w:val="008B4CD2"/>
    <w:rsid w:val="008B56B0"/>
    <w:rsid w:val="008B5B98"/>
    <w:rsid w:val="008B6ECE"/>
    <w:rsid w:val="008C16E5"/>
    <w:rsid w:val="008C23F8"/>
    <w:rsid w:val="008D3750"/>
    <w:rsid w:val="008D7542"/>
    <w:rsid w:val="008D7A3E"/>
    <w:rsid w:val="008E0C9E"/>
    <w:rsid w:val="00900DD8"/>
    <w:rsid w:val="00903E04"/>
    <w:rsid w:val="009055A8"/>
    <w:rsid w:val="00907765"/>
    <w:rsid w:val="0092177E"/>
    <w:rsid w:val="00922336"/>
    <w:rsid w:val="00922803"/>
    <w:rsid w:val="009231FC"/>
    <w:rsid w:val="00930F73"/>
    <w:rsid w:val="00933353"/>
    <w:rsid w:val="009377FD"/>
    <w:rsid w:val="00952A73"/>
    <w:rsid w:val="0095543D"/>
    <w:rsid w:val="00955A30"/>
    <w:rsid w:val="009721BD"/>
    <w:rsid w:val="0097541C"/>
    <w:rsid w:val="00976A3B"/>
    <w:rsid w:val="00977718"/>
    <w:rsid w:val="0098213F"/>
    <w:rsid w:val="0098387C"/>
    <w:rsid w:val="00995660"/>
    <w:rsid w:val="009A00D2"/>
    <w:rsid w:val="009A4ADC"/>
    <w:rsid w:val="009A628D"/>
    <w:rsid w:val="009A7294"/>
    <w:rsid w:val="009B1658"/>
    <w:rsid w:val="009B2380"/>
    <w:rsid w:val="009B4CD3"/>
    <w:rsid w:val="009B5083"/>
    <w:rsid w:val="009B580B"/>
    <w:rsid w:val="009B6B75"/>
    <w:rsid w:val="009B6BF1"/>
    <w:rsid w:val="009D6161"/>
    <w:rsid w:val="009D6D96"/>
    <w:rsid w:val="009D752B"/>
    <w:rsid w:val="009D7662"/>
    <w:rsid w:val="009E5342"/>
    <w:rsid w:val="009F4347"/>
    <w:rsid w:val="00A02676"/>
    <w:rsid w:val="00A04936"/>
    <w:rsid w:val="00A12B41"/>
    <w:rsid w:val="00A153D5"/>
    <w:rsid w:val="00A235FE"/>
    <w:rsid w:val="00A23A7A"/>
    <w:rsid w:val="00A313C9"/>
    <w:rsid w:val="00A42DB6"/>
    <w:rsid w:val="00A477EC"/>
    <w:rsid w:val="00A50E77"/>
    <w:rsid w:val="00A54161"/>
    <w:rsid w:val="00A54785"/>
    <w:rsid w:val="00A6268B"/>
    <w:rsid w:val="00A64185"/>
    <w:rsid w:val="00A77270"/>
    <w:rsid w:val="00A816C9"/>
    <w:rsid w:val="00A8329C"/>
    <w:rsid w:val="00A87739"/>
    <w:rsid w:val="00A9300F"/>
    <w:rsid w:val="00A9448B"/>
    <w:rsid w:val="00AA3AFF"/>
    <w:rsid w:val="00AB128D"/>
    <w:rsid w:val="00AC2D06"/>
    <w:rsid w:val="00AC39E2"/>
    <w:rsid w:val="00AD1B06"/>
    <w:rsid w:val="00AD7B6A"/>
    <w:rsid w:val="00AE0702"/>
    <w:rsid w:val="00AF324F"/>
    <w:rsid w:val="00B01876"/>
    <w:rsid w:val="00B0195F"/>
    <w:rsid w:val="00B0637F"/>
    <w:rsid w:val="00B11426"/>
    <w:rsid w:val="00B15709"/>
    <w:rsid w:val="00B21C2F"/>
    <w:rsid w:val="00B24CCA"/>
    <w:rsid w:val="00B25392"/>
    <w:rsid w:val="00B275D7"/>
    <w:rsid w:val="00B27648"/>
    <w:rsid w:val="00B332E5"/>
    <w:rsid w:val="00B344E5"/>
    <w:rsid w:val="00B368D5"/>
    <w:rsid w:val="00B441EB"/>
    <w:rsid w:val="00B47A36"/>
    <w:rsid w:val="00B6071F"/>
    <w:rsid w:val="00B65FAD"/>
    <w:rsid w:val="00B86350"/>
    <w:rsid w:val="00B8638F"/>
    <w:rsid w:val="00B91D99"/>
    <w:rsid w:val="00B97353"/>
    <w:rsid w:val="00BC307C"/>
    <w:rsid w:val="00BC33E9"/>
    <w:rsid w:val="00BC46A1"/>
    <w:rsid w:val="00BC732B"/>
    <w:rsid w:val="00BD020A"/>
    <w:rsid w:val="00BD0F65"/>
    <w:rsid w:val="00BD6C0F"/>
    <w:rsid w:val="00BE2B61"/>
    <w:rsid w:val="00BE3EF9"/>
    <w:rsid w:val="00BE4724"/>
    <w:rsid w:val="00BE7D3A"/>
    <w:rsid w:val="00C00606"/>
    <w:rsid w:val="00C00FBE"/>
    <w:rsid w:val="00C01C76"/>
    <w:rsid w:val="00C12195"/>
    <w:rsid w:val="00C15B68"/>
    <w:rsid w:val="00C41349"/>
    <w:rsid w:val="00C653A8"/>
    <w:rsid w:val="00C75756"/>
    <w:rsid w:val="00C81131"/>
    <w:rsid w:val="00C958E0"/>
    <w:rsid w:val="00C97454"/>
    <w:rsid w:val="00C976B0"/>
    <w:rsid w:val="00CA1795"/>
    <w:rsid w:val="00CA1D29"/>
    <w:rsid w:val="00CA6168"/>
    <w:rsid w:val="00CB448A"/>
    <w:rsid w:val="00CB7641"/>
    <w:rsid w:val="00CC1E2C"/>
    <w:rsid w:val="00CD2D27"/>
    <w:rsid w:val="00CD39EA"/>
    <w:rsid w:val="00CF09B2"/>
    <w:rsid w:val="00CF46B9"/>
    <w:rsid w:val="00CF5706"/>
    <w:rsid w:val="00D02720"/>
    <w:rsid w:val="00D13697"/>
    <w:rsid w:val="00D21ED9"/>
    <w:rsid w:val="00D22785"/>
    <w:rsid w:val="00D45131"/>
    <w:rsid w:val="00D45949"/>
    <w:rsid w:val="00D50A9F"/>
    <w:rsid w:val="00D53198"/>
    <w:rsid w:val="00D5331D"/>
    <w:rsid w:val="00D53837"/>
    <w:rsid w:val="00D5654E"/>
    <w:rsid w:val="00D621D6"/>
    <w:rsid w:val="00D6233C"/>
    <w:rsid w:val="00D8239C"/>
    <w:rsid w:val="00D83478"/>
    <w:rsid w:val="00D916D0"/>
    <w:rsid w:val="00D94C59"/>
    <w:rsid w:val="00DA313F"/>
    <w:rsid w:val="00DA688A"/>
    <w:rsid w:val="00DB04B3"/>
    <w:rsid w:val="00DC24CB"/>
    <w:rsid w:val="00DC7AAC"/>
    <w:rsid w:val="00DE774E"/>
    <w:rsid w:val="00DF7F03"/>
    <w:rsid w:val="00E06BAC"/>
    <w:rsid w:val="00E2101C"/>
    <w:rsid w:val="00E32D8C"/>
    <w:rsid w:val="00E35B91"/>
    <w:rsid w:val="00E404EA"/>
    <w:rsid w:val="00E433C5"/>
    <w:rsid w:val="00E50239"/>
    <w:rsid w:val="00E60A0D"/>
    <w:rsid w:val="00E73B8D"/>
    <w:rsid w:val="00E77180"/>
    <w:rsid w:val="00E77922"/>
    <w:rsid w:val="00E81B78"/>
    <w:rsid w:val="00E87E5E"/>
    <w:rsid w:val="00E87EFF"/>
    <w:rsid w:val="00E90A86"/>
    <w:rsid w:val="00E92735"/>
    <w:rsid w:val="00E95841"/>
    <w:rsid w:val="00E959E2"/>
    <w:rsid w:val="00E95EC3"/>
    <w:rsid w:val="00E9703F"/>
    <w:rsid w:val="00EA165C"/>
    <w:rsid w:val="00EA3343"/>
    <w:rsid w:val="00EA3B89"/>
    <w:rsid w:val="00EA4D74"/>
    <w:rsid w:val="00EB5F84"/>
    <w:rsid w:val="00ED189D"/>
    <w:rsid w:val="00ED7C13"/>
    <w:rsid w:val="00EE4ABE"/>
    <w:rsid w:val="00EE58A4"/>
    <w:rsid w:val="00EE7E63"/>
    <w:rsid w:val="00EF4209"/>
    <w:rsid w:val="00F039B0"/>
    <w:rsid w:val="00F06050"/>
    <w:rsid w:val="00F10554"/>
    <w:rsid w:val="00F137B9"/>
    <w:rsid w:val="00F327AE"/>
    <w:rsid w:val="00F3400B"/>
    <w:rsid w:val="00F35B56"/>
    <w:rsid w:val="00F36F2E"/>
    <w:rsid w:val="00F51775"/>
    <w:rsid w:val="00F53008"/>
    <w:rsid w:val="00F60A3B"/>
    <w:rsid w:val="00F7674F"/>
    <w:rsid w:val="00F76A0A"/>
    <w:rsid w:val="00F777AF"/>
    <w:rsid w:val="00F81AA6"/>
    <w:rsid w:val="00F86049"/>
    <w:rsid w:val="00F906AC"/>
    <w:rsid w:val="00F91777"/>
    <w:rsid w:val="00F9479B"/>
    <w:rsid w:val="00F94CFF"/>
    <w:rsid w:val="00FA4019"/>
    <w:rsid w:val="00FB0952"/>
    <w:rsid w:val="00FB3BB0"/>
    <w:rsid w:val="00FB3D93"/>
    <w:rsid w:val="00FC1559"/>
    <w:rsid w:val="00FC5D33"/>
    <w:rsid w:val="00FD1AD8"/>
    <w:rsid w:val="00FD335D"/>
    <w:rsid w:val="00FD34B2"/>
    <w:rsid w:val="00FE19AC"/>
    <w:rsid w:val="00FE1F1C"/>
    <w:rsid w:val="00FF1BCB"/>
    <w:rsid w:val="00FF1CB8"/>
    <w:rsid w:val="00FF45A7"/>
    <w:rsid w:val="00FF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jc w:val="both"/>
      <w:outlineLvl w:val="1"/>
    </w:pPr>
  </w:style>
  <w:style w:type="paragraph" w:styleId="Heading3">
    <w:name w:val="heading 3"/>
    <w:basedOn w:val="Normal"/>
    <w:next w:val="Normal"/>
    <w:pPr>
      <w:keepNext/>
      <w:spacing w:before="240" w:after="60"/>
      <w:outlineLvl w:val="2"/>
    </w:pPr>
    <w:rPr>
      <w:rFonts w:ascii="Arial" w:hAnsi="Arial"/>
    </w:rPr>
  </w:style>
  <w:style w:type="paragraph" w:styleId="Heading4">
    <w:name w:val="heading 4"/>
    <w:basedOn w:val="Normal"/>
    <w:next w:val="Normal"/>
    <w:qFormat/>
    <w:pPr>
      <w:keepNext/>
      <w:ind w:firstLine="720"/>
      <w:jc w:val="both"/>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semiHidden/>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CE54F-9A5A-44B8-AC4A-C9221E2E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15</TotalTime>
  <Pages>17</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Razvan Rughinis</dc:creator>
  <cp:keywords/>
  <cp:lastModifiedBy>Adrian-Dumitru Nicolau</cp:lastModifiedBy>
  <cp:revision>21</cp:revision>
  <cp:lastPrinted>2005-06-21T06:53:00Z</cp:lastPrinted>
  <dcterms:created xsi:type="dcterms:W3CDTF">2014-06-13T15:13:00Z</dcterms:created>
  <dcterms:modified xsi:type="dcterms:W3CDTF">2014-06-13T15:28:00Z</dcterms:modified>
</cp:coreProperties>
</file>