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Calibri" w:cs="Calibri" w:eastAsia="Calibri" w:hAnsi="Calibri"/>
          <w:b/>
          <w:bCs/>
          <w:color w:val="2A9D8F"/>
          <w:spacing w:val="60"/>
          <w:sz w:val="22"/>
          <w:szCs w:val="22"/>
        </w:rPr>
        <w:t xml:space="preserve">INFORME TÉCNICO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3A5F"/>
          <w:sz w:val="52"/>
          <w:szCs w:val="52"/>
        </w:rPr>
        <w:t xml:space="preserve">Carga de Datos, Exportación y Sincronización</w:t>
      </w:r>
    </w:p>
    <w:p>
      <w:pPr>
        <w:pBdr>
          <w:bottom w:val="single" w:color="2A9D8F" w:sz="12" w:space="8"/>
        </w:pBdr>
        <w:spacing w:after="240"/>
      </w:pPr>
      <w:r>
        <w:rPr>
          <w:rFonts w:ascii="Calibri" w:cs="Calibri" w:eastAsia="Calibri" w:hAnsi="Calibri"/>
          <w:color w:val="6B7785"/>
          <w:sz w:val="30"/>
          <w:szCs w:val="30"/>
        </w:rPr>
        <w:t xml:space="preserve">Proyecto de Apuestas Deportivas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1F3A5F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13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Tablas relacionales</w:t>
            </w:r>
          </w:p>
        </w:tc>
        <w:tc>
          <w:tcPr>
            <w:tcW w:type="dxa" w:w="2340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2A9D8F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4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Niveles de carga</w:t>
            </w:r>
          </w:p>
        </w:tc>
        <w:tc>
          <w:tcPr>
            <w:tcW w:type="dxa" w:w="2340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1F3A5F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13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Archivos CSV</w:t>
            </w:r>
          </w:p>
        </w:tc>
        <w:tc>
          <w:tcPr>
            <w:tcW w:type="dxa" w:w="2340"/>
            <w:tcBorders>
              <w:top w:val="none" w:color="FFFFFF" w:sz="0"/>
              <w:left w:val="single" w:color="FFFFFF" w:sz="12"/>
              <w:bottom w:val="none" w:color="FFFFFF" w:sz="0"/>
              <w:right w:val="single" w:color="FFFFFF" w:sz="12"/>
            </w:tcBorders>
            <w:shd w:fill="2A9D8F" w:color="auto" w:val="clear"/>
            <w:tcMar>
              <w:top w:type="dxa" w:w="160"/>
              <w:left w:type="dxa" w:w="100"/>
              <w:bottom w:type="dxa" w:w="16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3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Carpetas en GitHub</w:t>
            </w:r>
          </w:p>
        </w:tc>
      </w:tr>
    </w:tbl>
    <w:p>
      <w:pPr>
        <w:spacing w:after="120"/>
      </w:pPr>
    </w:p>
    <w:p>
      <w:pPr>
        <w:pStyle w:val="Heading1"/>
        <w:pBdr>
          <w:bottom w:val="single" w:color="2A9D8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A9D8F"/>
          <w:sz w:val="32"/>
          <w:szCs w:val="32"/>
        </w:rPr>
        <w:t xml:space="preserve">1. </w:t>
      </w: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Introducción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B2B"/>
        </w:rPr>
        <w:t xml:space="preserve">El presente documento describe el procedimiento técnico realizado para la gestión, procesamiento y distribución de los datos del sistema de apuestas deportivas.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A9D8F" w:sz="24"/>
              <w:bottom w:val="none" w:color="FFFFFF" w:sz="0"/>
              <w:right w:val="none" w:color="FFFFFF" w:sz="0"/>
            </w:tcBorders>
            <w:shd w:fill="EAF4F3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A9D8F"/>
                <w:sz w:val="22"/>
                <w:szCs w:val="22"/>
              </w:rPr>
              <w:t xml:space="preserve">Objetivo principal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color w:val="2B2B2B"/>
              </w:rPr>
              <w:t xml:space="preserve">Establecer una base de datos relacional sólida en </w:t>
            </w:r>
            <w:r>
              <w:rPr>
                <w:rFonts w:ascii="Calibri" w:cs="Calibri" w:eastAsia="Calibri" w:hAnsi="Calibri"/>
                <w:b/>
                <w:bCs/>
                <w:color w:val="2B2B2B"/>
              </w:rPr>
              <w:t xml:space="preserve">PostgreSQL</w:t>
            </w:r>
            <w:r>
              <w:rPr>
                <w:rFonts w:ascii="Calibri" w:cs="Calibri" w:eastAsia="Calibri" w:hAnsi="Calibri"/>
                <w:color w:val="2B2B2B"/>
              </w:rPr>
              <w:t xml:space="preserve">, poblarla con datos de prueba, desarrollar una herramienta automatizada de extracción a formato </w:t>
            </w:r>
            <w:r>
              <w:rPr>
                <w:rFonts w:ascii="Calibri" w:cs="Calibri" w:eastAsia="Calibri" w:hAnsi="Calibri"/>
                <w:b/>
                <w:bCs/>
                <w:color w:val="2B2B2B"/>
              </w:rPr>
              <w:t xml:space="preserve">CSV</w:t>
            </w:r>
            <w:r>
              <w:rPr>
                <w:rFonts w:ascii="Calibri" w:cs="Calibri" w:eastAsia="Calibri" w:hAnsi="Calibri"/>
                <w:color w:val="2B2B2B"/>
              </w:rPr>
              <w:t xml:space="preserve"> y sincronizar todo el material en </w:t>
            </w:r>
            <w:r>
              <w:rPr>
                <w:rFonts w:ascii="Calibri" w:cs="Calibri" w:eastAsia="Calibri" w:hAnsi="Calibri"/>
                <w:b/>
                <w:bCs/>
                <w:color w:val="2B2B2B"/>
              </w:rPr>
              <w:t xml:space="preserve">GitHub</w:t>
            </w:r>
            <w:r>
              <w:rPr>
                <w:rFonts w:ascii="Calibri" w:cs="Calibri" w:eastAsia="Calibri" w:hAnsi="Calibri"/>
                <w:color w:val="2B2B2B"/>
              </w:rPr>
              <w:t xml:space="preserve"> para su análisis colaborativo en </w:t>
            </w:r>
            <w:r>
              <w:rPr>
                <w:rFonts w:ascii="Calibri" w:cs="Calibri" w:eastAsia="Calibri" w:hAnsi="Calibri"/>
                <w:b/>
                <w:bCs/>
                <w:color w:val="2B2B2B"/>
              </w:rPr>
              <w:t xml:space="preserve">Power BI</w:t>
            </w:r>
            <w:r>
              <w:rPr>
                <w:rFonts w:ascii="Calibri" w:cs="Calibri" w:eastAsia="Calibri" w:hAnsi="Calibri"/>
                <w:color w:val="2B2B2B"/>
              </w:rPr>
              <w:t xml:space="preserve">.</w:t>
            </w:r>
          </w:p>
        </w:tc>
      </w:tr>
    </w:tbl>
    <w:p>
      <w:pPr>
        <w:pStyle w:val="Heading1"/>
        <w:pBdr>
          <w:bottom w:val="single" w:color="2A9D8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A9D8F"/>
          <w:sz w:val="32"/>
          <w:szCs w:val="32"/>
        </w:rPr>
        <w:t xml:space="preserve">2. </w:t>
      </w: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Estructura de la Base de Datos (Script SQL)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B2B"/>
        </w:rPr>
        <w:t xml:space="preserve">La base de datos relacional está compuesta por </w:t>
      </w:r>
      <w:r>
        <w:rPr>
          <w:rFonts w:ascii="Calibri" w:cs="Calibri" w:eastAsia="Calibri" w:hAnsi="Calibri"/>
          <w:b/>
          <w:bCs/>
          <w:color w:val="2B2B2B"/>
        </w:rPr>
        <w:t xml:space="preserve">13 tablas integradas</w:t>
      </w:r>
      <w:r>
        <w:rPr>
          <w:rFonts w:ascii="Calibri" w:cs="Calibri" w:eastAsia="Calibri" w:hAnsi="Calibri"/>
          <w:color w:val="2B2B2B"/>
        </w:rPr>
        <w:t xml:space="preserve"> que modelan toda la operación de la plataforma de apuestas, organizadas en tres grupos funcionales.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2.1 Gestión de usuarios y pagos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Tabla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users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Registra los datos personales, estado de verificación (KYC) y saldo disponible del usuario.</w:t>
            </w:r>
          </w:p>
        </w:tc>
      </w:tr>
      <w:t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payment_methods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Define las pasarelas y métodos de pago habilitados (tarjetas, transferencias, billeteras).</w:t>
            </w:r>
          </w:p>
        </w:tc>
      </w:tr>
      <w:t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financial_transactions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Registra los movimientos de dinero (depósitos, retiros y pagos de premios).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2.2 Estructura deportiva y eventos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2A9D8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Tabla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2A9D8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sports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Catálogo de deportes disponibles (Fútbol, Baloncesto, etc.).</w:t>
            </w:r>
          </w:p>
        </w:tc>
      </w:tr>
      <w:t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leagues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Ligas asociadas a cada deporte.</w:t>
            </w:r>
          </w:p>
        </w:tc>
      </w:tr>
      <w:t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teams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Equipos participantes.</w:t>
            </w:r>
          </w:p>
        </w:tc>
      </w:tr>
      <w:t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team_leagues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Tabla intermedia que asocia equipos con sus respectivas ligas.</w:t>
            </w:r>
          </w:p>
        </w:tc>
      </w:tr>
      <w:t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sports_events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Encuentros deportivos programados, marcadores y resultados.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2.3 Mercados, cuotas y apuestas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Tabla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Descripción</w:t>
            </w:r>
          </w:p>
        </w:tc>
      </w:tr>
      <w:t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market_types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Tipos de mercados disponibles (Ganador, Total de goles, etc.).</w:t>
            </w:r>
          </w:p>
        </w:tc>
      </w:tr>
      <w:t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markets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Instancias de mercado creadas para cada evento específico.</w:t>
            </w:r>
          </w:p>
        </w:tc>
      </w:tr>
      <w:t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market_selections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Opciones de selección posibles dentro de cada mercado.</w:t>
            </w:r>
          </w:p>
        </w:tc>
      </w:tr>
      <w:t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odds_history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Historial de variación de cuotas para cada selección.</w:t>
            </w:r>
          </w:p>
        </w:tc>
      </w:tr>
      <w:t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bet_tickets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Boletos de apuestas realizados por los usuarios (monto apostado, ganancia potencial, estado).</w:t>
            </w:r>
          </w:p>
        </w:tc>
      </w:tr>
      <w:t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bet_selections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Detalle de las selecciones individuales asociadas a cada boleto.</w:t>
            </w:r>
          </w:p>
        </w:tc>
      </w:tr>
    </w:tbl>
    <w:p>
      <w:pPr>
        <w:pStyle w:val="Heading1"/>
        <w:pBdr>
          <w:bottom w:val="single" w:color="2A9D8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A9D8F"/>
          <w:sz w:val="32"/>
          <w:szCs w:val="32"/>
        </w:rPr>
        <w:t xml:space="preserve">3. </w:t>
      </w: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Paso a Paso para la Inyección de Datos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B2B"/>
        </w:rPr>
        <w:t xml:space="preserve">Para poblar el sistema y garantizar la integridad referencial de la información, se siguió un procedimiento ordenado en tres etapas.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B2B2B"/>
        </w:rPr>
        <w:t xml:space="preserve">Creación del esquema DDL:</w:t>
      </w:r>
      <w:r>
        <w:rPr>
          <w:rFonts w:ascii="Calibri" w:cs="Calibri" w:eastAsia="Calibri" w:hAnsi="Calibri"/>
          <w:color w:val="2B2B2B"/>
        </w:rPr>
        <w:t xml:space="preserve"> se ejecutó el script SQL inicial para definir las tablas, claves primarias, claves foráneas y restricciones (</w:t>
      </w:r>
      <w:r>
        <w:rPr>
          <w:rFonts w:ascii="Consolas" w:cs="Consolas" w:eastAsia="Consolas" w:hAnsi="Consolas"/>
          <w:color w:val="B23A48"/>
          <w:sz w:val="20"/>
          <w:szCs w:val="20"/>
        </w:rPr>
        <w:t xml:space="preserve">CHECK constraints</w:t>
      </w:r>
      <w:r>
        <w:rPr>
          <w:rFonts w:ascii="Calibri" w:cs="Calibri" w:eastAsia="Calibri" w:hAnsi="Calibri"/>
          <w:color w:val="2B2B2B"/>
        </w:rPr>
        <w:t xml:space="preserve">) que validan reglas de negocio (saldos no negativos, estados válidos, etc.).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B2B2B"/>
        </w:rPr>
        <w:t xml:space="preserve">Carga en orden jerárquico:</w:t>
      </w:r>
      <w:r>
        <w:rPr>
          <w:rFonts w:ascii="Calibri" w:cs="Calibri" w:eastAsia="Calibri" w:hAnsi="Calibri"/>
          <w:color w:val="2B2B2B"/>
        </w:rPr>
        <w:t xml:space="preserve"> la inserción de datos masivos se realizó respetando las dependencias entre tablas, según los niveles que se detallan a continuación.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4960"/>
      </w:tblGrid>
      <w:tr>
        <w:trPr>
          <w:tblHeader/>
        </w:trPr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Nivel</w:t>
            </w:r>
          </w:p>
        </w:tc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Tipo de entidad</w:t>
            </w:r>
          </w:p>
        </w:tc>
        <w:tc>
          <w:tcPr>
            <w:tcW w:type="dxa" w:w="49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Tablas pobladas</w:t>
            </w:r>
          </w:p>
        </w:tc>
      </w:tr>
      <w:tr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2B2B2B"/>
              </w:rPr>
              <w:t xml:space="preserve">Nivel 1</w:t>
            </w:r>
          </w:p>
        </w:tc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Entidades independientes</w:t>
            </w:r>
          </w:p>
        </w:tc>
        <w:tc>
          <w:tcPr>
            <w:tcW w:type="dxa" w:w="49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users</w:t>
            </w:r>
            <w:r>
              <w:rPr>
                <w:rFonts w:ascii="Calibri" w:cs="Calibri" w:eastAsia="Calibri" w:hAnsi="Calibri"/>
                <w:color w:val="2B2B2B"/>
              </w:rPr>
              <w:t xml:space="preserve">, </w:t>
            </w: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payment_methods</w:t>
            </w:r>
            <w:r>
              <w:rPr>
                <w:rFonts w:ascii="Calibri" w:cs="Calibri" w:eastAsia="Calibri" w:hAnsi="Calibri"/>
                <w:color w:val="2B2B2B"/>
              </w:rPr>
              <w:t xml:space="preserve">, </w:t>
            </w: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sports</w:t>
            </w:r>
            <w:r>
              <w:rPr>
                <w:rFonts w:ascii="Calibri" w:cs="Calibri" w:eastAsia="Calibri" w:hAnsi="Calibri"/>
                <w:color w:val="2B2B2B"/>
              </w:rPr>
              <w:t xml:space="preserve">, </w:t>
            </w: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teams</w:t>
            </w:r>
            <w:r>
              <w:rPr>
                <w:rFonts w:ascii="Calibri" w:cs="Calibri" w:eastAsia="Calibri" w:hAnsi="Calibri"/>
                <w:color w:val="2B2B2B"/>
              </w:rPr>
              <w:t xml:space="preserve">, </w:t>
            </w: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market_types</w:t>
            </w:r>
          </w:p>
        </w:tc>
      </w:tr>
      <w:tr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2B2B2B"/>
              </w:rPr>
              <w:t xml:space="preserve">Nivel 2</w:t>
            </w:r>
          </w:p>
        </w:tc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Dependientes intermedias</w:t>
            </w:r>
          </w:p>
        </w:tc>
        <w:tc>
          <w:tcPr>
            <w:tcW w:type="dxa" w:w="49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leagues</w:t>
            </w:r>
            <w:r>
              <w:rPr>
                <w:rFonts w:ascii="Calibri" w:cs="Calibri" w:eastAsia="Calibri" w:hAnsi="Calibri"/>
                <w:color w:val="2B2B2B"/>
              </w:rPr>
              <w:t xml:space="preserve">, </w:t>
            </w: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team_leagues</w:t>
            </w:r>
            <w:r>
              <w:rPr>
                <w:rFonts w:ascii="Calibri" w:cs="Calibri" w:eastAsia="Calibri" w:hAnsi="Calibri"/>
                <w:color w:val="2B2B2B"/>
              </w:rPr>
              <w:t xml:space="preserve">, </w:t>
            </w: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sports_events</w:t>
            </w:r>
          </w:p>
        </w:tc>
      </w:tr>
      <w:tr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2B2B2B"/>
              </w:rPr>
              <w:t xml:space="preserve">Nivel 3</w:t>
            </w:r>
          </w:p>
        </w:tc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Mercados y cuotas</w:t>
            </w:r>
          </w:p>
        </w:tc>
        <w:tc>
          <w:tcPr>
            <w:tcW w:type="dxa" w:w="49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markets</w:t>
            </w:r>
            <w:r>
              <w:rPr>
                <w:rFonts w:ascii="Calibri" w:cs="Calibri" w:eastAsia="Calibri" w:hAnsi="Calibri"/>
                <w:color w:val="2B2B2B"/>
              </w:rPr>
              <w:t xml:space="preserve">, </w:t>
            </w: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market_selections</w:t>
            </w:r>
            <w:r>
              <w:rPr>
                <w:rFonts w:ascii="Calibri" w:cs="Calibri" w:eastAsia="Calibri" w:hAnsi="Calibri"/>
                <w:color w:val="2B2B2B"/>
              </w:rPr>
              <w:t xml:space="preserve">, </w:t>
            </w: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odds_history</w:t>
            </w:r>
          </w:p>
        </w:tc>
      </w:tr>
      <w:tr>
        <w:tc>
          <w:tcPr>
            <w:tcW w:type="dxa" w:w="15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2B2B2B"/>
              </w:rPr>
              <w:t xml:space="preserve">Nivel 4</w:t>
            </w:r>
          </w:p>
        </w:tc>
        <w:tc>
          <w:tcPr>
            <w:tcW w:type="dxa" w:w="29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Operaciones transaccionales</w:t>
            </w:r>
          </w:p>
        </w:tc>
        <w:tc>
          <w:tcPr>
            <w:tcW w:type="dxa" w:w="49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bet_tickets</w:t>
            </w:r>
            <w:r>
              <w:rPr>
                <w:rFonts w:ascii="Calibri" w:cs="Calibri" w:eastAsia="Calibri" w:hAnsi="Calibri"/>
                <w:color w:val="2B2B2B"/>
              </w:rPr>
              <w:t xml:space="preserve">, </w:t>
            </w: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bet_selections</w:t>
            </w:r>
            <w:r>
              <w:rPr>
                <w:rFonts w:ascii="Calibri" w:cs="Calibri" w:eastAsia="Calibri" w:hAnsi="Calibri"/>
                <w:color w:val="2B2B2B"/>
              </w:rPr>
              <w:t xml:space="preserve">, </w:t>
            </w: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financial_transactions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Calibri" w:cs="Calibri" w:eastAsia="Calibri" w:hAnsi="Calibri"/>
          <w:b/>
          <w:bCs/>
          <w:color w:val="2B2B2B"/>
        </w:rPr>
        <w:t xml:space="preserve">Validación de datos:</w:t>
      </w:r>
      <w:r>
        <w:rPr>
          <w:rFonts w:ascii="Calibri" w:cs="Calibri" w:eastAsia="Calibri" w:hAnsi="Calibri"/>
          <w:color w:val="2B2B2B"/>
        </w:rPr>
        <w:t xml:space="preserve"> se ejecutaron consultas de verificación para confirmar la ausencia de inconsistencias y asegurar que los identificadores de llave foránea concordaran entre tablas relacionadas.</w:t>
      </w:r>
    </w:p>
    <w:p>
      <w:pPr>
        <w:pStyle w:val="Heading1"/>
        <w:pBdr>
          <w:bottom w:val="single" w:color="2A9D8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A9D8F"/>
          <w:sz w:val="32"/>
          <w:szCs w:val="32"/>
        </w:rPr>
        <w:t xml:space="preserve">4. </w:t>
      </w: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Automatización de Extracción (Script en Python)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B2B"/>
        </w:rPr>
        <w:t xml:space="preserve">Con el fin de facilitar la ingesta de datos en herramientas de analítica (Power BI) sin comprometer el acceso directo a la base de datos de producción, se implementó un script de automatización en Python (</w:t>
      </w:r>
      <w:r>
        <w:rPr>
          <w:rFonts w:ascii="Consolas" w:cs="Consolas" w:eastAsia="Consolas" w:hAnsi="Consolas"/>
          <w:color w:val="B23A48"/>
          <w:sz w:val="20"/>
          <w:szCs w:val="20"/>
        </w:rPr>
        <w:t xml:space="preserve">export_to_csv.py</w:t>
      </w:r>
      <w:r>
        <w:rPr>
          <w:rFonts w:ascii="Calibri" w:cs="Calibri" w:eastAsia="Calibri" w:hAnsi="Calibri"/>
          <w:color w:val="2B2B2B"/>
        </w:rPr>
        <w:t xml:space="preserve">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4.1 Tecnologías utilizadas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2A9D8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Tecnología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2A9D8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Uso</w:t>
            </w:r>
          </w:p>
        </w:tc>
      </w:tr>
      <w:t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b/>
                <w:bCs/>
                <w:color w:val="2B2B2B"/>
              </w:rPr>
              <w:t xml:space="preserve">Python 3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Lenguaje base del script de automatización.</w:t>
            </w:r>
          </w:p>
        </w:tc>
      </w:tr>
      <w:t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pandas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Modelado y estructuración de tablas.</w:t>
            </w:r>
          </w:p>
        </w:tc>
      </w:tr>
      <w:t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psycopg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Conexión de alta velocidad a PostgreSQL.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4.2 Funcionamiento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color w:val="2B2B2B"/>
        </w:rPr>
        <w:t xml:space="preserve">El script establece una conexión segura con PostgreSQL mediante las credenciales del proyecto.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color w:val="2B2B2B"/>
        </w:rPr>
        <w:t xml:space="preserve">Mantiene una lista parametrizada con las 13 tablas del modelo.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color w:val="2B2B2B"/>
        </w:rPr>
        <w:t xml:space="preserve">Ejecuta una consulta sintética por cada entidad, transforma el conjunto de datos en un DataFrame y lo exporta a la carpeta local </w:t>
      </w:r>
      <w:r>
        <w:rPr>
          <w:rFonts w:ascii="Consolas" w:cs="Consolas" w:eastAsia="Consolas" w:hAnsi="Consolas"/>
          <w:color w:val="B23A48"/>
          <w:sz w:val="20"/>
          <w:szCs w:val="20"/>
        </w:rPr>
        <w:t xml:space="preserve">CSV/</w:t>
      </w:r>
      <w:r>
        <w:rPr>
          <w:rFonts w:ascii="Calibri" w:cs="Calibri" w:eastAsia="Calibri" w:hAnsi="Calibri"/>
          <w:color w:val="2B2B2B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rFonts w:ascii="Calibri" w:cs="Calibri" w:eastAsia="Calibri" w:hAnsi="Calibri"/>
          <w:color w:val="2B2B2B"/>
        </w:rPr>
        <w:t xml:space="preserve">Genera archivos en codificación </w:t>
      </w:r>
      <w:r>
        <w:rPr>
          <w:rFonts w:ascii="Consolas" w:cs="Consolas" w:eastAsia="Consolas" w:hAnsi="Consolas"/>
          <w:color w:val="B23A48"/>
          <w:sz w:val="20"/>
          <w:szCs w:val="20"/>
        </w:rPr>
        <w:t xml:space="preserve">UTF-8</w:t>
      </w:r>
      <w:r>
        <w:rPr>
          <w:rFonts w:ascii="Calibri" w:cs="Calibri" w:eastAsia="Calibri" w:hAnsi="Calibri"/>
          <w:color w:val="2B2B2B"/>
        </w:rPr>
        <w:t xml:space="preserve"> limpios y listos para conectar mediante Power Query.</w:t>
      </w:r>
    </w:p>
    <w:p>
      <w:pPr>
        <w:pStyle w:val="Heading1"/>
        <w:pBdr>
          <w:bottom w:val="single" w:color="2A9D8F" w:sz="8" w:space="4"/>
        </w:pBdr>
        <w:spacing w:after="160" w:before="360"/>
      </w:pPr>
      <w:r>
        <w:rPr>
          <w:rFonts w:ascii="Calibri" w:cs="Calibri" w:eastAsia="Calibri" w:hAnsi="Calibri"/>
          <w:b/>
          <w:bCs/>
          <w:color w:val="2A9D8F"/>
          <w:sz w:val="32"/>
          <w:szCs w:val="32"/>
        </w:rPr>
        <w:t xml:space="preserve">5. </w:t>
      </w:r>
      <w:r>
        <w:rPr>
          <w:rFonts w:ascii="Calibri" w:cs="Calibri" w:eastAsia="Calibri" w:hAnsi="Calibri"/>
          <w:b/>
          <w:bCs/>
          <w:color w:val="1F3A5F"/>
          <w:sz w:val="32"/>
          <w:szCs w:val="32"/>
        </w:rPr>
        <w:t xml:space="preserve">Control de Versiones y Sincronización en GitHub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B2B"/>
        </w:rPr>
        <w:t xml:space="preserve">Para poner el proyecto a disposición del equipo de trabajo, se utilizó Git y GitHub para la gestión del repositorio centralizado.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5.1 Organización del repositorio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Carpeta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1F3A5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Contenido</w:t>
            </w:r>
          </w:p>
        </w:tc>
      </w:tr>
      <w:t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/SQL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Scripts de creación de esquemas, dumps de datos y diagramas de entidad-relación.</w:t>
            </w:r>
          </w:p>
        </w:tc>
      </w:tr>
      <w:t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/PYTHON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4F6F8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Entorno virtual de Python y scripts de automatización ETL.</w:t>
            </w:r>
          </w:p>
        </w:tc>
      </w:tr>
      <w:tr>
        <w:tc>
          <w:tcPr>
            <w:tcW w:type="dxa" w:w="330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/CSV</w:t>
            </w:r>
          </w:p>
        </w:tc>
        <w:tc>
          <w:tcPr>
            <w:tcW w:type="dxa" w:w="6060"/>
            <w:tcBorders>
              <w:top w:val="single" w:color="D5DBE1" w:sz="4"/>
              <w:left w:val="single" w:color="D5DBE1" w:sz="4"/>
              <w:bottom w:val="single" w:color="D5DBE1" w:sz="4"/>
              <w:right w:val="single" w:color="D5DBE1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keepNext/>
              <w:spacing w:after="0" w:line="270"/>
            </w:pPr>
            <w:r>
              <w:rPr>
                <w:rFonts w:ascii="Calibri" w:cs="Calibri" w:eastAsia="Calibri" w:hAnsi="Calibri"/>
                <w:color w:val="2B2B2B"/>
              </w:rPr>
              <w:t xml:space="preserve">Archivos de datos procesados para modelos analíticos.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5.2 Resolución de conflictos de historial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B2B"/>
        </w:rPr>
        <w:t xml:space="preserve">Se realizaron operaciones de sincronización (</w:t>
      </w:r>
      <w:r>
        <w:rPr>
          <w:rFonts w:ascii="Consolas" w:cs="Consolas" w:eastAsia="Consolas" w:hAnsi="Consolas"/>
          <w:color w:val="B23A48"/>
          <w:sz w:val="20"/>
          <w:szCs w:val="20"/>
        </w:rPr>
        <w:t xml:space="preserve">git pull --rebase</w:t>
      </w:r>
      <w:r>
        <w:rPr>
          <w:rFonts w:ascii="Calibri" w:cs="Calibri" w:eastAsia="Calibri" w:hAnsi="Calibri"/>
          <w:color w:val="2B2B2B"/>
        </w:rPr>
        <w:t xml:space="preserve">) para integrar cambios remotos en los diagramas y evitar divergencias en la rama principal (</w:t>
      </w:r>
      <w:r>
        <w:rPr>
          <w:rFonts w:ascii="Consolas" w:cs="Consolas" w:eastAsia="Consolas" w:hAnsi="Consolas"/>
          <w:color w:val="B23A48"/>
          <w:sz w:val="20"/>
          <w:szCs w:val="20"/>
        </w:rPr>
        <w:t xml:space="preserve">main</w:t>
      </w:r>
      <w:r>
        <w:rPr>
          <w:rFonts w:ascii="Calibri" w:cs="Calibri" w:eastAsia="Calibri" w:hAnsi="Calibri"/>
          <w:color w:val="2B2B2B"/>
        </w:rPr>
        <w:t xml:space="preserve">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F3A5F"/>
          <w:sz w:val="25"/>
          <w:szCs w:val="25"/>
        </w:rPr>
        <w:t xml:space="preserve">5.3 Empaquetado y distribución</w:t>
      </w:r>
    </w:p>
    <w:p>
      <w:pPr>
        <w:spacing w:after="140" w:line="300"/>
        <w:jc w:val="both"/>
      </w:pPr>
      <w:r>
        <w:rPr>
          <w:rFonts w:ascii="Calibri" w:cs="Calibri" w:eastAsia="Calibri" w:hAnsi="Calibri"/>
          <w:color w:val="2B2B2B"/>
        </w:rPr>
        <w:t xml:space="preserve">Se creó un contenedor comprimido (</w:t>
      </w:r>
      <w:r>
        <w:rPr>
          <w:rFonts w:ascii="Consolas" w:cs="Consolas" w:eastAsia="Consolas" w:hAnsi="Consolas"/>
          <w:color w:val="B23A48"/>
          <w:sz w:val="20"/>
          <w:szCs w:val="20"/>
        </w:rPr>
        <w:t xml:space="preserve">ZIP</w:t>
      </w:r>
      <w:r>
        <w:rPr>
          <w:rFonts w:ascii="Calibri" w:cs="Calibri" w:eastAsia="Calibri" w:hAnsi="Calibri"/>
          <w:color w:val="2B2B2B"/>
        </w:rPr>
        <w:t xml:space="preserve">) con los 13 CSVs para agilizar el envío mediante canales de mensajería instantánea y se subieron los cambios finales al repositorio remoto con </w:t>
      </w:r>
      <w:r>
        <w:rPr>
          <w:rFonts w:ascii="Consolas" w:cs="Consolas" w:eastAsia="Consolas" w:hAnsi="Consolas"/>
          <w:color w:val="B23A48"/>
          <w:sz w:val="20"/>
          <w:szCs w:val="20"/>
        </w:rPr>
        <w:t xml:space="preserve">git push</w:t>
      </w:r>
      <w:r>
        <w:rPr>
          <w:rFonts w:ascii="Calibri" w:cs="Calibri" w:eastAsia="Calibri" w:hAnsi="Calibri"/>
          <w:color w:val="2B2B2B"/>
        </w:rPr>
        <w:t xml:space="preserve">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A9D8F" w:sz="24"/>
              <w:bottom w:val="none" w:color="FFFFFF" w:sz="0"/>
              <w:right w:val="none" w:color="FFFFFF" w:sz="0"/>
            </w:tcBorders>
            <w:shd w:fill="EAF4F3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2A9D8F"/>
                <w:sz w:val="22"/>
                <w:szCs w:val="22"/>
              </w:rPr>
              <w:t xml:space="preserve">Resumen del flujo</w:t>
            </w:r>
          </w:p>
          <w:p>
            <w:pPr>
              <w:spacing w:after="0" w:line="290"/>
            </w:pPr>
            <w:r>
              <w:rPr>
                <w:rFonts w:ascii="Calibri" w:cs="Calibri" w:eastAsia="Calibri" w:hAnsi="Calibri"/>
                <w:b/>
                <w:bCs/>
                <w:color w:val="2B2B2B"/>
              </w:rPr>
              <w:t xml:space="preserve">PostgreSQL</w:t>
            </w:r>
            <w:r>
              <w:rPr>
                <w:rFonts w:ascii="Calibri" w:cs="Calibri" w:eastAsia="Calibri" w:hAnsi="Calibri"/>
                <w:color w:val="2B2B2B"/>
              </w:rPr>
              <w:t xml:space="preserve"> (13 tablas) → </w:t>
            </w:r>
            <w:r>
              <w:rPr>
                <w:rFonts w:ascii="Calibri" w:cs="Calibri" w:eastAsia="Calibri" w:hAnsi="Calibri"/>
                <w:b/>
                <w:bCs/>
                <w:color w:val="2B2B2B"/>
              </w:rPr>
              <w:t xml:space="preserve">Python</w:t>
            </w:r>
            <w:r>
              <w:rPr>
                <w:rFonts w:ascii="Calibri" w:cs="Calibri" w:eastAsia="Calibri" w:hAnsi="Calibri"/>
                <w:color w:val="2B2B2B"/>
              </w:rPr>
              <w:t xml:space="preserve"> (</w:t>
            </w:r>
            <w:r>
              <w:rPr>
                <w:rFonts w:ascii="Consolas" w:cs="Consolas" w:eastAsia="Consolas" w:hAnsi="Consolas"/>
                <w:color w:val="B23A48"/>
                <w:sz w:val="20"/>
                <w:szCs w:val="20"/>
              </w:rPr>
              <w:t xml:space="preserve">export_to_csv.py</w:t>
            </w:r>
            <w:r>
              <w:rPr>
                <w:rFonts w:ascii="Calibri" w:cs="Calibri" w:eastAsia="Calibri" w:hAnsi="Calibri"/>
                <w:color w:val="2B2B2B"/>
              </w:rPr>
              <w:t xml:space="preserve">) → </w:t>
            </w:r>
            <w:r>
              <w:rPr>
                <w:rFonts w:ascii="Calibri" w:cs="Calibri" w:eastAsia="Calibri" w:hAnsi="Calibri"/>
                <w:b/>
                <w:bCs/>
                <w:color w:val="2B2B2B"/>
              </w:rPr>
              <w:t xml:space="preserve">CSV</w:t>
            </w:r>
            <w:r>
              <w:rPr>
                <w:rFonts w:ascii="Calibri" w:cs="Calibri" w:eastAsia="Calibri" w:hAnsi="Calibri"/>
                <w:color w:val="2B2B2B"/>
              </w:rPr>
              <w:t xml:space="preserve"> (UTF-8) → </w:t>
            </w:r>
            <w:r>
              <w:rPr>
                <w:rFonts w:ascii="Calibri" w:cs="Calibri" w:eastAsia="Calibri" w:hAnsi="Calibri"/>
                <w:b/>
                <w:bCs/>
                <w:color w:val="2B2B2B"/>
              </w:rPr>
              <w:t xml:space="preserve">GitHub</w:t>
            </w:r>
            <w:r>
              <w:rPr>
                <w:rFonts w:ascii="Calibri" w:cs="Calibri" w:eastAsia="Calibri" w:hAnsi="Calibri"/>
                <w:color w:val="2B2B2B"/>
              </w:rPr>
              <w:t xml:space="preserve"> (repositorio compartido) → </w:t>
            </w:r>
            <w:r>
              <w:rPr>
                <w:rFonts w:ascii="Calibri" w:cs="Calibri" w:eastAsia="Calibri" w:hAnsi="Calibri"/>
                <w:b/>
                <w:bCs/>
                <w:color w:val="2B2B2B"/>
              </w:rPr>
              <w:t xml:space="preserve">Power BI</w:t>
            </w:r>
            <w:r>
              <w:rPr>
                <w:rFonts w:ascii="Calibri" w:cs="Calibri" w:eastAsia="Calibri" w:hAnsi="Calibri"/>
                <w:color w:val="2B2B2B"/>
              </w:rPr>
              <w:t xml:space="preserve"> (análisis colaborativo).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785"/>
        <w:sz w:val="18"/>
        <w:szCs w:val="18"/>
      </w:rPr>
      <w:t xml:space="preserve">Página </w:t>
    </w:r>
    <w:r>
      <w:rPr>
        <w:rFonts w:ascii="Calibri" w:cs="Calibri" w:eastAsia="Calibri" w:hAnsi="Calibri"/>
        <w:color w:val="6B778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785"/>
        <w:sz w:val="18"/>
        <w:szCs w:val="18"/>
      </w:rPr>
      <w:t xml:space="preserve"> de </w:t>
    </w:r>
    <w:r>
      <w:rPr>
        <w:rFonts w:ascii="Calibri" w:cs="Calibri" w:eastAsia="Calibri" w:hAnsi="Calibri"/>
        <w:color w:val="6B778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5DBE1" w:sz="4" w:space="4"/>
      </w:pBdr>
      <w:tabs>
        <w:tab w:val="right" w:pos="9360"/>
      </w:tabs>
    </w:pPr>
    <w:r>
      <w:rPr>
        <w:rFonts w:ascii="Calibri" w:cs="Calibri" w:eastAsia="Calibri" w:hAnsi="Calibri"/>
        <w:color w:val="6B7785"/>
        <w:sz w:val="18"/>
        <w:szCs w:val="18"/>
      </w:rPr>
      <w:t xml:space="preserve">Proyecto de Apuestas Deportivas</w:t>
    </w:r>
    <w:r>
      <w:rPr>
        <w:rFonts w:ascii="Calibri" w:cs="Calibri" w:eastAsia="Calibri" w:hAnsi="Calibri"/>
        <w:color w:val="6B7785"/>
        <w:sz w:val="18"/>
        <w:szCs w:val="18"/>
      </w:rPr>
      <w:t xml:space="preserve">	Informe Técnico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A9D8F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2A9D8F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Calibri" w:cs="Calibri" w:eastAsia="Calibri" w:hAnsi="Calibri"/>
      <w:b/>
      <w:bCs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- Proyecto de Apuestas</dc:title>
  <dc:creator>Proyecto de Apuestas</dc:creator>
  <cp:lastModifiedBy>Un-named</cp:lastModifiedBy>
  <cp:revision>1</cp:revision>
  <dcterms:created xsi:type="dcterms:W3CDTF">2026-09-29T04:44:58.605Z</dcterms:created>
  <dcterms:modified xsi:type="dcterms:W3CDTF">2026-09-29T04:44:58.605Z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