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5600820"/>
    <w:bookmarkStart w:id="1" w:name="_Ref1057048"/>
    <w:bookmarkStart w:id="2" w:name="_Toc1382190"/>
    <w:bookmarkStart w:id="3" w:name="_Toc1395646"/>
    <w:bookmarkStart w:id="4" w:name="_Toc235596687"/>
    <w:p w14:paraId="78537649" w14:textId="1058AB5E" w:rsidR="008A4498" w:rsidRPr="008A4498" w:rsidRDefault="00124684" w:rsidP="00DE3E50">
      <w:pPr>
        <w:pStyle w:val="SuEText"/>
        <w:jc w:val="center"/>
        <w:rPr>
          <w:b/>
          <w:bCs/>
        </w:rPr>
      </w:pPr>
      <w:r w:rsidRPr="00B07693">
        <w:fldChar w:fldCharType="begin">
          <w:ffData>
            <w:name w:val=""/>
            <w:enabled/>
            <w:calcOnExit w:val="0"/>
            <w:textInput>
              <w:type w:val="number"/>
              <w:default w:val="[Name of the Company]"/>
            </w:textInput>
          </w:ffData>
        </w:fldChar>
      </w:r>
      <w:r w:rsidRPr="00B07693">
        <w:instrText xml:space="preserve"> FORMTEXT </w:instrText>
      </w:r>
      <w:r w:rsidRPr="00B07693">
        <w:fldChar w:fldCharType="separate"/>
      </w:r>
      <w:r w:rsidR="003A3914">
        <w:rPr>
          <w:noProof/>
        </w:rPr>
        <w:t>[Name of the Company]</w:t>
      </w:r>
      <w:r w:rsidRPr="00B07693">
        <w:fldChar w:fldCharType="end"/>
      </w:r>
      <w:r w:rsidR="00DE3E50">
        <w:br/>
      </w:r>
      <w:r w:rsidR="008A4498" w:rsidRPr="008A4498">
        <w:rPr>
          <w:b/>
          <w:bCs/>
        </w:rPr>
        <w:t>ARTICLES OF ASSOCIATION</w:t>
      </w:r>
    </w:p>
    <w:p w14:paraId="79BB47FD" w14:textId="288102C1" w:rsidR="00F30190" w:rsidRPr="00325950" w:rsidRDefault="008A4498" w:rsidP="00F30190">
      <w:pPr>
        <w:pStyle w:val="SuEprovision1levelheading"/>
      </w:pPr>
      <w:r>
        <w:t>BUSINESS NAME AND SEAT</w:t>
      </w:r>
    </w:p>
    <w:p w14:paraId="20C5ACDF" w14:textId="3EEDF06B" w:rsidR="00F30190" w:rsidRDefault="008A4498" w:rsidP="006C7A73">
      <w:pPr>
        <w:pStyle w:val="SuEprovision2levelheading"/>
      </w:pPr>
      <w:r>
        <w:t>Business name</w:t>
      </w:r>
    </w:p>
    <w:p w14:paraId="492D1362" w14:textId="4E035A43" w:rsidR="008A4498" w:rsidRPr="008A4498" w:rsidRDefault="008A4498" w:rsidP="008A4498">
      <w:pPr>
        <w:pStyle w:val="SuEprovision2levelnonumbering"/>
      </w:pPr>
      <w:r w:rsidRPr="00B07693">
        <w:t>The business name of the company is</w:t>
      </w:r>
      <w:r w:rsidR="00124684">
        <w:t xml:space="preserve"> </w:t>
      </w:r>
      <w:r w:rsidR="00124684" w:rsidRPr="00B07693">
        <w:fldChar w:fldCharType="begin">
          <w:ffData>
            <w:name w:val=""/>
            <w:enabled/>
            <w:calcOnExit w:val="0"/>
            <w:textInput>
              <w:type w:val="number"/>
              <w:default w:val="[insert]"/>
            </w:textInput>
          </w:ffData>
        </w:fldChar>
      </w:r>
      <w:r w:rsidR="00124684" w:rsidRPr="00B07693">
        <w:instrText xml:space="preserve"> FORMTEXT </w:instrText>
      </w:r>
      <w:r w:rsidR="00124684" w:rsidRPr="00B07693">
        <w:fldChar w:fldCharType="separate"/>
      </w:r>
      <w:r w:rsidR="003A3914">
        <w:rPr>
          <w:noProof/>
        </w:rPr>
        <w:t>[insert]</w:t>
      </w:r>
      <w:r w:rsidR="00124684" w:rsidRPr="00B07693">
        <w:fldChar w:fldCharType="end"/>
      </w:r>
      <w:r w:rsidRPr="00B07693">
        <w:t xml:space="preserve"> (the “</w:t>
      </w:r>
      <w:r w:rsidRPr="00B07693">
        <w:rPr>
          <w:b/>
          <w:bCs/>
        </w:rPr>
        <w:t>Company</w:t>
      </w:r>
      <w:r w:rsidRPr="00B07693">
        <w:t>”).</w:t>
      </w:r>
    </w:p>
    <w:p w14:paraId="5A85B982" w14:textId="69190063" w:rsidR="00F30190" w:rsidRDefault="00F45270" w:rsidP="00F45270">
      <w:pPr>
        <w:pStyle w:val="SuEprovision2levelheading"/>
      </w:pPr>
      <w:r>
        <w:t>Seat</w:t>
      </w:r>
    </w:p>
    <w:p w14:paraId="7F30BB1D" w14:textId="3A611C96" w:rsidR="00F45270" w:rsidRDefault="00F45270" w:rsidP="00F45270">
      <w:pPr>
        <w:pStyle w:val="SuEprovision2levelnonumbering"/>
      </w:pPr>
      <w:r>
        <w:t xml:space="preserve">The seat of the Company is </w:t>
      </w:r>
      <w:bookmarkStart w:id="5" w:name="_Hlk137456502"/>
      <w:r w:rsidRPr="00B07693">
        <w:fldChar w:fldCharType="begin">
          <w:ffData>
            <w:name w:val=""/>
            <w:enabled/>
            <w:calcOnExit w:val="0"/>
            <w:textInput>
              <w:type w:val="number"/>
              <w:default w:val="[insert]"/>
            </w:textInput>
          </w:ffData>
        </w:fldChar>
      </w:r>
      <w:r w:rsidRPr="00B07693">
        <w:instrText xml:space="preserve"> FORMTEXT </w:instrText>
      </w:r>
      <w:r w:rsidRPr="00B07693">
        <w:fldChar w:fldCharType="separate"/>
      </w:r>
      <w:r w:rsidR="003A3914">
        <w:rPr>
          <w:noProof/>
        </w:rPr>
        <w:t>[insert]</w:t>
      </w:r>
      <w:r w:rsidRPr="00B07693">
        <w:fldChar w:fldCharType="end"/>
      </w:r>
      <w:bookmarkEnd w:id="5"/>
      <w:r w:rsidRPr="00B07693">
        <w:t>, the Republic of Estonia</w:t>
      </w:r>
      <w:r>
        <w:t>.</w:t>
      </w:r>
    </w:p>
    <w:p w14:paraId="2CB98148" w14:textId="33D232EA" w:rsidR="00F45270" w:rsidRDefault="00F45270" w:rsidP="00F45270">
      <w:pPr>
        <w:pStyle w:val="SuEprovision1levelheading"/>
      </w:pPr>
      <w:r>
        <w:t>share capital and shares</w:t>
      </w:r>
    </w:p>
    <w:p w14:paraId="21F81A78" w14:textId="43365378" w:rsidR="00F45270" w:rsidRDefault="00F45270" w:rsidP="00F45270">
      <w:pPr>
        <w:pStyle w:val="SuEprovision2levelheading"/>
      </w:pPr>
      <w:r>
        <w:t>Amount of Share Capital</w:t>
      </w:r>
    </w:p>
    <w:p w14:paraId="162D0175" w14:textId="4A5780D8" w:rsidR="00F45270" w:rsidRDefault="00F45270" w:rsidP="00124684">
      <w:pPr>
        <w:pStyle w:val="SuEprovision2levelnonumbering"/>
      </w:pPr>
      <w:r w:rsidRPr="00B07693">
        <w:t>The minimum share capital of the Company (the</w:t>
      </w:r>
      <w:r w:rsidR="00124684">
        <w:t xml:space="preserve"> </w:t>
      </w:r>
      <w:r w:rsidRPr="00B07693">
        <w:t>“</w:t>
      </w:r>
      <w:r w:rsidRPr="00B07693">
        <w:rPr>
          <w:b/>
          <w:bCs/>
        </w:rPr>
        <w:t>Share Capital</w:t>
      </w:r>
      <w:r w:rsidRPr="00B07693">
        <w:t xml:space="preserve">”) shall be </w:t>
      </w:r>
      <w:r w:rsidRPr="00B07693">
        <w:fldChar w:fldCharType="begin">
          <w:ffData>
            <w:name w:val=""/>
            <w:enabled/>
            <w:calcOnExit w:val="0"/>
            <w:textInput>
              <w:type w:val="number"/>
              <w:default w:val="[insert]"/>
            </w:textInput>
          </w:ffData>
        </w:fldChar>
      </w:r>
      <w:r w:rsidRPr="00B07693">
        <w:instrText xml:space="preserve"> FORMTEXT </w:instrText>
      </w:r>
      <w:r w:rsidRPr="00B07693">
        <w:fldChar w:fldCharType="separate"/>
      </w:r>
      <w:r w:rsidR="003A3914">
        <w:rPr>
          <w:noProof/>
        </w:rPr>
        <w:t>[insert]</w:t>
      </w:r>
      <w:r w:rsidRPr="00B07693">
        <w:fldChar w:fldCharType="end"/>
      </w:r>
      <w:r w:rsidRPr="00B07693">
        <w:t xml:space="preserve"> euros and the maximum Share Capital shall be </w:t>
      </w:r>
      <w:r w:rsidRPr="00B07693">
        <w:fldChar w:fldCharType="begin">
          <w:ffData>
            <w:name w:val=""/>
            <w:enabled/>
            <w:calcOnExit w:val="0"/>
            <w:textInput>
              <w:type w:val="number"/>
              <w:default w:val="[insert]"/>
            </w:textInput>
          </w:ffData>
        </w:fldChar>
      </w:r>
      <w:r w:rsidRPr="00B07693">
        <w:instrText xml:space="preserve"> FORMTEXT </w:instrText>
      </w:r>
      <w:r w:rsidRPr="00B07693">
        <w:fldChar w:fldCharType="separate"/>
      </w:r>
      <w:r w:rsidR="003A3914">
        <w:rPr>
          <w:noProof/>
        </w:rPr>
        <w:t>[insert]</w:t>
      </w:r>
      <w:r w:rsidRPr="00B07693">
        <w:fldChar w:fldCharType="end"/>
      </w:r>
      <w:r w:rsidRPr="00B07693">
        <w:t xml:space="preserve"> euros. The amount of the Share Capital may be increased and decreased within the limits of the minimum and maximum Share Capital without amending these Articles of Association (the “</w:t>
      </w:r>
      <w:r w:rsidRPr="00B07693">
        <w:rPr>
          <w:b/>
          <w:bCs/>
        </w:rPr>
        <w:t>Articles</w:t>
      </w:r>
      <w:r w:rsidRPr="00B07693">
        <w:t>”).</w:t>
      </w:r>
    </w:p>
    <w:p w14:paraId="3121655C" w14:textId="6916EF8B" w:rsidR="00F45270" w:rsidRDefault="00F45270" w:rsidP="00F45270">
      <w:pPr>
        <w:pStyle w:val="SuEprovision2levelheading"/>
      </w:pPr>
      <w:bookmarkStart w:id="6" w:name="_Ref48252177"/>
      <w:r>
        <w:t>Shares</w:t>
      </w:r>
      <w:bookmarkEnd w:id="6"/>
    </w:p>
    <w:p w14:paraId="2FF09485" w14:textId="447B28FD" w:rsidR="00F45270" w:rsidRDefault="00F45270" w:rsidP="00F45270">
      <w:pPr>
        <w:pStyle w:val="SuEprovision2levelnonumbering"/>
      </w:pPr>
      <w:r w:rsidRPr="00B07693">
        <w:t>The minimum nominal value of each share of the Company (the “</w:t>
      </w:r>
      <w:r w:rsidRPr="00B07693">
        <w:rPr>
          <w:b/>
        </w:rPr>
        <w:t>Share</w:t>
      </w:r>
      <w:r w:rsidRPr="00B07693">
        <w:t xml:space="preserve">”) is </w:t>
      </w:r>
      <w:r w:rsidR="006C4F0C">
        <w:t>one eurocent</w:t>
      </w:r>
      <w:r w:rsidRPr="00B07693">
        <w:t>.</w:t>
      </w:r>
      <w:r w:rsidR="008F5243">
        <w:t xml:space="preserve"> </w:t>
      </w:r>
      <w:r w:rsidR="008F5243" w:rsidRPr="00831A2A">
        <w:rPr>
          <w:szCs w:val="20"/>
        </w:rPr>
        <w:t>If the nominal value of a</w:t>
      </w:r>
      <w:r w:rsidR="00124684">
        <w:rPr>
          <w:szCs w:val="20"/>
        </w:rPr>
        <w:t xml:space="preserve"> </w:t>
      </w:r>
      <w:r w:rsidR="008F5243" w:rsidRPr="00831A2A">
        <w:rPr>
          <w:szCs w:val="20"/>
        </w:rPr>
        <w:t xml:space="preserve">Share is greater, </w:t>
      </w:r>
      <w:r w:rsidR="008F5243">
        <w:rPr>
          <w:szCs w:val="20"/>
        </w:rPr>
        <w:t xml:space="preserve">then </w:t>
      </w:r>
      <w:r w:rsidR="008F5243" w:rsidRPr="00831A2A">
        <w:rPr>
          <w:szCs w:val="20"/>
        </w:rPr>
        <w:t>it shall be a multiple of</w:t>
      </w:r>
      <w:r w:rsidR="006C4F0C">
        <w:rPr>
          <w:szCs w:val="20"/>
        </w:rPr>
        <w:t xml:space="preserve"> one eurocent</w:t>
      </w:r>
      <w:r w:rsidR="008F5243">
        <w:rPr>
          <w:rStyle w:val="FootnoteReference"/>
          <w:szCs w:val="20"/>
        </w:rPr>
        <w:footnoteReference w:id="1"/>
      </w:r>
      <w:r w:rsidR="008F5243" w:rsidRPr="00831A2A">
        <w:rPr>
          <w:szCs w:val="20"/>
        </w:rPr>
        <w:t>.</w:t>
      </w:r>
    </w:p>
    <w:p w14:paraId="3F388EC2" w14:textId="1679B85B" w:rsidR="00F45270" w:rsidRDefault="00F45270" w:rsidP="00F45270">
      <w:pPr>
        <w:pStyle w:val="SuEprovision2levelheading"/>
      </w:pPr>
      <w:r>
        <w:t>Share Premium</w:t>
      </w:r>
    </w:p>
    <w:p w14:paraId="56A24564" w14:textId="37010F03" w:rsidR="00F45270" w:rsidRDefault="00F45270" w:rsidP="00F45270">
      <w:pPr>
        <w:pStyle w:val="SuEprovision2levelnonumbering"/>
      </w:pPr>
      <w:r w:rsidRPr="00F80414">
        <w:t>Shares may be issued at a premium.</w:t>
      </w:r>
    </w:p>
    <w:p w14:paraId="3EA9BA9C" w14:textId="2594D156" w:rsidR="00F45270" w:rsidRDefault="00F45270" w:rsidP="00F45270">
      <w:pPr>
        <w:pStyle w:val="SuEprovision2levelheading"/>
      </w:pPr>
      <w:r>
        <w:t>Shareholders’ rights</w:t>
      </w:r>
    </w:p>
    <w:p w14:paraId="592F8FA1" w14:textId="7B7D9264" w:rsidR="00F45270" w:rsidRDefault="00F45270" w:rsidP="00F45270">
      <w:pPr>
        <w:pStyle w:val="SuEprovision2levelnonumbering"/>
      </w:pPr>
      <w:r w:rsidRPr="00F80414">
        <w:t>The Shares shall grant their holders (the “</w:t>
      </w:r>
      <w:r w:rsidRPr="00F80414">
        <w:rPr>
          <w:b/>
        </w:rPr>
        <w:t>Shareholders</w:t>
      </w:r>
      <w:r w:rsidRPr="00F80414">
        <w:t xml:space="preserve">”) rights set forth in the Articles and, to the extent not set </w:t>
      </w:r>
      <w:r w:rsidR="008F5243">
        <w:t xml:space="preserve">forth </w:t>
      </w:r>
      <w:r w:rsidRPr="00F80414">
        <w:t>herein, the rights set forth in the law.</w:t>
      </w:r>
    </w:p>
    <w:p w14:paraId="23C4FE0E" w14:textId="5A93CEBD" w:rsidR="00F45270" w:rsidRDefault="00F45270" w:rsidP="00F45270">
      <w:pPr>
        <w:pStyle w:val="SuEprovision2levelheading"/>
      </w:pPr>
      <w:bookmarkStart w:id="7" w:name="_Ref48252189"/>
      <w:r>
        <w:t>Voting rights</w:t>
      </w:r>
      <w:bookmarkEnd w:id="7"/>
    </w:p>
    <w:p w14:paraId="736F1275" w14:textId="0FB84B90" w:rsidR="00F45270" w:rsidRDefault="00F45270" w:rsidP="00F45270">
      <w:pPr>
        <w:pStyle w:val="SuEprovision2levelnonumbering"/>
      </w:pPr>
      <w:r w:rsidRPr="00B07693">
        <w:t xml:space="preserve">Each Share shall give its holder the right to participate in the adoption of resolutions on matters within the competence of Shareholders. Each one </w:t>
      </w:r>
      <w:r w:rsidR="006C4F0C">
        <w:t>euro</w:t>
      </w:r>
      <w:r w:rsidRPr="00B07693">
        <w:t>cent of the nominal value of a</w:t>
      </w:r>
      <w:r w:rsidR="00124684">
        <w:t xml:space="preserve"> </w:t>
      </w:r>
      <w:r w:rsidRPr="00B07693">
        <w:t>Share shall grant its holder one vote</w:t>
      </w:r>
      <w:r w:rsidR="008F5243">
        <w:rPr>
          <w:rStyle w:val="FootnoteReference"/>
        </w:rPr>
        <w:footnoteReference w:id="2"/>
      </w:r>
      <w:r>
        <w:t>.</w:t>
      </w:r>
    </w:p>
    <w:p w14:paraId="46A0C571" w14:textId="75C42856" w:rsidR="00F45270" w:rsidRDefault="00F45270" w:rsidP="00F45270">
      <w:pPr>
        <w:pStyle w:val="SuEprovision2levelheading"/>
      </w:pPr>
      <w:r>
        <w:t>Payment for the Share</w:t>
      </w:r>
    </w:p>
    <w:p w14:paraId="712D0E90" w14:textId="69070761" w:rsidR="00F45270" w:rsidRDefault="00F45270" w:rsidP="00F45270">
      <w:pPr>
        <w:pStyle w:val="SuEprovision2levelnonumbering"/>
      </w:pPr>
      <w:r w:rsidRPr="00B07693">
        <w:t>The Share shall be paid for by a monetary and/or a non-monetary contribution. The terms and conditions of payment for the Share shall be established by the resolution of Shareholders. The value of the non-monetary contribution shall be appraised by the</w:t>
      </w:r>
      <w:r w:rsidR="00124684">
        <w:t xml:space="preserve"> </w:t>
      </w:r>
      <w:r w:rsidRPr="00B07693">
        <w:t>management board. In cases provided by law, the appraisal of the value of the non-monetary contribution shall be verified by an auditor who shall present a written opinion whether the value of the non-monetary contribution meets the requirements of the law</w:t>
      </w:r>
      <w:r>
        <w:t>.</w:t>
      </w:r>
    </w:p>
    <w:p w14:paraId="60C18DDF" w14:textId="1143F153" w:rsidR="00F45270" w:rsidRDefault="00F45270" w:rsidP="00F45270">
      <w:pPr>
        <w:pStyle w:val="SuEprovision1levelheading"/>
      </w:pPr>
      <w:r>
        <w:lastRenderedPageBreak/>
        <w:t>PRE-EMPTIVE RIGHT UPON Issues of new equity securities</w:t>
      </w:r>
    </w:p>
    <w:p w14:paraId="363B8835" w14:textId="3395CF7B" w:rsidR="00F45270" w:rsidRDefault="00F45270" w:rsidP="00F45270">
      <w:pPr>
        <w:pStyle w:val="SuEprovision2levelheading"/>
      </w:pPr>
      <w:r>
        <w:t>Pre-emptive Right</w:t>
      </w:r>
    </w:p>
    <w:p w14:paraId="6BE391C9" w14:textId="247099A7" w:rsidR="00F45270" w:rsidRDefault="00F45270" w:rsidP="00F45270">
      <w:pPr>
        <w:pStyle w:val="SuEprovision2levelnonumbering"/>
      </w:pPr>
      <w:r w:rsidRPr="005A1FF9">
        <w:t xml:space="preserve">Subject to </w:t>
      </w:r>
      <w:r w:rsidR="00434BA1">
        <w:t>S</w:t>
      </w:r>
      <w:r w:rsidRPr="005A1FF9">
        <w:t xml:space="preserve">ections </w:t>
      </w:r>
      <w:r w:rsidR="00434BA1">
        <w:fldChar w:fldCharType="begin"/>
      </w:r>
      <w:r w:rsidR="00434BA1">
        <w:instrText xml:space="preserve"> REF _Ref48245473 \r \h </w:instrText>
      </w:r>
      <w:r w:rsidR="00434BA1">
        <w:fldChar w:fldCharType="separate"/>
      </w:r>
      <w:r w:rsidR="003A3914">
        <w:t>3.2</w:t>
      </w:r>
      <w:r w:rsidR="00434BA1">
        <w:fldChar w:fldCharType="end"/>
      </w:r>
      <w:r w:rsidR="00434BA1">
        <w:t xml:space="preserve"> and </w:t>
      </w:r>
      <w:r w:rsidR="00434BA1">
        <w:fldChar w:fldCharType="begin"/>
      </w:r>
      <w:r w:rsidR="00434BA1">
        <w:instrText xml:space="preserve"> REF _Ref48245475 \r \h </w:instrText>
      </w:r>
      <w:r w:rsidR="00434BA1">
        <w:fldChar w:fldCharType="separate"/>
      </w:r>
      <w:r w:rsidR="003A3914">
        <w:t>3.3</w:t>
      </w:r>
      <w:r w:rsidR="00434BA1">
        <w:fldChar w:fldCharType="end"/>
      </w:r>
      <w:r w:rsidRPr="005A1FF9">
        <w:t>, the Shareholders shall have the pro-rata pre-emptive right (the “</w:t>
      </w:r>
      <w:r w:rsidRPr="005A1FF9">
        <w:rPr>
          <w:b/>
        </w:rPr>
        <w:t>Pre-emptive Right</w:t>
      </w:r>
      <w:r w:rsidRPr="005A1FF9">
        <w:t xml:space="preserve">”) to subscribe for new Shares to be issued upon the increase of Share Capital as set forth in </w:t>
      </w:r>
      <w:r w:rsidR="00124684">
        <w:t>Section </w:t>
      </w:r>
      <w:r w:rsidRPr="005A1FF9">
        <w:t>193 of the Commercial Code (the “</w:t>
      </w:r>
      <w:r w:rsidRPr="005A1FF9">
        <w:rPr>
          <w:b/>
        </w:rPr>
        <w:t>New Shares</w:t>
      </w:r>
      <w:r w:rsidRPr="005A1FF9">
        <w:t>”) as well as options, convertible loans and other instruments giving their holders the right to acquire any Shares (together with New Shares "</w:t>
      </w:r>
      <w:r w:rsidRPr="005A1FF9">
        <w:rPr>
          <w:b/>
        </w:rPr>
        <w:t>Equity Securities</w:t>
      </w:r>
      <w:r w:rsidRPr="005A1FF9">
        <w:t>”)</w:t>
      </w:r>
      <w:r>
        <w:t>.</w:t>
      </w:r>
    </w:p>
    <w:p w14:paraId="76658D00" w14:textId="228006D8" w:rsidR="00F45270" w:rsidRDefault="00F45270" w:rsidP="00F45270">
      <w:pPr>
        <w:pStyle w:val="SuEprovision2levelheading"/>
      </w:pPr>
      <w:bookmarkStart w:id="8" w:name="_Ref48245473"/>
      <w:r>
        <w:t>Right to exclude the Pre-emptive Right</w:t>
      </w:r>
      <w:bookmarkEnd w:id="8"/>
    </w:p>
    <w:p w14:paraId="7836111B" w14:textId="26C9DC13" w:rsidR="00F45270" w:rsidRDefault="00F45270" w:rsidP="00F45270">
      <w:pPr>
        <w:pStyle w:val="SuEprovision2levelnonumbering"/>
      </w:pPr>
      <w:r w:rsidRPr="005A1FF9">
        <w:t xml:space="preserve">The Pre-emptive Right to subscribe for Equity Securities may be excluded in accordance with </w:t>
      </w:r>
      <w:r w:rsidR="00124684">
        <w:t>Section </w:t>
      </w:r>
      <w:r w:rsidRPr="005A1FF9">
        <w:t>193(3) of the Commercial Code by a resolution of Shareholders supported by the majority of votes required by law and these Articles</w:t>
      </w:r>
      <w:r>
        <w:t>.</w:t>
      </w:r>
    </w:p>
    <w:p w14:paraId="03931B3A" w14:textId="20D30381" w:rsidR="00F45270" w:rsidRDefault="00F45270" w:rsidP="00F45270">
      <w:pPr>
        <w:pStyle w:val="SuEprovision2levelheading"/>
      </w:pPr>
      <w:bookmarkStart w:id="9" w:name="_Ref48245475"/>
      <w:r>
        <w:t>Obligation to exclude the Pre-emptive Right</w:t>
      </w:r>
      <w:bookmarkEnd w:id="9"/>
    </w:p>
    <w:p w14:paraId="106332E5" w14:textId="691527D1" w:rsidR="00F45270" w:rsidRDefault="00F45270" w:rsidP="00F45270">
      <w:pPr>
        <w:pStyle w:val="SuEprovision2levelnonumbering"/>
      </w:pPr>
      <w:r w:rsidRPr="005A1FF9">
        <w:t xml:space="preserve">The Pre-emptive Right to subscribe for Equity Securities </w:t>
      </w:r>
      <w:r>
        <w:t xml:space="preserve">shall be </w:t>
      </w:r>
      <w:r w:rsidRPr="005A1FF9">
        <w:t>excluded in the following cases:</w:t>
      </w:r>
    </w:p>
    <w:p w14:paraId="1AF92672" w14:textId="77777777" w:rsidR="00124684" w:rsidRDefault="00F45270" w:rsidP="00F45270">
      <w:pPr>
        <w:pStyle w:val="SuEprovision3level"/>
      </w:pPr>
      <w:r w:rsidRPr="005A1FF9">
        <w:t>in respect of any options granted from the Option Pool (as defined below) in accordance with these Articles and in respect of any Shares to be issued under options granted from the Option Pool in accordance with these Articles;</w:t>
      </w:r>
    </w:p>
    <w:p w14:paraId="022AC34D" w14:textId="50DF20C6" w:rsidR="00F45270" w:rsidRPr="00F45270" w:rsidRDefault="00F45270" w:rsidP="00F45270">
      <w:pPr>
        <w:pStyle w:val="SuEprovision3level"/>
      </w:pPr>
      <w:r w:rsidRPr="005A1FF9">
        <w:t>in respect of any Shares to be issued under any Equity Securities approved in accordance with these Articles</w:t>
      </w:r>
      <w:r>
        <w:t>.</w:t>
      </w:r>
    </w:p>
    <w:p w14:paraId="3B3E71C8" w14:textId="55061F5D" w:rsidR="00F45270" w:rsidRDefault="00F45270" w:rsidP="006009FC">
      <w:pPr>
        <w:pStyle w:val="SuEprovision1levelheading"/>
      </w:pPr>
      <w:bookmarkStart w:id="10" w:name="_Toc235600824"/>
      <w:bookmarkStart w:id="11" w:name="_Toc1382194"/>
      <w:bookmarkStart w:id="12" w:name="_Toc1395647"/>
      <w:bookmarkStart w:id="13" w:name="_Toc38315743"/>
      <w:bookmarkStart w:id="14" w:name="_Toc39747672"/>
      <w:bookmarkEnd w:id="0"/>
      <w:bookmarkEnd w:id="1"/>
      <w:bookmarkEnd w:id="2"/>
      <w:bookmarkEnd w:id="3"/>
      <w:bookmarkEnd w:id="4"/>
      <w:r>
        <w:t>Transfer, encumbrances and division of shares</w:t>
      </w:r>
      <w:r w:rsidR="00EA29CE">
        <w:t>, OPTION POOL</w:t>
      </w:r>
    </w:p>
    <w:p w14:paraId="7AF5448A" w14:textId="77777777" w:rsidR="00124684" w:rsidRDefault="00F45270" w:rsidP="00F45270">
      <w:pPr>
        <w:pStyle w:val="SuEprovision2levelheading"/>
      </w:pPr>
      <w:bookmarkStart w:id="15" w:name="_Ref48245202"/>
      <w:r>
        <w:t>Requirement for approval</w:t>
      </w:r>
      <w:bookmarkEnd w:id="15"/>
      <w:r>
        <w:t xml:space="preserve"> for Transfer</w:t>
      </w:r>
    </w:p>
    <w:p w14:paraId="738B3F61" w14:textId="072CC666" w:rsidR="00F45270" w:rsidRDefault="008C02DC" w:rsidP="00F45270">
      <w:pPr>
        <w:pStyle w:val="SuEprovision2levelnonumbering"/>
      </w:pPr>
      <w:r>
        <w:t>Any</w:t>
      </w:r>
      <w:r w:rsidRPr="001C5B98">
        <w:t xml:space="preserve"> Transfer </w:t>
      </w:r>
      <w:r>
        <w:t>of a</w:t>
      </w:r>
      <w:r w:rsidRPr="001C5B98">
        <w:t xml:space="preserve"> Share or </w:t>
      </w:r>
      <w:r w:rsidRPr="002160EE">
        <w:t>a</w:t>
      </w:r>
      <w:r w:rsidRPr="001C5B98">
        <w:t xml:space="preserve"> part </w:t>
      </w:r>
      <w:r w:rsidRPr="002160EE">
        <w:t>of a Share</w:t>
      </w:r>
      <w:r w:rsidRPr="001C5B98">
        <w:t xml:space="preserve"> to </w:t>
      </w:r>
      <w:r w:rsidRPr="002160EE">
        <w:t>a</w:t>
      </w:r>
      <w:r>
        <w:t>nother Founder, Shareholder or a</w:t>
      </w:r>
      <w:r w:rsidRPr="001C5B98">
        <w:t xml:space="preserve"> third </w:t>
      </w:r>
      <w:r>
        <w:t>person, other than</w:t>
      </w:r>
      <w:r w:rsidRPr="001C5B98">
        <w:t xml:space="preserve"> the </w:t>
      </w:r>
      <w:r>
        <w:t>Company, shall require the approval of</w:t>
      </w:r>
      <w:r w:rsidRPr="001C5B98">
        <w:t xml:space="preserve"> </w:t>
      </w:r>
      <w:bookmarkStart w:id="16" w:name="_Hlk136911753"/>
      <w:r w:rsidRPr="001C5B98">
        <w:t>the Management Board at least in the form reproducible in writing</w:t>
      </w:r>
      <w:r>
        <w:t xml:space="preserve"> (with more than half of the members of the Management Board supporting such approval)</w:t>
      </w:r>
      <w:r w:rsidRPr="001C5B98">
        <w:t>.</w:t>
      </w:r>
      <w:bookmarkEnd w:id="16"/>
      <w:r w:rsidRPr="001C5B98">
        <w:t xml:space="preserve"> The Management Board is </w:t>
      </w:r>
      <w:r>
        <w:t xml:space="preserve">obliged to give the aforementioned </w:t>
      </w:r>
      <w:r w:rsidRPr="00B87DBE">
        <w:t xml:space="preserve">approval if </w:t>
      </w:r>
      <w:r>
        <w:t>all</w:t>
      </w:r>
      <w:r w:rsidRPr="001C5B98">
        <w:t xml:space="preserve"> the</w:t>
      </w:r>
      <w:r w:rsidR="00124684">
        <w:t xml:space="preserve"> </w:t>
      </w:r>
      <w:r>
        <w:t xml:space="preserve">terms and conditions of the Founders’ Agreement applicable to the Transfers of Shares have been complied with and it is entitled to give such </w:t>
      </w:r>
      <w:r w:rsidRPr="0004722F">
        <w:t xml:space="preserve">approval </w:t>
      </w:r>
      <w:r w:rsidRPr="00AA15DE">
        <w:rPr>
          <w:u w:val="single"/>
        </w:rPr>
        <w:t>only if</w:t>
      </w:r>
      <w:r>
        <w:t xml:space="preserve"> all such terms and conditions have been complied with.</w:t>
      </w:r>
      <w:r w:rsidR="00F45270" w:rsidRPr="00B07693">
        <w:t>. In these Articles, “</w:t>
      </w:r>
      <w:r w:rsidR="00F45270" w:rsidRPr="00B07693">
        <w:rPr>
          <w:b/>
        </w:rPr>
        <w:t>Transfer</w:t>
      </w:r>
      <w:r w:rsidR="00F45270" w:rsidRPr="00B07693">
        <w:t>” means any assignment, disposal or transfer, whether conducted as a sale, donation, non-monetary contribution or otherwise</w:t>
      </w:r>
      <w:r w:rsidR="00F45270">
        <w:t>.</w:t>
      </w:r>
    </w:p>
    <w:p w14:paraId="62786A47" w14:textId="1EFDDB20" w:rsidR="00F45270" w:rsidRDefault="00F45270" w:rsidP="00F45270">
      <w:pPr>
        <w:pStyle w:val="SuEprovision2levelheading"/>
      </w:pPr>
      <w:bookmarkStart w:id="17" w:name="_Ref48245242"/>
      <w:r>
        <w:t>Approval as a condition</w:t>
      </w:r>
      <w:bookmarkEnd w:id="17"/>
      <w:r>
        <w:t xml:space="preserve"> for Transfer</w:t>
      </w:r>
    </w:p>
    <w:p w14:paraId="0709D308" w14:textId="0B802453" w:rsidR="00F45270" w:rsidRDefault="00F45270" w:rsidP="00F45270">
      <w:pPr>
        <w:pStyle w:val="SuEprovision2levelnonumbering"/>
        <w:rPr>
          <w:bCs/>
        </w:rPr>
      </w:pPr>
      <w:bookmarkStart w:id="18" w:name="_Ref48233779"/>
      <w:r w:rsidRPr="00B07693">
        <w:t xml:space="preserve">The condition set out in </w:t>
      </w:r>
      <w:r w:rsidR="00124684">
        <w:t>Section </w:t>
      </w:r>
      <w:r>
        <w:fldChar w:fldCharType="begin"/>
      </w:r>
      <w:r>
        <w:instrText xml:space="preserve"> REF _Ref48245202 \r \h </w:instrText>
      </w:r>
      <w:r>
        <w:fldChar w:fldCharType="separate"/>
      </w:r>
      <w:r w:rsidR="003A3914">
        <w:t>4.1</w:t>
      </w:r>
      <w:r>
        <w:fldChar w:fldCharType="end"/>
      </w:r>
      <w:r>
        <w:t xml:space="preserve"> </w:t>
      </w:r>
      <w:r w:rsidRPr="00B07693">
        <w:t xml:space="preserve">constitutes a condition for the Transfer of Share within the meaning of the first sentence of </w:t>
      </w:r>
      <w:r w:rsidR="00124684">
        <w:t>Section </w:t>
      </w:r>
      <w:r w:rsidRPr="00B07693">
        <w:t>149(3) of the Commercial Code. Any Transfer of any Share or any part thereof executed without this condition being satisfied shall be null and void.</w:t>
      </w:r>
      <w:bookmarkEnd w:id="18"/>
    </w:p>
    <w:p w14:paraId="5EDBAEC1" w14:textId="18D95CD6" w:rsidR="00F45270" w:rsidRDefault="00F45270" w:rsidP="00F45270">
      <w:pPr>
        <w:pStyle w:val="SuEprovision2levelheading"/>
        <w:rPr>
          <w:bCs/>
        </w:rPr>
      </w:pPr>
      <w:r>
        <w:t>Exemptions from approval for Transfer</w:t>
      </w:r>
    </w:p>
    <w:p w14:paraId="6F413727" w14:textId="0440A446" w:rsidR="00F45270" w:rsidRDefault="00F45270" w:rsidP="00F45270">
      <w:pPr>
        <w:pStyle w:val="SuEprovision2levelnonumbering"/>
        <w:rPr>
          <w:bCs/>
        </w:rPr>
      </w:pPr>
      <w:r w:rsidRPr="00B07693">
        <w:t xml:space="preserve">Sections </w:t>
      </w:r>
      <w:r>
        <w:fldChar w:fldCharType="begin"/>
      </w:r>
      <w:r>
        <w:instrText xml:space="preserve"> REF _Ref48245202 \r \h </w:instrText>
      </w:r>
      <w:r>
        <w:fldChar w:fldCharType="separate"/>
      </w:r>
      <w:r w:rsidR="003A3914">
        <w:t>4.1</w:t>
      </w:r>
      <w:r>
        <w:fldChar w:fldCharType="end"/>
      </w:r>
      <w:r>
        <w:t xml:space="preserve"> and </w:t>
      </w:r>
      <w:r>
        <w:fldChar w:fldCharType="begin"/>
      </w:r>
      <w:r>
        <w:instrText xml:space="preserve"> REF _Ref48245242 \r \h </w:instrText>
      </w:r>
      <w:r>
        <w:fldChar w:fldCharType="separate"/>
      </w:r>
      <w:r w:rsidR="003A3914">
        <w:t>4.2</w:t>
      </w:r>
      <w:r>
        <w:fldChar w:fldCharType="end"/>
      </w:r>
      <w:r>
        <w:t xml:space="preserve"> </w:t>
      </w:r>
      <w:r w:rsidRPr="00B07693">
        <w:t>shall not apply in case of a Transfer by a Shareholder, being an natural person, of his or her Share to a company wholly-owned by such Shareholder, provided that such company adheres to the Company’s shareholders’ agreement in force from time to time in the relevant capacity</w:t>
      </w:r>
      <w:r>
        <w:t>.</w:t>
      </w:r>
    </w:p>
    <w:p w14:paraId="15FC091A" w14:textId="15A088E3" w:rsidR="00F45270" w:rsidRDefault="00F45270" w:rsidP="00F45270">
      <w:pPr>
        <w:pStyle w:val="SuEprovision2levelheading"/>
        <w:rPr>
          <w:bCs/>
        </w:rPr>
      </w:pPr>
      <w:r>
        <w:t xml:space="preserve">Encumbrance of </w:t>
      </w:r>
      <w:r w:rsidR="006C4F0C">
        <w:t xml:space="preserve">a </w:t>
      </w:r>
      <w:r>
        <w:t>Share</w:t>
      </w:r>
    </w:p>
    <w:p w14:paraId="42999D9C" w14:textId="74AB605D" w:rsidR="00F45270" w:rsidRDefault="00F45270" w:rsidP="00F45270">
      <w:pPr>
        <w:pStyle w:val="SuEprovision2levelnonumbering"/>
        <w:rPr>
          <w:bCs/>
        </w:rPr>
      </w:pPr>
      <w:r w:rsidRPr="00B07693">
        <w:t>A Shareholder may not encumber its Share with any Encumbrance, except if all other Shareholders have approved the Encumbrance in advance at least in a form reproducible in writing. For the purposes of these Articles “</w:t>
      </w:r>
      <w:r w:rsidRPr="00B07693">
        <w:rPr>
          <w:b/>
          <w:bCs/>
        </w:rPr>
        <w:t>Encumbrance</w:t>
      </w:r>
      <w:r w:rsidRPr="00B07693">
        <w:t xml:space="preserve">” means (a) a security interest of any kind, including any pledge, mortgage, financial collateral arrangement, retention of title </w:t>
      </w:r>
      <w:r w:rsidRPr="00B07693">
        <w:lastRenderedPageBreak/>
        <w:t>arrangement or security assignment; (b) any claim or right belonging to a third person, including, without limitation, any right of pre-emption, right of first refusal, option, requirement of consent, lease; (c) other encumbrance or restriction of any kind</w:t>
      </w:r>
      <w:r>
        <w:t>.</w:t>
      </w:r>
    </w:p>
    <w:p w14:paraId="6D9CB456" w14:textId="2EF4BA51" w:rsidR="00F45270" w:rsidRDefault="00F45270" w:rsidP="00F45270">
      <w:pPr>
        <w:pStyle w:val="SuEprovision2levelheading"/>
        <w:rPr>
          <w:bCs/>
        </w:rPr>
      </w:pPr>
      <w:r>
        <w:t xml:space="preserve">Division of </w:t>
      </w:r>
      <w:r w:rsidR="006C4F0C">
        <w:t xml:space="preserve">a </w:t>
      </w:r>
      <w:r>
        <w:t>Share</w:t>
      </w:r>
    </w:p>
    <w:p w14:paraId="55CD80BB" w14:textId="66EE20DA" w:rsidR="00F45270" w:rsidRDefault="00F45270" w:rsidP="00F45270">
      <w:pPr>
        <w:pStyle w:val="SuEprovision2levelnonumbering"/>
      </w:pPr>
      <w:r w:rsidRPr="00B07693">
        <w:t>A resolution of Shareholders is not required for the division of a Share</w:t>
      </w:r>
      <w:r>
        <w:t>.</w:t>
      </w:r>
    </w:p>
    <w:p w14:paraId="72AF3D08" w14:textId="77777777" w:rsidR="008C02DC" w:rsidRDefault="008C02DC" w:rsidP="008C02DC">
      <w:pPr>
        <w:pStyle w:val="SuEprovision2levelheading"/>
      </w:pPr>
      <w:r>
        <w:t>Formal requirement for the disposition and pledge of Shares</w:t>
      </w:r>
    </w:p>
    <w:p w14:paraId="47C54AE0" w14:textId="0E95A71B" w:rsidR="008C02DC" w:rsidRPr="008C02DC" w:rsidRDefault="008C02DC" w:rsidP="001A2F9F">
      <w:pPr>
        <w:pStyle w:val="SuEprovision2levelnonumbering"/>
      </w:pPr>
      <w:r w:rsidRPr="008C02DC">
        <w:t xml:space="preserve">If the Share Capital is at least </w:t>
      </w:r>
      <w:r w:rsidR="00124684">
        <w:t>EUR </w:t>
      </w:r>
      <w:r w:rsidRPr="008C02DC">
        <w:t xml:space="preserve">10,000 and is fully paid in, the formal requirement to notarise a transaction for the disposition of a Share as set forth in </w:t>
      </w:r>
      <w:r w:rsidR="00124684">
        <w:t>Section </w:t>
      </w:r>
      <w:r w:rsidRPr="008C02DC">
        <w:t>149(4) of the Commercial Code shall not apply. In such case, a transaction for the disposition or pledge of a Share must be at least in a format which can be reproduced in writing.</w:t>
      </w:r>
    </w:p>
    <w:p w14:paraId="603C3A9D" w14:textId="673B71DF" w:rsidR="00F45270" w:rsidRDefault="00F45270" w:rsidP="006009FC">
      <w:pPr>
        <w:pStyle w:val="SuEprovision1levelheading"/>
      </w:pPr>
      <w:r>
        <w:t>shareholders</w:t>
      </w:r>
    </w:p>
    <w:p w14:paraId="6E8C743E" w14:textId="539CBEA0" w:rsidR="00F45270" w:rsidRDefault="00F45270" w:rsidP="00F45270">
      <w:pPr>
        <w:pStyle w:val="SuEprovision2levelheading"/>
      </w:pPr>
      <w:r>
        <w:t>Competence of Shareholders</w:t>
      </w:r>
    </w:p>
    <w:p w14:paraId="61CDA399" w14:textId="77777777" w:rsidR="00F45270" w:rsidRPr="00B07693" w:rsidRDefault="00F45270" w:rsidP="00F45270">
      <w:pPr>
        <w:pStyle w:val="SuEprovision2levelnonumbering"/>
      </w:pPr>
      <w:r w:rsidRPr="00B07693">
        <w:t>The following matters shall be within the competence of Shareholders:</w:t>
      </w:r>
    </w:p>
    <w:p w14:paraId="695FA031" w14:textId="77777777" w:rsidR="00F45270" w:rsidRPr="00B07693" w:rsidRDefault="00F45270" w:rsidP="00F45270">
      <w:pPr>
        <w:pStyle w:val="SuEprovision3level"/>
      </w:pPr>
      <w:bookmarkStart w:id="19" w:name="_Ref48245499"/>
      <w:r w:rsidRPr="00B07693">
        <w:t>amending the Articles;</w:t>
      </w:r>
      <w:bookmarkEnd w:id="19"/>
    </w:p>
    <w:p w14:paraId="50FBA2E3" w14:textId="61CE2FB0" w:rsidR="00124684" w:rsidRDefault="00F45270" w:rsidP="00F45270">
      <w:pPr>
        <w:pStyle w:val="SuEprovision3level"/>
      </w:pPr>
      <w:r w:rsidRPr="00B07693">
        <w:t xml:space="preserve">changing the Share Capital; excluding the Pre-Emptive Right considering </w:t>
      </w:r>
      <w:r>
        <w:t>S</w:t>
      </w:r>
      <w:r w:rsidRPr="00B07693">
        <w:t>ections</w:t>
      </w:r>
      <w:r>
        <w:t xml:space="preserve"> </w:t>
      </w:r>
      <w:r>
        <w:fldChar w:fldCharType="begin"/>
      </w:r>
      <w:r>
        <w:instrText xml:space="preserve"> REF _Ref48245473 \r \h </w:instrText>
      </w:r>
      <w:r>
        <w:fldChar w:fldCharType="separate"/>
      </w:r>
      <w:r w:rsidR="003A3914">
        <w:t>3.2</w:t>
      </w:r>
      <w:r>
        <w:fldChar w:fldCharType="end"/>
      </w:r>
      <w:r>
        <w:t xml:space="preserve"> and </w:t>
      </w:r>
      <w:r>
        <w:fldChar w:fldCharType="begin"/>
      </w:r>
      <w:r>
        <w:instrText xml:space="preserve"> REF _Ref48245475 \r \h </w:instrText>
      </w:r>
      <w:r>
        <w:fldChar w:fldCharType="separate"/>
      </w:r>
      <w:r w:rsidR="003A3914">
        <w:t>3.3</w:t>
      </w:r>
      <w:r>
        <w:fldChar w:fldCharType="end"/>
      </w:r>
      <w:r w:rsidRPr="00B07693">
        <w:t>,</w:t>
      </w:r>
    </w:p>
    <w:p w14:paraId="0CAB8C59" w14:textId="1392C10F" w:rsidR="008C02DC" w:rsidRDefault="008C02DC" w:rsidP="008C02DC">
      <w:pPr>
        <w:pStyle w:val="SuEprovision3level"/>
      </w:pPr>
      <w:bookmarkStart w:id="20" w:name="_Ref136723929"/>
      <w:r>
        <w:t xml:space="preserve">granting or issuing options, convertible loans, convertible notes or other instruments giving their holders the right to acquire new Shares (through conversion, exercise or otherwise), except granting or issuing options in accordance with an option plan or program approved in accordance with </w:t>
      </w:r>
      <w:r w:rsidR="00124684">
        <w:t>Section </w:t>
      </w:r>
      <w:r>
        <w:fldChar w:fldCharType="begin"/>
      </w:r>
      <w:r>
        <w:instrText xml:space="preserve"> REF _Ref134390863 \r \h </w:instrText>
      </w:r>
      <w:r>
        <w:fldChar w:fldCharType="separate"/>
      </w:r>
      <w:r w:rsidR="003A3914">
        <w:t>5.1.5</w:t>
      </w:r>
      <w:r>
        <w:fldChar w:fldCharType="end"/>
      </w:r>
      <w:r>
        <w:t xml:space="preserve"> with respect to the Common Shares with the aggregate nominal value approved in accordance with </w:t>
      </w:r>
      <w:r w:rsidR="00124684">
        <w:t>Section </w:t>
      </w:r>
      <w:r>
        <w:fldChar w:fldCharType="begin"/>
      </w:r>
      <w:r>
        <w:instrText xml:space="preserve"> REF _Ref134390670 \r \h </w:instrText>
      </w:r>
      <w:r>
        <w:fldChar w:fldCharType="separate"/>
      </w:r>
      <w:r w:rsidR="003A3914">
        <w:t>5.1.6</w:t>
      </w:r>
      <w:r>
        <w:fldChar w:fldCharType="end"/>
      </w:r>
      <w:r>
        <w:t>; amending the material terms and conditions of any aforementioned transaction</w:t>
      </w:r>
      <w:r>
        <w:rPr>
          <w:szCs w:val="20"/>
        </w:rPr>
        <w:t>;</w:t>
      </w:r>
      <w:bookmarkEnd w:id="20"/>
    </w:p>
    <w:p w14:paraId="14CB2496" w14:textId="5E5D5BF7" w:rsidR="008C02DC" w:rsidRDefault="008C02DC" w:rsidP="008C02DC">
      <w:pPr>
        <w:pStyle w:val="SuEprovision3level"/>
      </w:pPr>
      <w:r w:rsidRPr="001D50FD">
        <w:t xml:space="preserve">excluding the </w:t>
      </w:r>
      <w:r>
        <w:t>p</w:t>
      </w:r>
      <w:r w:rsidRPr="001D50FD">
        <w:t>re-</w:t>
      </w:r>
      <w:r>
        <w:t>e</w:t>
      </w:r>
      <w:r w:rsidRPr="001D50FD">
        <w:t xml:space="preserve">mptive </w:t>
      </w:r>
      <w:r>
        <w:t>r</w:t>
      </w:r>
      <w:r w:rsidRPr="001D50FD">
        <w:t xml:space="preserve">ight </w:t>
      </w:r>
      <w:r>
        <w:t xml:space="preserve">to subscribe for new Shares or instruments specified in </w:t>
      </w:r>
      <w:r w:rsidR="00124684">
        <w:t>Section </w:t>
      </w:r>
      <w:r>
        <w:fldChar w:fldCharType="begin"/>
      </w:r>
      <w:r>
        <w:instrText xml:space="preserve"> REF _Ref136723929 \r \h </w:instrText>
      </w:r>
      <w:r>
        <w:fldChar w:fldCharType="separate"/>
      </w:r>
      <w:r w:rsidR="003A3914">
        <w:t>5.1.3</w:t>
      </w:r>
      <w:r>
        <w:fldChar w:fldCharType="end"/>
      </w:r>
      <w:r w:rsidRPr="001D50FD">
        <w:t>;</w:t>
      </w:r>
    </w:p>
    <w:p w14:paraId="7264A424" w14:textId="139C0F6C" w:rsidR="008C02DC" w:rsidRPr="008C02DC" w:rsidRDefault="008C02DC" w:rsidP="008C02DC">
      <w:pPr>
        <w:pStyle w:val="SuEprovision3level"/>
      </w:pPr>
      <w:bookmarkStart w:id="21" w:name="_Ref134390863"/>
      <w:r>
        <w:t>approving, and changing any material terms of, any option plan or program</w:t>
      </w:r>
      <w:r>
        <w:rPr>
          <w:szCs w:val="20"/>
        </w:rPr>
        <w:t>;</w:t>
      </w:r>
      <w:bookmarkEnd w:id="21"/>
    </w:p>
    <w:bookmarkStart w:id="22" w:name="_Ref134390670"/>
    <w:p w14:paraId="1EAE8C89" w14:textId="4D91C52A" w:rsidR="008C02DC" w:rsidRDefault="00A225BC" w:rsidP="008C02DC">
      <w:pPr>
        <w:pStyle w:val="SuEprovision3level"/>
      </w:pPr>
      <w:r>
        <w:fldChar w:fldCharType="begin">
          <w:ffData>
            <w:name w:val=""/>
            <w:enabled/>
            <w:calcOnExit w:val="0"/>
            <w:textInput>
              <w:type w:val="number"/>
              <w:default w:val="[OPTIONAL: "/>
            </w:textInput>
          </w:ffData>
        </w:fldChar>
      </w:r>
      <w:r>
        <w:instrText xml:space="preserve"> FORMTEXT </w:instrText>
      </w:r>
      <w:r>
        <w:fldChar w:fldCharType="separate"/>
      </w:r>
      <w:r w:rsidR="003A3914">
        <w:rPr>
          <w:noProof/>
        </w:rPr>
        <w:t xml:space="preserve">[OPTIONAL: </w:t>
      </w:r>
      <w:r>
        <w:fldChar w:fldCharType="end"/>
      </w:r>
      <w:r w:rsidR="008C02DC">
        <w:t>approving, and changing the aggregate nominal value of Common Shares reserved for issuance under any option plan or program;</w:t>
      </w:r>
      <w:bookmarkEnd w:id="22"/>
      <w:r>
        <w:fldChar w:fldCharType="begin">
          <w:ffData>
            <w:name w:val=""/>
            <w:enabled/>
            <w:calcOnExit w:val="0"/>
            <w:textInput>
              <w:type w:val="number"/>
              <w:default w:val="]"/>
            </w:textInput>
          </w:ffData>
        </w:fldChar>
      </w:r>
      <w:r>
        <w:instrText xml:space="preserve"> FORMTEXT </w:instrText>
      </w:r>
      <w:r>
        <w:fldChar w:fldCharType="separate"/>
      </w:r>
      <w:r w:rsidR="003A3914">
        <w:rPr>
          <w:noProof/>
        </w:rPr>
        <w:t>]</w:t>
      </w:r>
      <w:r>
        <w:fldChar w:fldCharType="end"/>
      </w:r>
    </w:p>
    <w:p w14:paraId="4E1574B8" w14:textId="34FE2480" w:rsidR="00F45270" w:rsidRPr="00B07693" w:rsidRDefault="00F45270" w:rsidP="00F45270">
      <w:pPr>
        <w:pStyle w:val="SuEprovision3level"/>
      </w:pPr>
      <w:r w:rsidRPr="00B07693">
        <w:t>acquiring own Shares and Transferring such Shares;</w:t>
      </w:r>
    </w:p>
    <w:p w14:paraId="282B88F8" w14:textId="77777777" w:rsidR="00F45270" w:rsidRPr="00B07693" w:rsidRDefault="00F45270" w:rsidP="00F45270">
      <w:pPr>
        <w:pStyle w:val="SuEprovision3level"/>
      </w:pPr>
      <w:r w:rsidRPr="00B07693">
        <w:t>deciding on merger, division, transformation or dissolution of the Company;</w:t>
      </w:r>
    </w:p>
    <w:p w14:paraId="29324891" w14:textId="77777777" w:rsidR="00F45270" w:rsidRPr="00B07693" w:rsidRDefault="00F45270" w:rsidP="00F45270">
      <w:pPr>
        <w:pStyle w:val="SuEprovision3level"/>
      </w:pPr>
      <w:r w:rsidRPr="00B07693">
        <w:t>disposal of all or substantially all the Company´s assets (including intellectual property rights), or the granting of an exclusive license over all or substantially all the intellectual property rights of the Company;</w:t>
      </w:r>
    </w:p>
    <w:p w14:paraId="0916BE8B" w14:textId="77777777" w:rsidR="00F45270" w:rsidRPr="00B07693" w:rsidRDefault="00F45270" w:rsidP="00F45270">
      <w:pPr>
        <w:pStyle w:val="SuEprovision3level"/>
      </w:pPr>
      <w:r w:rsidRPr="00B07693">
        <w:t>distributing profit;</w:t>
      </w:r>
    </w:p>
    <w:p w14:paraId="48988222" w14:textId="77777777" w:rsidR="00F45270" w:rsidRPr="00B07693" w:rsidRDefault="00F45270" w:rsidP="00F45270">
      <w:pPr>
        <w:pStyle w:val="SuEprovision3level"/>
      </w:pPr>
      <w:r w:rsidRPr="00B07693">
        <w:t>electing and recalling members of the management board;</w:t>
      </w:r>
    </w:p>
    <w:p w14:paraId="1DC52F91" w14:textId="77777777" w:rsidR="00F45270" w:rsidRPr="00B07693" w:rsidRDefault="00F45270" w:rsidP="00F45270">
      <w:pPr>
        <w:pStyle w:val="SuEprovision3level"/>
      </w:pPr>
      <w:r w:rsidRPr="00B07693">
        <w:t>approving the annual report;</w:t>
      </w:r>
    </w:p>
    <w:p w14:paraId="30BE7FA7" w14:textId="77777777" w:rsidR="00F45270" w:rsidRPr="00B07693" w:rsidRDefault="00F45270" w:rsidP="00F45270">
      <w:pPr>
        <w:pStyle w:val="SuEprovision3level"/>
      </w:pPr>
      <w:r w:rsidRPr="00B07693">
        <w:t>electing an auditor;</w:t>
      </w:r>
    </w:p>
    <w:p w14:paraId="1734096E" w14:textId="77777777" w:rsidR="00F45270" w:rsidRPr="00B07693" w:rsidRDefault="00F45270" w:rsidP="00F45270">
      <w:pPr>
        <w:pStyle w:val="SuEprovision3level"/>
      </w:pPr>
      <w:bookmarkStart w:id="23" w:name="_Ref48245505"/>
      <w:r w:rsidRPr="00B07693">
        <w:t>designating special audit and approving the procedure for the remuneration of the special auditor;</w:t>
      </w:r>
      <w:bookmarkEnd w:id="23"/>
    </w:p>
    <w:p w14:paraId="425A79AF" w14:textId="2715E13E" w:rsidR="00F45270" w:rsidRPr="00B07693" w:rsidRDefault="00F45270" w:rsidP="00F45270">
      <w:pPr>
        <w:pStyle w:val="SuEprovision3level"/>
      </w:pPr>
      <w:bookmarkStart w:id="24" w:name="_Ref48245600"/>
      <w:r w:rsidRPr="00B07693">
        <w:t xml:space="preserve">taking any of the actions specified in </w:t>
      </w:r>
      <w:r>
        <w:t>S</w:t>
      </w:r>
      <w:r w:rsidRPr="00B07693">
        <w:t xml:space="preserve">ections </w:t>
      </w:r>
      <w:r w:rsidR="007E307C">
        <w:fldChar w:fldCharType="begin"/>
      </w:r>
      <w:r w:rsidR="007E307C">
        <w:instrText xml:space="preserve"> REF _Ref48245499 \r \h </w:instrText>
      </w:r>
      <w:r w:rsidR="007E307C">
        <w:fldChar w:fldCharType="separate"/>
      </w:r>
      <w:r w:rsidR="003A3914">
        <w:t>5.1.1</w:t>
      </w:r>
      <w:r w:rsidR="007E307C">
        <w:fldChar w:fldCharType="end"/>
      </w:r>
      <w:r w:rsidR="007E307C">
        <w:t xml:space="preserve">- </w:t>
      </w:r>
      <w:r w:rsidR="007E307C">
        <w:fldChar w:fldCharType="begin"/>
      </w:r>
      <w:r w:rsidR="007E307C">
        <w:instrText xml:space="preserve"> REF _Ref48245505 \r \h </w:instrText>
      </w:r>
      <w:r w:rsidR="007E307C">
        <w:fldChar w:fldCharType="separate"/>
      </w:r>
      <w:r w:rsidR="003A3914">
        <w:t>5.1.14</w:t>
      </w:r>
      <w:r w:rsidR="007E307C">
        <w:fldChar w:fldCharType="end"/>
      </w:r>
      <w:r w:rsidR="007E307C">
        <w:t xml:space="preserve"> </w:t>
      </w:r>
      <w:r w:rsidRPr="00B07693">
        <w:t>with respect to any subsidiary of the Company;</w:t>
      </w:r>
      <w:bookmarkEnd w:id="24"/>
    </w:p>
    <w:p w14:paraId="3F49D94A" w14:textId="32475E58" w:rsidR="00F45270" w:rsidRDefault="00F45270" w:rsidP="00F45270">
      <w:pPr>
        <w:pStyle w:val="SuEprovision3level"/>
      </w:pPr>
      <w:r w:rsidRPr="00B07693">
        <w:t>resolving other matters placed within the competence of Shareholders by law</w:t>
      </w:r>
      <w:r w:rsidR="007E307C">
        <w:t>.</w:t>
      </w:r>
    </w:p>
    <w:p w14:paraId="76FB1E6C" w14:textId="32DC6897" w:rsidR="007E307C" w:rsidRDefault="007E307C" w:rsidP="007E307C">
      <w:pPr>
        <w:pStyle w:val="SuEprovision2levelheading"/>
      </w:pPr>
      <w:r>
        <w:lastRenderedPageBreak/>
        <w:t>Resolutions of Shareholders</w:t>
      </w:r>
    </w:p>
    <w:p w14:paraId="4CA547B7" w14:textId="25CDB081" w:rsidR="007E307C" w:rsidRDefault="007E307C" w:rsidP="007E307C">
      <w:pPr>
        <w:pStyle w:val="SuEprovision2levelnonumbering"/>
      </w:pPr>
      <w:r w:rsidRPr="00B07693">
        <w:t xml:space="preserve">The Shareholders shall adopt resolutions on matters within their competence either at the meeting in accordance with </w:t>
      </w:r>
      <w:r w:rsidR="00124684">
        <w:t>Section </w:t>
      </w:r>
      <w:r>
        <w:fldChar w:fldCharType="begin"/>
      </w:r>
      <w:r>
        <w:instrText xml:space="preserve"> REF _Ref48245846 \r \h </w:instrText>
      </w:r>
      <w:r>
        <w:fldChar w:fldCharType="separate"/>
      </w:r>
      <w:r w:rsidR="003A3914">
        <w:t>5.3</w:t>
      </w:r>
      <w:r>
        <w:fldChar w:fldCharType="end"/>
      </w:r>
      <w:r w:rsidRPr="00B07693">
        <w:t xml:space="preserve"> or without convening a meeting in accordance with </w:t>
      </w:r>
      <w:r w:rsidR="00124684">
        <w:t>Section </w:t>
      </w:r>
      <w:r>
        <w:fldChar w:fldCharType="begin"/>
      </w:r>
      <w:r>
        <w:instrText xml:space="preserve"> REF _Ref48245860 \r \h </w:instrText>
      </w:r>
      <w:r>
        <w:fldChar w:fldCharType="separate"/>
      </w:r>
      <w:r w:rsidR="003A3914">
        <w:t>5.4</w:t>
      </w:r>
      <w:r>
        <w:fldChar w:fldCharType="end"/>
      </w:r>
      <w:r w:rsidRPr="00B07693">
        <w:t>.</w:t>
      </w:r>
    </w:p>
    <w:p w14:paraId="30720AD3" w14:textId="7D1DDCA9" w:rsidR="007E307C" w:rsidRDefault="007E307C" w:rsidP="007E307C">
      <w:pPr>
        <w:pStyle w:val="SuEprovision2levelheading"/>
      </w:pPr>
      <w:bookmarkStart w:id="25" w:name="_Ref48245846"/>
      <w:r>
        <w:t>Meeting of Shareholders</w:t>
      </w:r>
      <w:bookmarkEnd w:id="25"/>
    </w:p>
    <w:p w14:paraId="199B45C9" w14:textId="77777777" w:rsidR="007E307C" w:rsidRPr="00B07693" w:rsidRDefault="007E307C" w:rsidP="007E307C">
      <w:pPr>
        <w:pStyle w:val="SuEprovision3level"/>
      </w:pPr>
      <w:r w:rsidRPr="00B07693">
        <w:t>The meeting of Shareholders shall take place at the time and venue determined by the management board.</w:t>
      </w:r>
    </w:p>
    <w:p w14:paraId="74D0E105" w14:textId="77777777" w:rsidR="007E307C" w:rsidRPr="00B07693" w:rsidRDefault="007E307C" w:rsidP="007E307C">
      <w:pPr>
        <w:pStyle w:val="SuEprovision3level"/>
      </w:pPr>
      <w:r w:rsidRPr="00B07693">
        <w:t>The meeting of Shareholders shall be convened by the management board unless otherwise provided by law. The management board shall notify all Shareholders of convening the meeting of the Shareholders in a way that the relevant notice would reach the addressee at least seven days prior to the meeting of Shareholders.</w:t>
      </w:r>
    </w:p>
    <w:p w14:paraId="7DA74C68" w14:textId="096BF28D" w:rsidR="007E307C" w:rsidRDefault="007E307C" w:rsidP="007E307C">
      <w:pPr>
        <w:pStyle w:val="SuEprovision3level"/>
      </w:pPr>
      <w:r w:rsidRPr="00B07693">
        <w:t xml:space="preserve">A meeting of Shareholders shall be competent to adopt resolutions in any of the matters specified in </w:t>
      </w:r>
      <w:r>
        <w:t>S</w:t>
      </w:r>
      <w:r w:rsidRPr="00B07693">
        <w:t xml:space="preserve">ections </w:t>
      </w:r>
      <w:r>
        <w:fldChar w:fldCharType="begin"/>
      </w:r>
      <w:r>
        <w:instrText xml:space="preserve"> REF _Ref48245499 \r \h </w:instrText>
      </w:r>
      <w:r>
        <w:fldChar w:fldCharType="separate"/>
      </w:r>
      <w:r w:rsidR="003A3914">
        <w:t>5.1.1</w:t>
      </w:r>
      <w:r>
        <w:fldChar w:fldCharType="end"/>
      </w:r>
      <w:r>
        <w:t>-</w:t>
      </w:r>
      <w:r>
        <w:fldChar w:fldCharType="begin"/>
      </w:r>
      <w:r>
        <w:instrText xml:space="preserve"> REF _Ref48245600 \r \h </w:instrText>
      </w:r>
      <w:r>
        <w:fldChar w:fldCharType="separate"/>
      </w:r>
      <w:r w:rsidR="003A3914">
        <w:t>5.1.15</w:t>
      </w:r>
      <w:r>
        <w:fldChar w:fldCharType="end"/>
      </w:r>
      <w:r>
        <w:t xml:space="preserve"> </w:t>
      </w:r>
      <w:r w:rsidRPr="00B07693">
        <w:t>only if more than half of the votes represented by all Shares are represented at the meeting.</w:t>
      </w:r>
    </w:p>
    <w:p w14:paraId="2B74546D" w14:textId="77777777" w:rsidR="007E307C" w:rsidRPr="00B07693" w:rsidRDefault="007E307C" w:rsidP="007E307C">
      <w:pPr>
        <w:pStyle w:val="SuEprovision2levelheading"/>
      </w:pPr>
      <w:bookmarkStart w:id="26" w:name="_Ref48245860"/>
      <w:r w:rsidRPr="00B07693">
        <w:t>Adoption of resolutions without convening a meeting of Shareholders</w:t>
      </w:r>
      <w:bookmarkEnd w:id="26"/>
    </w:p>
    <w:p w14:paraId="476E5C10" w14:textId="0CAA8926" w:rsidR="007E307C" w:rsidRDefault="007E307C" w:rsidP="007E307C">
      <w:pPr>
        <w:pStyle w:val="SuEprovision3level"/>
      </w:pPr>
      <w:bookmarkStart w:id="27" w:name="_Ref48245673"/>
      <w:r w:rsidRPr="00B07693">
        <w:t>To adopt a resolution without convening the meeting of Shareholders as set forth in Article 173 of the Commercial Code, the management board shall send a notice together with a draft of the resolution, at least in a form reproducible in writing, to all Shareholders specifying the term, which may not be shorter than five days, during which a Shareholder must present its opinion on the resolution at least in a form reproducible in writing. If a Shareholder does not respond within this term, the Shareholder shall be deemed to have voted against the resolution.</w:t>
      </w:r>
      <w:r>
        <w:t xml:space="preserve"> </w:t>
      </w:r>
      <w:r w:rsidRPr="00B07693">
        <w:t>The management board shall prepare a voting record of the voting results and shall send it to all Shareholders without delay.</w:t>
      </w:r>
      <w:bookmarkEnd w:id="27"/>
    </w:p>
    <w:p w14:paraId="2874CC46" w14:textId="236E3284" w:rsidR="007E307C" w:rsidRDefault="007E307C" w:rsidP="007E307C">
      <w:pPr>
        <w:pStyle w:val="SuEprovision3level"/>
      </w:pPr>
      <w:r w:rsidRPr="00B07693">
        <w:t xml:space="preserve">A resolution of Shareholders may be adopted without observing the procedure set forth in </w:t>
      </w:r>
      <w:r w:rsidR="00124684">
        <w:t>Section </w:t>
      </w:r>
      <w:r>
        <w:fldChar w:fldCharType="begin"/>
      </w:r>
      <w:r>
        <w:instrText xml:space="preserve"> REF _Ref48245673 \r \h </w:instrText>
      </w:r>
      <w:r>
        <w:fldChar w:fldCharType="separate"/>
      </w:r>
      <w:r w:rsidR="003A3914">
        <w:t>5.4.1</w:t>
      </w:r>
      <w:r>
        <w:fldChar w:fldCharType="end"/>
      </w:r>
      <w:r w:rsidRPr="00B07693">
        <w:t>, provided that the resolution is drafted in the manner set forth in the law and signed by all Shareholders. In such a case, the resolution is adopted if it has been signed by all Shareholders.</w:t>
      </w:r>
    </w:p>
    <w:p w14:paraId="062B6405" w14:textId="32BC9608" w:rsidR="007E307C" w:rsidRDefault="007E307C" w:rsidP="007E307C">
      <w:pPr>
        <w:pStyle w:val="SuEprovision2levelheading"/>
      </w:pPr>
      <w:r>
        <w:t>Required majority for the adoption of resolutions</w:t>
      </w:r>
    </w:p>
    <w:p w14:paraId="07D48DF9" w14:textId="47C86303" w:rsidR="007E307C" w:rsidRDefault="007E307C" w:rsidP="007E307C">
      <w:pPr>
        <w:pStyle w:val="SuEprovision2levelnonumbering"/>
      </w:pPr>
      <w:r w:rsidRPr="00B07693">
        <w:t xml:space="preserve">Subject to higher majority requirements set forth by law, a resolution of the Shareholders (whether adopted at a meeting or without convening a meeting) is adopted if more than </w:t>
      </w:r>
      <w:r w:rsidRPr="00B07693">
        <w:fldChar w:fldCharType="begin">
          <w:ffData>
            <w:name w:val=""/>
            <w:enabled/>
            <w:calcOnExit w:val="0"/>
            <w:textInput>
              <w:type w:val="number"/>
              <w:default w:val="[insert]"/>
            </w:textInput>
          </w:ffData>
        </w:fldChar>
      </w:r>
      <w:r w:rsidRPr="00B07693">
        <w:instrText xml:space="preserve"> FORMTEXT </w:instrText>
      </w:r>
      <w:r w:rsidRPr="00B07693">
        <w:fldChar w:fldCharType="separate"/>
      </w:r>
      <w:r w:rsidR="003A3914">
        <w:rPr>
          <w:noProof/>
        </w:rPr>
        <w:t>[insert]</w:t>
      </w:r>
      <w:r w:rsidRPr="00B07693">
        <w:fldChar w:fldCharType="end"/>
      </w:r>
      <w:r w:rsidR="007F528D">
        <w:rPr>
          <w:rStyle w:val="FootnoteReference"/>
        </w:rPr>
        <w:footnoteReference w:id="3"/>
      </w:r>
      <w:r w:rsidRPr="00B07693">
        <w:t xml:space="preserve"> of votes represented by all Shares are cast in favour</w:t>
      </w:r>
      <w:r>
        <w:t>.</w:t>
      </w:r>
    </w:p>
    <w:p w14:paraId="1D6A4EB4" w14:textId="05C1D766" w:rsidR="007E307C" w:rsidRDefault="007E307C" w:rsidP="007E307C">
      <w:pPr>
        <w:pStyle w:val="SuEprovision1levelheading"/>
      </w:pPr>
      <w:r>
        <w:t>management board</w:t>
      </w:r>
    </w:p>
    <w:p w14:paraId="787127DD" w14:textId="1608F321" w:rsidR="007E307C" w:rsidRDefault="007E307C" w:rsidP="007E307C">
      <w:pPr>
        <w:pStyle w:val="SuEprovision2levelheading"/>
      </w:pPr>
      <w:r>
        <w:t>Competence of the Management Board</w:t>
      </w:r>
    </w:p>
    <w:p w14:paraId="7063E9D7" w14:textId="365361D5" w:rsidR="007E307C" w:rsidRDefault="007E307C" w:rsidP="007E307C">
      <w:pPr>
        <w:pStyle w:val="SuEprovision2levelnonumbering"/>
      </w:pPr>
      <w:r w:rsidRPr="00B07693">
        <w:t>The management board is the management body of the Company that represents and manages the Company.</w:t>
      </w:r>
    </w:p>
    <w:p w14:paraId="37DCEAC4" w14:textId="313596B9" w:rsidR="007E307C" w:rsidRDefault="007E307C" w:rsidP="007E307C">
      <w:pPr>
        <w:pStyle w:val="SuEprovision2levelheading"/>
      </w:pPr>
      <w:r>
        <w:t>Members of the Management Board</w:t>
      </w:r>
    </w:p>
    <w:p w14:paraId="4B784959" w14:textId="1568D43A" w:rsidR="007E307C" w:rsidRDefault="007E307C" w:rsidP="007E307C">
      <w:pPr>
        <w:pStyle w:val="SuEprovision2levelnonumbering"/>
        <w:rPr>
          <w:bCs/>
        </w:rPr>
      </w:pPr>
      <w:r w:rsidRPr="00B07693">
        <w:t xml:space="preserve">The management board shall comprise one to </w:t>
      </w:r>
      <w:r w:rsidRPr="00B07693">
        <w:fldChar w:fldCharType="begin">
          <w:ffData>
            <w:name w:val=""/>
            <w:enabled/>
            <w:calcOnExit w:val="0"/>
            <w:textInput>
              <w:type w:val="number"/>
              <w:default w:val="[insert]"/>
            </w:textInput>
          </w:ffData>
        </w:fldChar>
      </w:r>
      <w:r w:rsidRPr="00B07693">
        <w:instrText xml:space="preserve"> FORMTEXT </w:instrText>
      </w:r>
      <w:r w:rsidRPr="00B07693">
        <w:fldChar w:fldCharType="separate"/>
      </w:r>
      <w:r w:rsidR="003A3914">
        <w:rPr>
          <w:noProof/>
        </w:rPr>
        <w:t>[insert]</w:t>
      </w:r>
      <w:r w:rsidRPr="00B07693">
        <w:fldChar w:fldCharType="end"/>
      </w:r>
      <w:r w:rsidRPr="00B07693">
        <w:t xml:space="preserve"> members who shall be elected without a term.</w:t>
      </w:r>
      <w:r>
        <w:t xml:space="preserve"> </w:t>
      </w:r>
      <w:r w:rsidRPr="00B07693">
        <w:t>The members of the management board shall be elected and recalled by the Shareholders</w:t>
      </w:r>
      <w:r w:rsidR="00A225BC">
        <w:t>.</w:t>
      </w:r>
    </w:p>
    <w:p w14:paraId="3A009FDA" w14:textId="620AE5AB" w:rsidR="007E307C" w:rsidRDefault="007E307C" w:rsidP="007E307C">
      <w:pPr>
        <w:pStyle w:val="SuEprovision2levelheading"/>
        <w:rPr>
          <w:bCs/>
        </w:rPr>
      </w:pPr>
      <w:r>
        <w:lastRenderedPageBreak/>
        <w:t>Rights of representation</w:t>
      </w:r>
    </w:p>
    <w:p w14:paraId="6FE3FC97" w14:textId="1A48A82F" w:rsidR="007E307C" w:rsidRPr="007E307C" w:rsidRDefault="007E307C" w:rsidP="007E307C">
      <w:pPr>
        <w:pStyle w:val="SuEprovision2levelnonumbering"/>
      </w:pPr>
      <w:r w:rsidRPr="00B07693">
        <w:t>Each management board member may represent the Company in transactions or other legal acts</w:t>
      </w:r>
      <w:r>
        <w:t>.</w:t>
      </w:r>
    </w:p>
    <w:p w14:paraId="12677053" w14:textId="77777777" w:rsidR="00124684" w:rsidRDefault="007E307C" w:rsidP="006009FC">
      <w:pPr>
        <w:pStyle w:val="SuEprovision1levelheading"/>
      </w:pPr>
      <w:r>
        <w:t>BuSinESS YEAR</w:t>
      </w:r>
      <w:bookmarkEnd w:id="10"/>
      <w:bookmarkEnd w:id="11"/>
      <w:bookmarkEnd w:id="12"/>
      <w:bookmarkEnd w:id="13"/>
      <w:bookmarkEnd w:id="14"/>
    </w:p>
    <w:p w14:paraId="1D2106FA" w14:textId="3C2FD767" w:rsidR="007E307C" w:rsidRDefault="007E307C" w:rsidP="002C6343">
      <w:pPr>
        <w:pStyle w:val="SuEprovision2levelheading"/>
      </w:pPr>
      <w:bookmarkStart w:id="28" w:name="_Toc38315744"/>
      <w:bookmarkStart w:id="29" w:name="_Toc39747673"/>
      <w:r>
        <w:t>Business year</w:t>
      </w:r>
    </w:p>
    <w:p w14:paraId="46620F9F" w14:textId="32B6FCE8" w:rsidR="007E307C" w:rsidRPr="007E307C" w:rsidRDefault="007E307C" w:rsidP="007E307C">
      <w:pPr>
        <w:pStyle w:val="SuEprovision2levelnonumbering"/>
      </w:pPr>
      <w:r w:rsidRPr="00B07693">
        <w:t>The business year of the Company begins on January</w:t>
      </w:r>
      <w:r w:rsidR="00124684">
        <w:t xml:space="preserve"> </w:t>
      </w:r>
      <w:r w:rsidRPr="00B07693">
        <w:t>1 and ends on December 31</w:t>
      </w:r>
      <w:r w:rsidR="00124684">
        <w:t>.</w:t>
      </w:r>
    </w:p>
    <w:bookmarkEnd w:id="28"/>
    <w:bookmarkEnd w:id="29"/>
    <w:p w14:paraId="3DB64B4B" w14:textId="5EF8AF69" w:rsidR="00BF7340" w:rsidRPr="00325950" w:rsidRDefault="00BF7340" w:rsidP="000318EB">
      <w:pPr>
        <w:pStyle w:val="SuEText"/>
        <w:keepNext/>
      </w:pPr>
    </w:p>
    <w:sectPr w:rsidR="00BF7340" w:rsidRPr="00325950" w:rsidSect="009E5201">
      <w:headerReference w:type="even" r:id="rId9"/>
      <w:footerReference w:type="even" r:id="rId10"/>
      <w:footerReference w:type="default" r:id="rId11"/>
      <w:footerReference w:type="first" r:id="rId12"/>
      <w:pgSz w:w="11906" w:h="16838" w:code="1"/>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6E62" w14:textId="77777777" w:rsidR="006D2A40" w:rsidRDefault="006D2A40">
      <w:r>
        <w:separator/>
      </w:r>
    </w:p>
    <w:p w14:paraId="3993971E" w14:textId="77777777" w:rsidR="006D2A40" w:rsidRDefault="006D2A40"/>
    <w:p w14:paraId="6E193AEE" w14:textId="77777777" w:rsidR="006D2A40" w:rsidRDefault="006D2A40"/>
    <w:p w14:paraId="58F69EEA" w14:textId="77777777" w:rsidR="006D2A40" w:rsidRDefault="006D2A40"/>
  </w:endnote>
  <w:endnote w:type="continuationSeparator" w:id="0">
    <w:p w14:paraId="6A81B97F" w14:textId="77777777" w:rsidR="006D2A40" w:rsidRDefault="006D2A40">
      <w:r>
        <w:continuationSeparator/>
      </w:r>
    </w:p>
    <w:p w14:paraId="0DB62E35" w14:textId="77777777" w:rsidR="006D2A40" w:rsidRDefault="006D2A40"/>
    <w:p w14:paraId="21175E67" w14:textId="77777777" w:rsidR="006D2A40" w:rsidRDefault="006D2A40"/>
    <w:p w14:paraId="188D6345" w14:textId="77777777" w:rsidR="006D2A40" w:rsidRDefault="006D2A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BA"/>
    <w:family w:val="roman"/>
    <w:pitch w:val="variable"/>
    <w:sig w:usb0="00000287" w:usb1="00000000" w:usb2="00000000" w:usb3="00000000" w:csb0="0000009F" w:csb1="00000000"/>
  </w:font>
  <w:font w:name="Arial Bold">
    <w:panose1 w:val="020B0704020202020204"/>
    <w:charset w:val="00"/>
    <w:family w:val="roman"/>
    <w:notTrueType/>
    <w:pitch w:val="default"/>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1466A618" w:rsidR="00237DD4" w:rsidRDefault="00237DD4" w:rsidP="00F45270">
    <w:pP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4684">
      <w:rPr>
        <w:rStyle w:val="PageNumber"/>
        <w:noProof/>
      </w:rPr>
      <w:t>1</w:t>
    </w:r>
    <w:r>
      <w:rPr>
        <w:rStyle w:val="PageNumber"/>
      </w:rPr>
      <w:fldChar w:fldCharType="end"/>
    </w:r>
  </w:p>
  <w:p w14:paraId="1158D732" w14:textId="77777777" w:rsidR="00237DD4" w:rsidRDefault="00237DD4"/>
  <w:p w14:paraId="1844497F" w14:textId="77777777" w:rsidR="00237DD4" w:rsidRDefault="00237DD4"/>
  <w:p w14:paraId="0EC446AF" w14:textId="77777777" w:rsidR="00237DD4" w:rsidRDefault="00237D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B249" w14:textId="77777777" w:rsidR="00237DD4" w:rsidRPr="009E0D97" w:rsidRDefault="00237DD4" w:rsidP="00F45270">
    <w:pPr>
      <w:framePr w:wrap="none" w:vAnchor="text" w:hAnchor="margin" w:xAlign="center" w:y="1"/>
      <w:rPr>
        <w:rStyle w:val="PageNumber"/>
        <w:rFonts w:cs="Arial"/>
        <w:szCs w:val="21"/>
      </w:rPr>
    </w:pPr>
    <w:r w:rsidRPr="009E0D97">
      <w:rPr>
        <w:rStyle w:val="PageNumber"/>
        <w:rFonts w:cs="Arial"/>
        <w:szCs w:val="21"/>
      </w:rPr>
      <w:fldChar w:fldCharType="begin"/>
    </w:r>
    <w:r w:rsidRPr="009E0D97">
      <w:rPr>
        <w:rStyle w:val="PageNumber"/>
        <w:rFonts w:cs="Arial"/>
        <w:szCs w:val="21"/>
      </w:rPr>
      <w:instrText xml:space="preserve">PAGE  </w:instrText>
    </w:r>
    <w:r w:rsidRPr="009E0D97">
      <w:rPr>
        <w:rStyle w:val="PageNumber"/>
        <w:rFonts w:cs="Arial"/>
        <w:szCs w:val="21"/>
      </w:rPr>
      <w:fldChar w:fldCharType="separate"/>
    </w:r>
    <w:r w:rsidR="00A93356">
      <w:rPr>
        <w:rStyle w:val="PageNumber"/>
        <w:rFonts w:cs="Arial"/>
        <w:noProof/>
        <w:szCs w:val="21"/>
      </w:rPr>
      <w:t>6</w:t>
    </w:r>
    <w:r w:rsidRPr="009E0D97">
      <w:rPr>
        <w:rStyle w:val="PageNumber"/>
        <w:rFonts w:cs="Arial"/>
        <w:szCs w:val="21"/>
      </w:rPr>
      <w:fldChar w:fldCharType="end"/>
    </w:r>
  </w:p>
  <w:p w14:paraId="1B098718" w14:textId="77777777" w:rsidR="00237DD4" w:rsidRPr="00B7354E" w:rsidRDefault="00237DD4">
    <w:pPr>
      <w:rPr>
        <w:rFonts w:ascii="Garamond" w:hAnsi="Garamond"/>
      </w:rPr>
    </w:pPr>
  </w:p>
  <w:p w14:paraId="57905ED6" w14:textId="77777777" w:rsidR="00237DD4" w:rsidRDefault="00237D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0EC0" w14:textId="77777777" w:rsidR="00237DD4" w:rsidRPr="00C82245" w:rsidRDefault="00237DD4" w:rsidP="00D8644E">
    <w:pPr>
      <w:framePr w:wrap="around" w:vAnchor="text" w:hAnchor="page" w:x="4678" w:y="-317"/>
      <w:rPr>
        <w:rStyle w:val="PageNumber"/>
        <w:rFonts w:ascii="Garamond" w:hAnsi="Garamond"/>
        <w:sz w:val="20"/>
      </w:rPr>
    </w:pPr>
  </w:p>
  <w:p w14:paraId="2F02BBE2" w14:textId="77777777" w:rsidR="00237DD4" w:rsidRPr="007C31AE" w:rsidRDefault="00237DD4" w:rsidP="007C31AE">
    <w:pPr>
      <w:framePr w:wrap="around" w:vAnchor="text" w:hAnchor="margin" w:xAlign="center" w:y="1"/>
      <w:rPr>
        <w:rStyle w:val="PageNumber"/>
        <w:rFonts w:ascii="Garamond" w:hAnsi="Garamond"/>
        <w:sz w:val="20"/>
      </w:rPr>
    </w:pPr>
  </w:p>
  <w:p w14:paraId="16EEA8AB" w14:textId="509E5E36" w:rsidR="00237DD4" w:rsidRPr="007C31AE" w:rsidRDefault="00237DD4">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3784C" w14:textId="77777777" w:rsidR="006D2A40" w:rsidRDefault="006D2A40">
      <w:r>
        <w:separator/>
      </w:r>
    </w:p>
    <w:p w14:paraId="63EAB23B" w14:textId="77777777" w:rsidR="006D2A40" w:rsidRDefault="006D2A40"/>
    <w:p w14:paraId="3DC46B3C" w14:textId="77777777" w:rsidR="006D2A40" w:rsidRDefault="006D2A40"/>
    <w:p w14:paraId="3352A28E" w14:textId="77777777" w:rsidR="006D2A40" w:rsidRDefault="006D2A40"/>
  </w:footnote>
  <w:footnote w:type="continuationSeparator" w:id="0">
    <w:p w14:paraId="33826F28" w14:textId="77777777" w:rsidR="006D2A40" w:rsidRDefault="006D2A40">
      <w:r>
        <w:continuationSeparator/>
      </w:r>
    </w:p>
    <w:p w14:paraId="2DEF2E72" w14:textId="77777777" w:rsidR="006D2A40" w:rsidRDefault="006D2A40"/>
    <w:p w14:paraId="4BD587E1" w14:textId="77777777" w:rsidR="006D2A40" w:rsidRDefault="006D2A40"/>
    <w:p w14:paraId="59CAB2FB" w14:textId="77777777" w:rsidR="006D2A40" w:rsidRDefault="006D2A40"/>
  </w:footnote>
  <w:footnote w:id="1">
    <w:p w14:paraId="445C4043" w14:textId="7C490275" w:rsidR="008F5243" w:rsidRPr="008F5243" w:rsidRDefault="008F5243" w:rsidP="00800889">
      <w:pPr>
        <w:pStyle w:val="FootnoteText"/>
        <w:jc w:val="both"/>
        <w:rPr>
          <w:lang w:val="et-EE"/>
        </w:rPr>
      </w:pPr>
      <w:r>
        <w:rPr>
          <w:rStyle w:val="FootnoteReference"/>
        </w:rPr>
        <w:footnoteRef/>
      </w:r>
      <w:r>
        <w:t xml:space="preserve"> </w:t>
      </w:r>
      <w:r>
        <w:rPr>
          <w:sz w:val="16"/>
          <w:szCs w:val="16"/>
          <w:lang w:val="en-US"/>
        </w:rPr>
        <w:t>NOTE TO DRAFT</w:t>
      </w:r>
      <w:r w:rsidRPr="00491BE6">
        <w:rPr>
          <w:sz w:val="16"/>
          <w:szCs w:val="16"/>
          <w:lang w:val="en-US"/>
        </w:rPr>
        <w:t xml:space="preserve">: </w:t>
      </w:r>
      <w:r>
        <w:rPr>
          <w:sz w:val="16"/>
          <w:szCs w:val="16"/>
          <w:lang w:val="en-US"/>
        </w:rPr>
        <w:t>T</w:t>
      </w:r>
      <w:r w:rsidRPr="00491BE6">
        <w:rPr>
          <w:sz w:val="16"/>
          <w:szCs w:val="16"/>
          <w:lang w:val="en-US"/>
        </w:rPr>
        <w:t xml:space="preserve">he Commercial Code provides that </w:t>
      </w:r>
      <w:r>
        <w:rPr>
          <w:sz w:val="16"/>
          <w:szCs w:val="16"/>
          <w:lang w:val="en-US"/>
        </w:rPr>
        <w:t xml:space="preserve">the </w:t>
      </w:r>
      <w:r w:rsidRPr="00491BE6">
        <w:rPr>
          <w:sz w:val="16"/>
          <w:szCs w:val="16"/>
        </w:rPr>
        <w:t xml:space="preserve">minimum nominal value of </w:t>
      </w:r>
      <w:r>
        <w:rPr>
          <w:sz w:val="16"/>
          <w:szCs w:val="16"/>
        </w:rPr>
        <w:t>a</w:t>
      </w:r>
      <w:r w:rsidRPr="00491BE6">
        <w:rPr>
          <w:sz w:val="16"/>
          <w:szCs w:val="16"/>
        </w:rPr>
        <w:t xml:space="preserve"> </w:t>
      </w:r>
      <w:r>
        <w:rPr>
          <w:sz w:val="16"/>
          <w:szCs w:val="16"/>
        </w:rPr>
        <w:t>s</w:t>
      </w:r>
      <w:r w:rsidRPr="00491BE6">
        <w:rPr>
          <w:sz w:val="16"/>
          <w:szCs w:val="16"/>
        </w:rPr>
        <w:t xml:space="preserve">hare </w:t>
      </w:r>
      <w:r>
        <w:rPr>
          <w:sz w:val="16"/>
          <w:szCs w:val="16"/>
        </w:rPr>
        <w:t>shall be</w:t>
      </w:r>
      <w:r w:rsidRPr="00491BE6">
        <w:rPr>
          <w:sz w:val="16"/>
          <w:szCs w:val="16"/>
        </w:rPr>
        <w:t xml:space="preserve"> one </w:t>
      </w:r>
      <w:r w:rsidRPr="005C04E3">
        <w:rPr>
          <w:sz w:val="16"/>
          <w:szCs w:val="16"/>
        </w:rPr>
        <w:t>eurocent</w:t>
      </w:r>
      <w:r>
        <w:rPr>
          <w:sz w:val="16"/>
          <w:szCs w:val="16"/>
        </w:rPr>
        <w:t xml:space="preserve"> and i</w:t>
      </w:r>
      <w:r w:rsidRPr="00491BE6">
        <w:rPr>
          <w:sz w:val="16"/>
          <w:szCs w:val="16"/>
        </w:rPr>
        <w:t>f the nominal value of a </w:t>
      </w:r>
      <w:r>
        <w:rPr>
          <w:sz w:val="16"/>
          <w:szCs w:val="16"/>
        </w:rPr>
        <w:t>s</w:t>
      </w:r>
      <w:r w:rsidRPr="00491BE6">
        <w:rPr>
          <w:sz w:val="16"/>
          <w:szCs w:val="16"/>
        </w:rPr>
        <w:t>hare is greater</w:t>
      </w:r>
      <w:r>
        <w:rPr>
          <w:sz w:val="16"/>
          <w:szCs w:val="16"/>
        </w:rPr>
        <w:t xml:space="preserve"> than </w:t>
      </w:r>
      <w:r w:rsidRPr="005C04E3">
        <w:rPr>
          <w:sz w:val="16"/>
          <w:szCs w:val="16"/>
        </w:rPr>
        <w:t>one eurocent</w:t>
      </w:r>
      <w:r w:rsidRPr="00491BE6">
        <w:rPr>
          <w:sz w:val="16"/>
          <w:szCs w:val="16"/>
        </w:rPr>
        <w:t>, it shall be a multiple of one</w:t>
      </w:r>
      <w:r>
        <w:rPr>
          <w:sz w:val="16"/>
          <w:szCs w:val="16"/>
        </w:rPr>
        <w:t xml:space="preserve"> </w:t>
      </w:r>
      <w:r w:rsidRPr="005C04E3">
        <w:rPr>
          <w:sz w:val="16"/>
          <w:szCs w:val="16"/>
        </w:rPr>
        <w:t>eurocent</w:t>
      </w:r>
      <w:r>
        <w:rPr>
          <w:sz w:val="16"/>
          <w:szCs w:val="16"/>
        </w:rPr>
        <w:t xml:space="preserve">. The Articles may still set out that the minimum nominal value of a share is one euro. If the user changes the numbers in this section </w:t>
      </w:r>
      <w:r>
        <w:rPr>
          <w:sz w:val="16"/>
          <w:szCs w:val="16"/>
        </w:rPr>
        <w:fldChar w:fldCharType="begin"/>
      </w:r>
      <w:r>
        <w:rPr>
          <w:sz w:val="16"/>
          <w:szCs w:val="16"/>
        </w:rPr>
        <w:instrText xml:space="preserve"> REF _Ref48252177 \r \h </w:instrText>
      </w:r>
      <w:r w:rsidR="00800889">
        <w:rPr>
          <w:sz w:val="16"/>
          <w:szCs w:val="16"/>
        </w:rPr>
        <w:instrText xml:space="preserve"> \* MERGEFORMAT </w:instrText>
      </w:r>
      <w:r>
        <w:rPr>
          <w:sz w:val="16"/>
          <w:szCs w:val="16"/>
        </w:rPr>
      </w:r>
      <w:r>
        <w:rPr>
          <w:sz w:val="16"/>
          <w:szCs w:val="16"/>
        </w:rPr>
        <w:fldChar w:fldCharType="separate"/>
      </w:r>
      <w:r>
        <w:rPr>
          <w:sz w:val="16"/>
          <w:szCs w:val="16"/>
        </w:rPr>
        <w:t>2.2</w:t>
      </w:r>
      <w:r>
        <w:rPr>
          <w:sz w:val="16"/>
          <w:szCs w:val="16"/>
        </w:rPr>
        <w:fldChar w:fldCharType="end"/>
      </w:r>
      <w:r>
        <w:rPr>
          <w:sz w:val="16"/>
          <w:szCs w:val="16"/>
        </w:rPr>
        <w:fldChar w:fldCharType="begin"/>
      </w:r>
      <w:r>
        <w:rPr>
          <w:sz w:val="16"/>
          <w:szCs w:val="16"/>
        </w:rPr>
        <w:instrText xml:space="preserve"> REF _Ref42866021 \r \h </w:instrText>
      </w:r>
      <w:r w:rsidR="00800889">
        <w:rPr>
          <w:sz w:val="16"/>
          <w:szCs w:val="16"/>
        </w:rPr>
        <w:instrText xml:space="preserve"> \* MERGEFORMAT </w:instrText>
      </w:r>
      <w:r>
        <w:rPr>
          <w:sz w:val="16"/>
          <w:szCs w:val="16"/>
        </w:rPr>
      </w:r>
      <w:r>
        <w:rPr>
          <w:sz w:val="16"/>
          <w:szCs w:val="16"/>
        </w:rPr>
        <w:fldChar w:fldCharType="end"/>
      </w:r>
      <w:r>
        <w:rPr>
          <w:sz w:val="16"/>
          <w:szCs w:val="16"/>
        </w:rPr>
        <w:t xml:space="preserve">, it is advisable to amend the numbers in section </w:t>
      </w:r>
      <w:r>
        <w:rPr>
          <w:sz w:val="16"/>
          <w:szCs w:val="16"/>
        </w:rPr>
        <w:fldChar w:fldCharType="begin"/>
      </w:r>
      <w:r>
        <w:rPr>
          <w:sz w:val="16"/>
          <w:szCs w:val="16"/>
        </w:rPr>
        <w:instrText xml:space="preserve"> REF _Ref48252189 \r \h </w:instrText>
      </w:r>
      <w:r w:rsidR="00800889">
        <w:rPr>
          <w:sz w:val="16"/>
          <w:szCs w:val="16"/>
        </w:rPr>
        <w:instrText xml:space="preserve"> \* MERGEFORMAT </w:instrText>
      </w:r>
      <w:r>
        <w:rPr>
          <w:sz w:val="16"/>
          <w:szCs w:val="16"/>
        </w:rPr>
      </w:r>
      <w:r>
        <w:rPr>
          <w:sz w:val="16"/>
          <w:szCs w:val="16"/>
        </w:rPr>
        <w:fldChar w:fldCharType="separate"/>
      </w:r>
      <w:r>
        <w:rPr>
          <w:sz w:val="16"/>
          <w:szCs w:val="16"/>
        </w:rPr>
        <w:t>2.5</w:t>
      </w:r>
      <w:r>
        <w:rPr>
          <w:sz w:val="16"/>
          <w:szCs w:val="16"/>
        </w:rPr>
        <w:fldChar w:fldCharType="end"/>
      </w:r>
      <w:r>
        <w:rPr>
          <w:sz w:val="16"/>
          <w:szCs w:val="16"/>
        </w:rPr>
        <w:t xml:space="preserve"> respectively.</w:t>
      </w:r>
    </w:p>
  </w:footnote>
  <w:footnote w:id="2">
    <w:p w14:paraId="34EDABB0" w14:textId="75789FE0" w:rsidR="008F5243" w:rsidRPr="008F5243" w:rsidRDefault="008F5243" w:rsidP="00800889">
      <w:pPr>
        <w:pStyle w:val="FootnoteText"/>
        <w:jc w:val="both"/>
        <w:rPr>
          <w:lang w:val="et-EE"/>
        </w:rPr>
      </w:pPr>
      <w:r>
        <w:rPr>
          <w:rStyle w:val="FootnoteReference"/>
        </w:rPr>
        <w:footnoteRef/>
      </w:r>
      <w:r>
        <w:t xml:space="preserve"> </w:t>
      </w:r>
      <w:r>
        <w:rPr>
          <w:sz w:val="16"/>
          <w:szCs w:val="16"/>
        </w:rPr>
        <w:t>NOTE TO DRAFT</w:t>
      </w:r>
      <w:r w:rsidRPr="00F5309C">
        <w:rPr>
          <w:sz w:val="16"/>
          <w:szCs w:val="16"/>
          <w:lang w:val="en-US"/>
        </w:rPr>
        <w:t xml:space="preserve">: </w:t>
      </w:r>
      <w:r>
        <w:rPr>
          <w:sz w:val="16"/>
          <w:szCs w:val="16"/>
          <w:lang w:val="en-US"/>
        </w:rPr>
        <w:t>T</w:t>
      </w:r>
      <w:r w:rsidRPr="00F5309C">
        <w:rPr>
          <w:sz w:val="16"/>
          <w:szCs w:val="16"/>
          <w:lang w:val="en-US"/>
        </w:rPr>
        <w:t xml:space="preserve">he Commercial Code provides that </w:t>
      </w:r>
      <w:r w:rsidRPr="00F5309C">
        <w:rPr>
          <w:color w:val="202020"/>
          <w:sz w:val="16"/>
          <w:szCs w:val="16"/>
          <w:shd w:val="clear" w:color="auto" w:fill="FFFFFF"/>
        </w:rPr>
        <w:t xml:space="preserve">each </w:t>
      </w:r>
      <w:r w:rsidRPr="005C04E3">
        <w:rPr>
          <w:color w:val="202020"/>
          <w:sz w:val="16"/>
          <w:szCs w:val="16"/>
          <w:shd w:val="clear" w:color="auto" w:fill="FFFFFF"/>
        </w:rPr>
        <w:t>one eurocent</w:t>
      </w:r>
      <w:r w:rsidRPr="00F5309C">
        <w:rPr>
          <w:color w:val="202020"/>
          <w:sz w:val="16"/>
          <w:szCs w:val="16"/>
          <w:shd w:val="clear" w:color="auto" w:fill="FFFFFF"/>
        </w:rPr>
        <w:t xml:space="preserve"> of a share shall grant one vote unless the articles of association prescribe otherwise</w:t>
      </w:r>
      <w:r w:rsidRPr="00F5309C">
        <w:rPr>
          <w:sz w:val="16"/>
          <w:szCs w:val="16"/>
        </w:rPr>
        <w:t xml:space="preserve">. If the user changes the numbers in this section </w:t>
      </w:r>
      <w:r>
        <w:rPr>
          <w:sz w:val="16"/>
          <w:szCs w:val="16"/>
        </w:rPr>
        <w:fldChar w:fldCharType="begin"/>
      </w:r>
      <w:r>
        <w:rPr>
          <w:sz w:val="16"/>
          <w:szCs w:val="16"/>
        </w:rPr>
        <w:instrText xml:space="preserve"> REF _Ref48252189 \r \h </w:instrText>
      </w:r>
      <w:r w:rsidR="00800889">
        <w:rPr>
          <w:sz w:val="16"/>
          <w:szCs w:val="16"/>
        </w:rPr>
        <w:instrText xml:space="preserve"> \* MERGEFORMAT </w:instrText>
      </w:r>
      <w:r>
        <w:rPr>
          <w:sz w:val="16"/>
          <w:szCs w:val="16"/>
        </w:rPr>
      </w:r>
      <w:r>
        <w:rPr>
          <w:sz w:val="16"/>
          <w:szCs w:val="16"/>
        </w:rPr>
        <w:fldChar w:fldCharType="separate"/>
      </w:r>
      <w:r>
        <w:rPr>
          <w:sz w:val="16"/>
          <w:szCs w:val="16"/>
        </w:rPr>
        <w:t>2.5</w:t>
      </w:r>
      <w:r>
        <w:rPr>
          <w:sz w:val="16"/>
          <w:szCs w:val="16"/>
        </w:rPr>
        <w:fldChar w:fldCharType="end"/>
      </w:r>
      <w:r w:rsidRPr="00F5309C">
        <w:rPr>
          <w:sz w:val="16"/>
          <w:szCs w:val="16"/>
        </w:rPr>
        <w:t xml:space="preserve">, it </w:t>
      </w:r>
      <w:r>
        <w:rPr>
          <w:sz w:val="16"/>
          <w:szCs w:val="16"/>
        </w:rPr>
        <w:t xml:space="preserve">is advisable </w:t>
      </w:r>
      <w:r w:rsidRPr="00F5309C">
        <w:rPr>
          <w:sz w:val="16"/>
          <w:szCs w:val="16"/>
        </w:rPr>
        <w:t xml:space="preserve">to amend the numbers in section </w:t>
      </w:r>
      <w:r>
        <w:rPr>
          <w:sz w:val="16"/>
          <w:szCs w:val="16"/>
        </w:rPr>
        <w:fldChar w:fldCharType="begin"/>
      </w:r>
      <w:r>
        <w:rPr>
          <w:sz w:val="16"/>
          <w:szCs w:val="16"/>
        </w:rPr>
        <w:instrText xml:space="preserve"> REF _Ref48252177 \r \h </w:instrText>
      </w:r>
      <w:r w:rsidR="00800889">
        <w:rPr>
          <w:sz w:val="16"/>
          <w:szCs w:val="16"/>
        </w:rPr>
        <w:instrText xml:space="preserve"> \* MERGEFORMAT </w:instrText>
      </w:r>
      <w:r>
        <w:rPr>
          <w:sz w:val="16"/>
          <w:szCs w:val="16"/>
        </w:rPr>
      </w:r>
      <w:r>
        <w:rPr>
          <w:sz w:val="16"/>
          <w:szCs w:val="16"/>
        </w:rPr>
        <w:fldChar w:fldCharType="separate"/>
      </w:r>
      <w:r>
        <w:rPr>
          <w:sz w:val="16"/>
          <w:szCs w:val="16"/>
        </w:rPr>
        <w:t>2.2</w:t>
      </w:r>
      <w:r>
        <w:rPr>
          <w:sz w:val="16"/>
          <w:szCs w:val="16"/>
        </w:rPr>
        <w:fldChar w:fldCharType="end"/>
      </w:r>
      <w:r>
        <w:rPr>
          <w:sz w:val="16"/>
          <w:szCs w:val="16"/>
        </w:rPr>
        <w:t xml:space="preserve"> </w:t>
      </w:r>
      <w:r w:rsidRPr="00F5309C">
        <w:rPr>
          <w:sz w:val="16"/>
          <w:szCs w:val="16"/>
        </w:rPr>
        <w:t>respectively</w:t>
      </w:r>
    </w:p>
  </w:footnote>
  <w:footnote w:id="3">
    <w:p w14:paraId="5032359D" w14:textId="5288AF81" w:rsidR="007F528D" w:rsidRPr="007F528D" w:rsidRDefault="007F528D" w:rsidP="00800889">
      <w:pPr>
        <w:pStyle w:val="FootnoteText"/>
        <w:jc w:val="both"/>
        <w:rPr>
          <w:sz w:val="16"/>
          <w:szCs w:val="16"/>
          <w:lang w:val="et-EE"/>
        </w:rPr>
      </w:pPr>
      <w:r w:rsidRPr="007F528D">
        <w:rPr>
          <w:rStyle w:val="FootnoteReference"/>
          <w:sz w:val="16"/>
          <w:szCs w:val="16"/>
        </w:rPr>
        <w:footnoteRef/>
      </w:r>
      <w:r w:rsidRPr="007F528D">
        <w:rPr>
          <w:sz w:val="16"/>
          <w:szCs w:val="16"/>
        </w:rPr>
        <w:t xml:space="preserve"> </w:t>
      </w:r>
      <w:r w:rsidRPr="007F528D">
        <w:rPr>
          <w:sz w:val="16"/>
          <w:szCs w:val="16"/>
          <w:lang w:val="et-EE"/>
        </w:rPr>
        <w:t xml:space="preserve">NOTE TO DRAFT: </w:t>
      </w:r>
      <w:r w:rsidRPr="007F528D">
        <w:rPr>
          <w:sz w:val="16"/>
          <w:szCs w:val="16"/>
        </w:rPr>
        <w:t xml:space="preserve">Insert the percentage of votes required to adopt a shareholders’ resolution, can be also inserted as a ratio, for example 2/3, </w:t>
      </w:r>
      <w:r w:rsidR="00124684">
        <w:rPr>
          <w:sz w:val="16"/>
          <w:szCs w:val="16"/>
        </w:rPr>
        <w:t>3/4</w:t>
      </w:r>
      <w:r w:rsidRPr="007F528D">
        <w:rPr>
          <w:sz w:val="16"/>
          <w:szCs w:val="16"/>
        </w:rPr>
        <w:t>.</w:t>
      </w:r>
      <w:r w:rsidR="009D112A">
        <w:rPr>
          <w:sz w:val="16"/>
          <w:szCs w:val="16"/>
        </w:rPr>
        <w:t xml:space="preserve"> This percentage must be 50% as a minimum, </w:t>
      </w:r>
      <w:r w:rsidR="00124684">
        <w:rPr>
          <w:sz w:val="16"/>
          <w:szCs w:val="16"/>
        </w:rPr>
        <w:t>i.e.,</w:t>
      </w:r>
      <w:r w:rsidR="009D112A">
        <w:rPr>
          <w:sz w:val="16"/>
          <w:szCs w:val="16"/>
        </w:rPr>
        <w:t xml:space="preserve"> more than 50% must vote in favour to adopt a shareholders’ resolution.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237DD4" w:rsidRDefault="00237DD4"/>
  <w:p w14:paraId="44506B4B" w14:textId="77777777" w:rsidR="00237DD4" w:rsidRDefault="00237DD4"/>
  <w:p w14:paraId="5C30F509" w14:textId="77777777" w:rsidR="00237DD4" w:rsidRDefault="00237D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30BC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C0DB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62C63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0E2A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726F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7D87B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8274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447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56F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4EB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1A6BCA"/>
    <w:multiLevelType w:val="multilevel"/>
    <w:tmpl w:val="FE94F652"/>
    <w:lvl w:ilvl="0">
      <w:start w:val="1"/>
      <w:numFmt w:val="decimal"/>
      <w:lvlText w:val="%1."/>
      <w:lvlJc w:val="left"/>
      <w:pPr>
        <w:ind w:left="709" w:hanging="709"/>
      </w:pPr>
      <w:rPr>
        <w:rFonts w:hint="default"/>
        <w:bCs w:val="0"/>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isLgl/>
      <w:lvlText w:val="%1.%2"/>
      <w:lvlJc w:val="left"/>
      <w:pPr>
        <w:ind w:left="709" w:hanging="709"/>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 w:ilvl="3">
      <w:start w:val="1"/>
      <w:numFmt w:val="lowerLetter"/>
      <w:lvlText w:val="(%4)"/>
      <w:lvlJc w:val="left"/>
      <w:pPr>
        <w:tabs>
          <w:tab w:val="num" w:pos="1985"/>
        </w:tabs>
        <w:ind w:left="1985" w:hanging="567"/>
      </w:pPr>
      <w:rPr>
        <w:rFonts w:ascii="Arial" w:eastAsia="Arial Unicode MS" w:hAnsi="Arial" w:cs="Arial" w:hint="default"/>
        <w:b w:val="0"/>
        <w:i w:val="0"/>
        <w:caps w:val="0"/>
        <w:strike w:val="0"/>
        <w:dstrike w:val="0"/>
        <w:vanish w:val="0"/>
        <w:color w:val="auto"/>
        <w:spacing w:val="0"/>
        <w:w w:val="100"/>
        <w:kern w:val="0"/>
        <w:position w:val="0"/>
        <w:u w:val="none"/>
        <w:effect w:val="none"/>
        <w:vertAlign w:val="baseline"/>
      </w:rPr>
    </w:lvl>
    <w:lvl w:ilvl="4">
      <w:start w:val="1"/>
      <w:numFmt w:val="lowerRoman"/>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 w:ilvl="5">
      <w:start w:val="1"/>
      <w:numFmt w:val="decimal"/>
      <w:lvlText w:val="%6."/>
      <w:lvlJc w:val="left"/>
      <w:pPr>
        <w:tabs>
          <w:tab w:val="num" w:pos="709"/>
        </w:tabs>
        <w:ind w:left="709" w:hanging="709"/>
      </w:pPr>
      <w:rPr>
        <w:rFonts w:ascii="Arial" w:hAnsi="Arial" w:cs="Arial" w:hint="default"/>
        <w:b w:val="0"/>
        <w:bCs/>
        <w:i w:val="0"/>
        <w:caps w:val="0"/>
        <w:strike w:val="0"/>
        <w:dstrike w:val="0"/>
        <w:vanish w:val="0"/>
        <w:color w:val="auto"/>
        <w:spacing w:val="0"/>
        <w:w w:val="100"/>
        <w:kern w:val="0"/>
        <w:position w:val="0"/>
        <w:sz w:val="20"/>
        <w:szCs w:val="20"/>
        <w:u w:val="none"/>
        <w:effect w:val="none"/>
        <w:vertAlign w:val="baseline"/>
      </w:rPr>
    </w:lvl>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abstractNum>
  <w:abstractNum w:abstractNumId="11"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2"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14"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5"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16"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480926465">
    <w:abstractNumId w:val="12"/>
  </w:num>
  <w:num w:numId="2" w16cid:durableId="791627635">
    <w:abstractNumId w:val="16"/>
  </w:num>
  <w:num w:numId="3" w16cid:durableId="2007323552">
    <w:abstractNumId w:val="14"/>
  </w:num>
  <w:num w:numId="4" w16cid:durableId="1235165514">
    <w:abstractNumId w:val="17"/>
  </w:num>
  <w:num w:numId="5" w16cid:durableId="1731952361">
    <w:abstractNumId w:val="13"/>
  </w:num>
  <w:num w:numId="6" w16cid:durableId="2108429646">
    <w:abstractNumId w:val="15"/>
  </w:num>
  <w:num w:numId="7" w16cid:durableId="643893146">
    <w:abstractNumId w:val="9"/>
  </w:num>
  <w:num w:numId="8" w16cid:durableId="1107769896">
    <w:abstractNumId w:val="7"/>
  </w:num>
  <w:num w:numId="9" w16cid:durableId="23022343">
    <w:abstractNumId w:val="6"/>
  </w:num>
  <w:num w:numId="10" w16cid:durableId="1010984439">
    <w:abstractNumId w:val="5"/>
  </w:num>
  <w:num w:numId="11" w16cid:durableId="1812014973">
    <w:abstractNumId w:val="4"/>
  </w:num>
  <w:num w:numId="12" w16cid:durableId="139007991">
    <w:abstractNumId w:val="8"/>
  </w:num>
  <w:num w:numId="13" w16cid:durableId="2104299560">
    <w:abstractNumId w:val="3"/>
  </w:num>
  <w:num w:numId="14" w16cid:durableId="1925068882">
    <w:abstractNumId w:val="2"/>
  </w:num>
  <w:num w:numId="15" w16cid:durableId="230966465">
    <w:abstractNumId w:val="1"/>
  </w:num>
  <w:num w:numId="16" w16cid:durableId="1533809999">
    <w:abstractNumId w:val="0"/>
  </w:num>
  <w:num w:numId="17" w16cid:durableId="64454546">
    <w:abstractNumId w:val="17"/>
    <w:lvlOverride w:ilvl="0">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rPr>
      </w:lvl>
    </w:lvlOverride>
    <w:lvlOverride w:ilvl="1">
      <w:lvl w:ilvl="1">
        <w:start w:val="1"/>
        <w:numFmt w:val="decimal"/>
        <w:pStyle w:val="SuEprovision2levelheading"/>
        <w:lvlText w:val="%1.%2"/>
        <w:lvlJc w:val="left"/>
        <w:pPr>
          <w:tabs>
            <w:tab w:val="num" w:pos="709"/>
          </w:tabs>
          <w:ind w:left="709" w:hanging="709"/>
        </w:pPr>
        <w:rPr>
          <w:rFonts w:hint="default"/>
          <w:b/>
          <w:bCs w:val="0"/>
          <w:i w:val="0"/>
          <w:iCs w:val="0"/>
          <w:caps w:val="0"/>
          <w:smallCaps w:val="0"/>
          <w:strike w:val="0"/>
          <w:dstrike w:val="0"/>
          <w:outline w:val="0"/>
          <w:shadow w:val="0"/>
          <w:emboss w:val="0"/>
          <w:imprint w:val="0"/>
          <w:vanish w:val="0"/>
          <w:spacing w:val="0"/>
          <w:w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SuEprovision3leve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rPr>
      </w:lvl>
    </w:lvlOverride>
    <w:lvlOverride w:ilvl="3">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rPr>
      </w:lvl>
    </w:lvlOverride>
    <w:lvlOverride w:ilvl="4">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rPr>
      </w:lvl>
    </w:lvlOverride>
    <w:lvlOverride w:ilvl="5">
      <w:lvl w:ilvl="5">
        <w:start w:val="1"/>
        <w:numFmt w:val="decimal"/>
        <w:lvlText w:val="%6."/>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6">
      <w:lvl w:ilvl="6">
        <w:start w:val="1"/>
        <w:numFmt w:val="decimal"/>
        <w:lvlText w:val="%6.%7"/>
        <w:lvlJc w:val="left"/>
        <w:pPr>
          <w:tabs>
            <w:tab w:val="num" w:pos="709"/>
          </w:tabs>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rPr>
      </w:lvl>
    </w:lvlOverride>
    <w:lvlOverride w:ilvl="7">
      <w:lvl w:ilvl="7">
        <w:start w:val="1"/>
        <w:numFmt w:val="decimal"/>
        <w:lvlText w:val="%6.%7.%8"/>
        <w:lvlJc w:val="left"/>
        <w:pPr>
          <w:tabs>
            <w:tab w:val="num" w:pos="1418"/>
          </w:tabs>
          <w:ind w:left="1418" w:hanging="709"/>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lowerLetter"/>
        <w:lvlText w:val="(%9)"/>
        <w:lvlJc w:val="left"/>
        <w:pPr>
          <w:tabs>
            <w:tab w:val="num" w:pos="1985"/>
          </w:tabs>
          <w:ind w:left="1985" w:hanging="567"/>
        </w:pPr>
        <w:rPr>
          <w:rFonts w:ascii="Garamond" w:hAnsi="Garamond" w:hint="default"/>
          <w:b w:val="0"/>
          <w:i w:val="0"/>
          <w:caps w:val="0"/>
          <w:strike w:val="0"/>
          <w:dstrike w:val="0"/>
          <w:vanish w:val="0"/>
          <w:color w:val="auto"/>
          <w:spacing w:val="0"/>
          <w:w w:val="100"/>
          <w:kern w:val="0"/>
          <w:position w:val="0"/>
          <w:sz w:val="24"/>
          <w:u w:val="none"/>
          <w:effect w:val="none"/>
          <w:vertAlign w:val="baseline"/>
        </w:rPr>
      </w:lvl>
    </w:lvlOverride>
  </w:num>
  <w:num w:numId="18" w16cid:durableId="534780194">
    <w:abstractNumId w:val="17"/>
  </w:num>
  <w:num w:numId="19" w16cid:durableId="688458195">
    <w:abstractNumId w:val="17"/>
  </w:num>
  <w:num w:numId="20" w16cid:durableId="1358507597">
    <w:abstractNumId w:val="17"/>
  </w:num>
  <w:num w:numId="21" w16cid:durableId="1208879122">
    <w:abstractNumId w:val="17"/>
  </w:num>
  <w:num w:numId="22" w16cid:durableId="384179183">
    <w:abstractNumId w:val="17"/>
  </w:num>
  <w:num w:numId="23" w16cid:durableId="1214266484">
    <w:abstractNumId w:val="10"/>
  </w:num>
  <w:num w:numId="24" w16cid:durableId="11144724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63904358">
    <w:abstractNumId w:val="17"/>
  </w:num>
  <w:num w:numId="26" w16cid:durableId="1610357275">
    <w:abstractNumId w:val="17"/>
  </w:num>
  <w:num w:numId="27" w16cid:durableId="988560865">
    <w:abstractNumId w:val="17"/>
  </w:num>
  <w:num w:numId="28" w16cid:durableId="418406059">
    <w:abstractNumId w:val="17"/>
  </w:num>
  <w:num w:numId="29" w16cid:durableId="249659350">
    <w:abstractNumId w:val="13"/>
  </w:num>
  <w:num w:numId="30" w16cid:durableId="46924249">
    <w:abstractNumId w:val="15"/>
  </w:num>
  <w:num w:numId="31" w16cid:durableId="247808623">
    <w:abstractNumId w:val="13"/>
  </w:num>
  <w:num w:numId="32" w16cid:durableId="154903128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108D4"/>
    <w:rsid w:val="00011B0A"/>
    <w:rsid w:val="000318EB"/>
    <w:rsid w:val="00040185"/>
    <w:rsid w:val="00061A57"/>
    <w:rsid w:val="00062F57"/>
    <w:rsid w:val="000666BA"/>
    <w:rsid w:val="00070545"/>
    <w:rsid w:val="00073F31"/>
    <w:rsid w:val="00092237"/>
    <w:rsid w:val="000C7DB9"/>
    <w:rsid w:val="000D5B7D"/>
    <w:rsid w:val="000E1BC0"/>
    <w:rsid w:val="000F3A83"/>
    <w:rsid w:val="000F5BF2"/>
    <w:rsid w:val="00124684"/>
    <w:rsid w:val="00132740"/>
    <w:rsid w:val="00133E30"/>
    <w:rsid w:val="00143E5E"/>
    <w:rsid w:val="00143F94"/>
    <w:rsid w:val="001532E6"/>
    <w:rsid w:val="00162538"/>
    <w:rsid w:val="001814BE"/>
    <w:rsid w:val="00181A45"/>
    <w:rsid w:val="00182F23"/>
    <w:rsid w:val="001A2F9F"/>
    <w:rsid w:val="001A6DBA"/>
    <w:rsid w:val="001B7467"/>
    <w:rsid w:val="001C180F"/>
    <w:rsid w:val="001E613A"/>
    <w:rsid w:val="001E7070"/>
    <w:rsid w:val="001F0A3F"/>
    <w:rsid w:val="00206BB4"/>
    <w:rsid w:val="00211050"/>
    <w:rsid w:val="002201FD"/>
    <w:rsid w:val="00237DD4"/>
    <w:rsid w:val="002409A2"/>
    <w:rsid w:val="0024177C"/>
    <w:rsid w:val="00244F00"/>
    <w:rsid w:val="00255E17"/>
    <w:rsid w:val="00273DC1"/>
    <w:rsid w:val="002826A6"/>
    <w:rsid w:val="002852E3"/>
    <w:rsid w:val="002946B1"/>
    <w:rsid w:val="002A7A31"/>
    <w:rsid w:val="002C3E38"/>
    <w:rsid w:val="002C6343"/>
    <w:rsid w:val="002D0CE6"/>
    <w:rsid w:val="002E2D20"/>
    <w:rsid w:val="002E318F"/>
    <w:rsid w:val="002E4560"/>
    <w:rsid w:val="002E472D"/>
    <w:rsid w:val="002E4DFB"/>
    <w:rsid w:val="003235D9"/>
    <w:rsid w:val="00325950"/>
    <w:rsid w:val="0033637E"/>
    <w:rsid w:val="0034140A"/>
    <w:rsid w:val="003415BB"/>
    <w:rsid w:val="00341826"/>
    <w:rsid w:val="00370950"/>
    <w:rsid w:val="00370D49"/>
    <w:rsid w:val="00387B54"/>
    <w:rsid w:val="0039352C"/>
    <w:rsid w:val="003A38ED"/>
    <w:rsid w:val="003A3914"/>
    <w:rsid w:val="003B2A6C"/>
    <w:rsid w:val="003C647B"/>
    <w:rsid w:val="003C76A5"/>
    <w:rsid w:val="003F7E9A"/>
    <w:rsid w:val="00413CCA"/>
    <w:rsid w:val="00415EA7"/>
    <w:rsid w:val="00421DAA"/>
    <w:rsid w:val="004244E6"/>
    <w:rsid w:val="00434BA1"/>
    <w:rsid w:val="00450478"/>
    <w:rsid w:val="00457766"/>
    <w:rsid w:val="0046655F"/>
    <w:rsid w:val="00466B6D"/>
    <w:rsid w:val="0048274A"/>
    <w:rsid w:val="0049066E"/>
    <w:rsid w:val="00497647"/>
    <w:rsid w:val="004C44BF"/>
    <w:rsid w:val="004D1667"/>
    <w:rsid w:val="004D5FFF"/>
    <w:rsid w:val="004E34FF"/>
    <w:rsid w:val="004E78D1"/>
    <w:rsid w:val="004F04C7"/>
    <w:rsid w:val="005019DA"/>
    <w:rsid w:val="00532DE9"/>
    <w:rsid w:val="00536997"/>
    <w:rsid w:val="005377A3"/>
    <w:rsid w:val="00543D62"/>
    <w:rsid w:val="00543DAC"/>
    <w:rsid w:val="005761CA"/>
    <w:rsid w:val="005802A9"/>
    <w:rsid w:val="005861AD"/>
    <w:rsid w:val="005904BA"/>
    <w:rsid w:val="00594395"/>
    <w:rsid w:val="005A7D7A"/>
    <w:rsid w:val="005C3B4D"/>
    <w:rsid w:val="005C41A4"/>
    <w:rsid w:val="005C7305"/>
    <w:rsid w:val="005D0D9D"/>
    <w:rsid w:val="005E1E67"/>
    <w:rsid w:val="005F32DD"/>
    <w:rsid w:val="006009FC"/>
    <w:rsid w:val="00612A23"/>
    <w:rsid w:val="006152C3"/>
    <w:rsid w:val="006234AA"/>
    <w:rsid w:val="006448BA"/>
    <w:rsid w:val="0064654A"/>
    <w:rsid w:val="00647B54"/>
    <w:rsid w:val="00652AA8"/>
    <w:rsid w:val="00664BB5"/>
    <w:rsid w:val="00693B02"/>
    <w:rsid w:val="00697456"/>
    <w:rsid w:val="006A0BCE"/>
    <w:rsid w:val="006A0D02"/>
    <w:rsid w:val="006A2A39"/>
    <w:rsid w:val="006A6FC5"/>
    <w:rsid w:val="006B329D"/>
    <w:rsid w:val="006C05DF"/>
    <w:rsid w:val="006C4F0C"/>
    <w:rsid w:val="006C7A73"/>
    <w:rsid w:val="006D2A40"/>
    <w:rsid w:val="006D3ED9"/>
    <w:rsid w:val="006D46B9"/>
    <w:rsid w:val="006D6DF1"/>
    <w:rsid w:val="006E4347"/>
    <w:rsid w:val="006F3D1D"/>
    <w:rsid w:val="006F4395"/>
    <w:rsid w:val="007021A6"/>
    <w:rsid w:val="00715A17"/>
    <w:rsid w:val="007163B6"/>
    <w:rsid w:val="0072020E"/>
    <w:rsid w:val="00721F7E"/>
    <w:rsid w:val="00731FC0"/>
    <w:rsid w:val="0075514D"/>
    <w:rsid w:val="00761EC5"/>
    <w:rsid w:val="00763930"/>
    <w:rsid w:val="00772FED"/>
    <w:rsid w:val="00774B12"/>
    <w:rsid w:val="0077753B"/>
    <w:rsid w:val="007A1CEA"/>
    <w:rsid w:val="007A5F16"/>
    <w:rsid w:val="007B0FB6"/>
    <w:rsid w:val="007B43B5"/>
    <w:rsid w:val="007C31AE"/>
    <w:rsid w:val="007C7B45"/>
    <w:rsid w:val="007D3553"/>
    <w:rsid w:val="007D38A2"/>
    <w:rsid w:val="007D457C"/>
    <w:rsid w:val="007D5B84"/>
    <w:rsid w:val="007E23BB"/>
    <w:rsid w:val="007E307C"/>
    <w:rsid w:val="007F528D"/>
    <w:rsid w:val="007F6210"/>
    <w:rsid w:val="00800889"/>
    <w:rsid w:val="00801434"/>
    <w:rsid w:val="008030B2"/>
    <w:rsid w:val="00811BE1"/>
    <w:rsid w:val="00815C99"/>
    <w:rsid w:val="00821210"/>
    <w:rsid w:val="008320C1"/>
    <w:rsid w:val="00835F1C"/>
    <w:rsid w:val="00836CE8"/>
    <w:rsid w:val="0084415E"/>
    <w:rsid w:val="0085146E"/>
    <w:rsid w:val="00854E26"/>
    <w:rsid w:val="0086387A"/>
    <w:rsid w:val="00870EC4"/>
    <w:rsid w:val="008772F2"/>
    <w:rsid w:val="008825AD"/>
    <w:rsid w:val="00883F3C"/>
    <w:rsid w:val="00886779"/>
    <w:rsid w:val="008874B5"/>
    <w:rsid w:val="0089757A"/>
    <w:rsid w:val="008A4498"/>
    <w:rsid w:val="008B07D5"/>
    <w:rsid w:val="008B7C9A"/>
    <w:rsid w:val="008C02DC"/>
    <w:rsid w:val="008C1BFC"/>
    <w:rsid w:val="008F307A"/>
    <w:rsid w:val="008F5243"/>
    <w:rsid w:val="00900365"/>
    <w:rsid w:val="00903923"/>
    <w:rsid w:val="00905F12"/>
    <w:rsid w:val="0090719E"/>
    <w:rsid w:val="00910983"/>
    <w:rsid w:val="00915D65"/>
    <w:rsid w:val="00932C7C"/>
    <w:rsid w:val="009423B3"/>
    <w:rsid w:val="00946431"/>
    <w:rsid w:val="009550C6"/>
    <w:rsid w:val="00956DFC"/>
    <w:rsid w:val="00957E01"/>
    <w:rsid w:val="00971CEE"/>
    <w:rsid w:val="00982056"/>
    <w:rsid w:val="0099713E"/>
    <w:rsid w:val="009C092B"/>
    <w:rsid w:val="009C2307"/>
    <w:rsid w:val="009C5585"/>
    <w:rsid w:val="009D112A"/>
    <w:rsid w:val="009D476B"/>
    <w:rsid w:val="009E02D2"/>
    <w:rsid w:val="009E0D97"/>
    <w:rsid w:val="009E5201"/>
    <w:rsid w:val="009F1910"/>
    <w:rsid w:val="00A02BA1"/>
    <w:rsid w:val="00A03764"/>
    <w:rsid w:val="00A10670"/>
    <w:rsid w:val="00A1190B"/>
    <w:rsid w:val="00A15DC4"/>
    <w:rsid w:val="00A225BC"/>
    <w:rsid w:val="00A23F35"/>
    <w:rsid w:val="00A31F41"/>
    <w:rsid w:val="00A65163"/>
    <w:rsid w:val="00A75A0E"/>
    <w:rsid w:val="00A827BD"/>
    <w:rsid w:val="00A93317"/>
    <w:rsid w:val="00A93356"/>
    <w:rsid w:val="00AC275E"/>
    <w:rsid w:val="00AC2EDF"/>
    <w:rsid w:val="00AC7596"/>
    <w:rsid w:val="00AD2201"/>
    <w:rsid w:val="00AE0BC6"/>
    <w:rsid w:val="00AE6EB3"/>
    <w:rsid w:val="00AF5722"/>
    <w:rsid w:val="00B02EC6"/>
    <w:rsid w:val="00B12101"/>
    <w:rsid w:val="00B12C48"/>
    <w:rsid w:val="00B1341E"/>
    <w:rsid w:val="00B20D09"/>
    <w:rsid w:val="00B2179E"/>
    <w:rsid w:val="00B24F89"/>
    <w:rsid w:val="00B66078"/>
    <w:rsid w:val="00B7354E"/>
    <w:rsid w:val="00B756D5"/>
    <w:rsid w:val="00B81A17"/>
    <w:rsid w:val="00B833C6"/>
    <w:rsid w:val="00B85459"/>
    <w:rsid w:val="00B86E4A"/>
    <w:rsid w:val="00B87555"/>
    <w:rsid w:val="00BA5ED3"/>
    <w:rsid w:val="00BB4817"/>
    <w:rsid w:val="00BB5334"/>
    <w:rsid w:val="00BB7CEB"/>
    <w:rsid w:val="00BC56E5"/>
    <w:rsid w:val="00BD5296"/>
    <w:rsid w:val="00BD7337"/>
    <w:rsid w:val="00BF7340"/>
    <w:rsid w:val="00C004EE"/>
    <w:rsid w:val="00C02499"/>
    <w:rsid w:val="00C06BDA"/>
    <w:rsid w:val="00C20E5B"/>
    <w:rsid w:val="00C256EA"/>
    <w:rsid w:val="00C41226"/>
    <w:rsid w:val="00C43646"/>
    <w:rsid w:val="00C450F1"/>
    <w:rsid w:val="00C47770"/>
    <w:rsid w:val="00C5060A"/>
    <w:rsid w:val="00C51D38"/>
    <w:rsid w:val="00C52A6D"/>
    <w:rsid w:val="00C56EAC"/>
    <w:rsid w:val="00C5753C"/>
    <w:rsid w:val="00C6023E"/>
    <w:rsid w:val="00C6335E"/>
    <w:rsid w:val="00C71C9A"/>
    <w:rsid w:val="00C83E86"/>
    <w:rsid w:val="00C9162E"/>
    <w:rsid w:val="00C918C0"/>
    <w:rsid w:val="00CA1331"/>
    <w:rsid w:val="00CA203F"/>
    <w:rsid w:val="00CB3721"/>
    <w:rsid w:val="00CC520E"/>
    <w:rsid w:val="00CD50E6"/>
    <w:rsid w:val="00CD6682"/>
    <w:rsid w:val="00CF45F6"/>
    <w:rsid w:val="00D47455"/>
    <w:rsid w:val="00D85262"/>
    <w:rsid w:val="00D8644E"/>
    <w:rsid w:val="00D96DBA"/>
    <w:rsid w:val="00DC05CC"/>
    <w:rsid w:val="00DD005D"/>
    <w:rsid w:val="00DE3E50"/>
    <w:rsid w:val="00DF5152"/>
    <w:rsid w:val="00DF6EAE"/>
    <w:rsid w:val="00E008AE"/>
    <w:rsid w:val="00E03AA9"/>
    <w:rsid w:val="00E14781"/>
    <w:rsid w:val="00E25D80"/>
    <w:rsid w:val="00E479BA"/>
    <w:rsid w:val="00E64F61"/>
    <w:rsid w:val="00E72A16"/>
    <w:rsid w:val="00E81DAB"/>
    <w:rsid w:val="00E83E31"/>
    <w:rsid w:val="00E87713"/>
    <w:rsid w:val="00E96648"/>
    <w:rsid w:val="00EA1E37"/>
    <w:rsid w:val="00EA29CE"/>
    <w:rsid w:val="00EA3851"/>
    <w:rsid w:val="00EC6977"/>
    <w:rsid w:val="00ED00D1"/>
    <w:rsid w:val="00ED1910"/>
    <w:rsid w:val="00ED1F66"/>
    <w:rsid w:val="00EE33EC"/>
    <w:rsid w:val="00F30190"/>
    <w:rsid w:val="00F339D0"/>
    <w:rsid w:val="00F3465B"/>
    <w:rsid w:val="00F36D43"/>
    <w:rsid w:val="00F45270"/>
    <w:rsid w:val="00F45C38"/>
    <w:rsid w:val="00F577DC"/>
    <w:rsid w:val="00F57FFB"/>
    <w:rsid w:val="00F94BA2"/>
    <w:rsid w:val="00F95E95"/>
    <w:rsid w:val="00FA0C97"/>
    <w:rsid w:val="00FA35F7"/>
    <w:rsid w:val="00FA5B88"/>
    <w:rsid w:val="00FB0D9E"/>
    <w:rsid w:val="00FB3782"/>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DD2914"/>
  <w15:docId w15:val="{1ADBBF20-3C7E-440B-983F-6A63C3F40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4"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nhideWhenUsed="1"/>
    <w:lsdException w:name="annotation reference" w:semiHidden="1"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89757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Cs w:val="20"/>
    </w:rPr>
  </w:style>
  <w:style w:type="paragraph" w:customStyle="1" w:styleId="SuEText">
    <w:name w:val="SuE Text"/>
    <w:basedOn w:val="Normal"/>
    <w:link w:val="SuETextChar"/>
    <w:uiPriority w:val="1"/>
    <w:qFormat/>
    <w:rsid w:val="00124684"/>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124684"/>
    <w:pPr>
      <w:keepLines/>
      <w:numPr>
        <w:numId w:val="32"/>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124684"/>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124684"/>
    <w:pPr>
      <w:numPr>
        <w:ilvl w:val="2"/>
        <w:numId w:val="32"/>
      </w:numPr>
      <w:spacing w:line="276" w:lineRule="auto"/>
    </w:pPr>
    <w:rPr>
      <w:rFonts w:cs="Arial"/>
      <w:szCs w:val="21"/>
      <w:lang w:val="en-GB"/>
    </w:rPr>
  </w:style>
  <w:style w:type="paragraph" w:customStyle="1" w:styleId="SuEprovision4level">
    <w:name w:val="SuE provision 4 level"/>
    <w:basedOn w:val="Heading4"/>
    <w:uiPriority w:val="3"/>
    <w:qFormat/>
    <w:rsid w:val="00124684"/>
    <w:pPr>
      <w:numPr>
        <w:ilvl w:val="3"/>
        <w:numId w:val="32"/>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124684"/>
    <w:pPr>
      <w:numPr>
        <w:ilvl w:val="4"/>
        <w:numId w:val="32"/>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124684"/>
    <w:pPr>
      <w:pageBreakBefore/>
      <w:numPr>
        <w:numId w:val="31"/>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124684"/>
    <w:pPr>
      <w:numPr>
        <w:numId w:val="30"/>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124684"/>
    <w:pPr>
      <w:pageBreakBefore w:val="0"/>
      <w:numPr>
        <w:ilvl w:val="1"/>
      </w:numPr>
    </w:pPr>
  </w:style>
  <w:style w:type="paragraph" w:customStyle="1" w:styleId="SuEScheduleprovision2level">
    <w:name w:val="SuE Schedule provision 2 level"/>
    <w:basedOn w:val="SuEText"/>
    <w:uiPriority w:val="4"/>
    <w:rsid w:val="008B7C9A"/>
    <w:pPr>
      <w:numPr>
        <w:ilvl w:val="1"/>
        <w:numId w:val="30"/>
      </w:numPr>
    </w:pPr>
  </w:style>
  <w:style w:type="paragraph" w:customStyle="1" w:styleId="SuEScheduleprovision3level">
    <w:name w:val="SuE Schedule provision 3 level"/>
    <w:basedOn w:val="SuEText"/>
    <w:link w:val="SuEScheduleprovision3levelChar"/>
    <w:uiPriority w:val="4"/>
    <w:rsid w:val="008B7C9A"/>
    <w:pPr>
      <w:numPr>
        <w:ilvl w:val="2"/>
        <w:numId w:val="30"/>
      </w:numPr>
    </w:pPr>
  </w:style>
  <w:style w:type="character" w:customStyle="1" w:styleId="SuEScheduleprovision3levelChar">
    <w:name w:val="SuE Schedule provision 3 level Char"/>
    <w:link w:val="SuEScheduleprovision3level"/>
    <w:uiPriority w:val="4"/>
    <w:locked/>
    <w:rsid w:val="00DF6EAE"/>
    <w:rPr>
      <w:rFonts w:ascii="Arial" w:hAnsi="Arial" w:cs="Arial"/>
      <w:noProof/>
      <w:szCs w:val="21"/>
      <w:lang w:val="en-GB" w:eastAsia="en-US"/>
    </w:rPr>
  </w:style>
  <w:style w:type="paragraph" w:customStyle="1" w:styleId="SuEScheduleprovision4level">
    <w:name w:val="SuE Schedule provision 4 level"/>
    <w:basedOn w:val="SuEText"/>
    <w:uiPriority w:val="4"/>
    <w:rsid w:val="008B7C9A"/>
    <w:pPr>
      <w:numPr>
        <w:ilvl w:val="3"/>
        <w:numId w:val="30"/>
      </w:numPr>
    </w:pPr>
  </w:style>
  <w:style w:type="paragraph" w:customStyle="1" w:styleId="SuEScheduleprovision5level">
    <w:name w:val="SuE Schedule provision 5 level"/>
    <w:basedOn w:val="SuEText"/>
    <w:uiPriority w:val="4"/>
    <w:rsid w:val="008B7C9A"/>
    <w:pPr>
      <w:numPr>
        <w:ilvl w:val="4"/>
        <w:numId w:val="30"/>
      </w:numPr>
    </w:pPr>
  </w:style>
  <w:style w:type="character" w:customStyle="1" w:styleId="CommentTextChar">
    <w:name w:val="Comment Text Char"/>
    <w:basedOn w:val="DefaultParagraphFont"/>
    <w:link w:val="CommentText"/>
    <w:semiHidden/>
    <w:rsid w:val="00AE0BC6"/>
    <w:rPr>
      <w:rFonts w:ascii="Arial" w:hAnsi="Arial"/>
      <w:lang w:val="en-GB" w:eastAsia="en-US"/>
    </w:rPr>
  </w:style>
  <w:style w:type="character" w:customStyle="1" w:styleId="SuETextChar">
    <w:name w:val="SuE Text Char"/>
    <w:basedOn w:val="DefaultParagraphFont"/>
    <w:link w:val="SuEText"/>
    <w:uiPriority w:val="1"/>
    <w:rsid w:val="00124684"/>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124684"/>
    <w:pPr>
      <w:keepNext/>
      <w:keepLines/>
      <w:numPr>
        <w:ilvl w:val="1"/>
        <w:numId w:val="32"/>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semiHidden/>
    <w:unhideWhenUsed/>
    <w:rsid w:val="00F45270"/>
    <w:pPr>
      <w:tabs>
        <w:tab w:val="center" w:pos="4513"/>
        <w:tab w:val="right" w:pos="9026"/>
      </w:tabs>
    </w:pPr>
  </w:style>
  <w:style w:type="character" w:customStyle="1" w:styleId="FooterChar">
    <w:name w:val="Footer Char"/>
    <w:basedOn w:val="DefaultParagraphFont"/>
    <w:link w:val="Footer"/>
    <w:semiHidden/>
    <w:rsid w:val="00F45270"/>
    <w:rPr>
      <w:rFonts w:ascii="Arial" w:hAnsi="Arial"/>
      <w:szCs w:val="24"/>
      <w:lang w:val="en-GB" w:eastAsia="en-US"/>
    </w:rPr>
  </w:style>
  <w:style w:type="paragraph" w:styleId="Revision">
    <w:name w:val="Revision"/>
    <w:hidden/>
    <w:uiPriority w:val="99"/>
    <w:semiHidden/>
    <w:rsid w:val="00DD005D"/>
    <w:rPr>
      <w:rFonts w:ascii="Arial" w:hAnsi="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0685">
      <w:bodyDiv w:val="1"/>
      <w:marLeft w:val="0"/>
      <w:marRight w:val="0"/>
      <w:marTop w:val="0"/>
      <w:marBottom w:val="0"/>
      <w:divBdr>
        <w:top w:val="none" w:sz="0" w:space="0" w:color="auto"/>
        <w:left w:val="none" w:sz="0" w:space="0" w:color="auto"/>
        <w:bottom w:val="none" w:sz="0" w:space="0" w:color="auto"/>
        <w:right w:val="none" w:sz="0" w:space="0" w:color="auto"/>
      </w:divBdr>
    </w:div>
    <w:div w:id="494034431">
      <w:bodyDiv w:val="1"/>
      <w:marLeft w:val="0"/>
      <w:marRight w:val="0"/>
      <w:marTop w:val="0"/>
      <w:marBottom w:val="0"/>
      <w:divBdr>
        <w:top w:val="none" w:sz="0" w:space="0" w:color="auto"/>
        <w:left w:val="none" w:sz="0" w:space="0" w:color="auto"/>
        <w:bottom w:val="none" w:sz="0" w:space="0" w:color="auto"/>
        <w:right w:val="none" w:sz="0" w:space="0" w:color="auto"/>
      </w:divBdr>
    </w:div>
    <w:div w:id="965890347">
      <w:bodyDiv w:val="1"/>
      <w:marLeft w:val="0"/>
      <w:marRight w:val="0"/>
      <w:marTop w:val="0"/>
      <w:marBottom w:val="0"/>
      <w:divBdr>
        <w:top w:val="none" w:sz="0" w:space="0" w:color="auto"/>
        <w:left w:val="none" w:sz="0" w:space="0" w:color="auto"/>
        <w:bottom w:val="none" w:sz="0" w:space="0" w:color="auto"/>
        <w:right w:val="none" w:sz="0" w:space="0" w:color="auto"/>
      </w:divBdr>
    </w:div>
    <w:div w:id="1337658276">
      <w:bodyDiv w:val="1"/>
      <w:marLeft w:val="0"/>
      <w:marRight w:val="0"/>
      <w:marTop w:val="0"/>
      <w:marBottom w:val="0"/>
      <w:divBdr>
        <w:top w:val="none" w:sz="0" w:space="0" w:color="auto"/>
        <w:left w:val="none" w:sz="0" w:space="0" w:color="auto"/>
        <w:bottom w:val="none" w:sz="0" w:space="0" w:color="auto"/>
        <w:right w:val="none" w:sz="0" w:space="0" w:color="auto"/>
      </w:divBdr>
    </w:div>
    <w:div w:id="16276560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GENERAL\P&#213;HJAD\Uued%20&#252;ldp&#245;hjad\English%20Agreement%20(1%20heading%20level)%2018.02.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emoXMLNode xmlns="http://RaidlaXML.htm">
  <Lepingunimi/>
  <Nimi1/>
  <Nimi2/>
  <Aadress1/>
  <Aadress2/>
  <Esindajanimi1/>
  <Esindajanimi2/>
  <Poolenimetus1/>
  <Poolenimetus2/>
  <kuupaev/>
  <aasta/>
</DemoXMLNode>
</file>

<file path=customXml/itemProps1.xml><?xml version="1.0" encoding="utf-8"?>
<ds:datastoreItem xmlns:ds="http://schemas.openxmlformats.org/officeDocument/2006/customXml" ds:itemID="{6635889F-C31B-4B32-B864-5CBC19AC9483}">
  <ds:schemaRefs>
    <ds:schemaRef ds:uri="http://schemas.openxmlformats.org/officeDocument/2006/bibliography"/>
  </ds:schemaRefs>
</ds:datastoreItem>
</file>

<file path=customXml/itemProps2.xml><?xml version="1.0" encoding="utf-8"?>
<ds:datastoreItem xmlns:ds="http://schemas.openxmlformats.org/officeDocument/2006/customXml" ds:itemID="{DFBEA9AB-5106-4C4F-ADF1-8B6127606D87}">
  <ds:schemaRefs>
    <ds:schemaRef ds:uri="http://RaidlaXML.htm"/>
  </ds:schemaRefs>
</ds:datastoreItem>
</file>

<file path=docProps/app.xml><?xml version="1.0" encoding="utf-8"?>
<Properties xmlns="http://schemas.openxmlformats.org/officeDocument/2006/extended-properties" xmlns:vt="http://schemas.openxmlformats.org/officeDocument/2006/docPropsVTypes">
  <Template>English Agreement (1 heading level) 18.02.19</Template>
  <TotalTime>0</TotalTime>
  <Pages>5</Pages>
  <Words>1603</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Ellex Raidla</cp:lastModifiedBy>
  <cp:revision>10</cp:revision>
  <dcterms:created xsi:type="dcterms:W3CDTF">2023-06-06T00:20:00Z</dcterms:created>
  <dcterms:modified xsi:type="dcterms:W3CDTF">2023-06-18T16:55:00Z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63e84359494b6833ade74611b20c6c64718d6c6bb2c8159dd6a3e1181df74dce</vt:lpwstr>
  </property>
</Properties>
</file>