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0177" w14:textId="313D3A59" w:rsidR="00710792" w:rsidRPr="00710792" w:rsidRDefault="004B2789" w:rsidP="00710792">
      <w:pPr>
        <w:spacing w:after="120" w:line="240" w:lineRule="auto"/>
        <w:rPr>
          <w:rFonts w:ascii="Unna" w:eastAsiaTheme="majorEastAsia" w:hAnsi="Unna" w:cs="Arial"/>
          <w:i/>
          <w:iCs/>
          <w:kern w:val="2"/>
          <w:sz w:val="24"/>
          <w:szCs w:val="24"/>
          <w14:ligatures w14:val="standardContextual"/>
        </w:rPr>
      </w:pPr>
      <w:r w:rsidRPr="004B2789">
        <w:rPr>
          <w:rFonts w:ascii="Unna" w:eastAsia="Times New Roman" w:hAnsi="Unna" w:cs="Arial"/>
          <w:b/>
          <w:bCs/>
          <w:i/>
          <w:iCs/>
          <w:noProof/>
          <w:szCs w:val="24"/>
          <w:lang w:eastAsia="es-MX"/>
        </w:rPr>
        <mc:AlternateContent>
          <mc:Choice Requires="wps">
            <w:drawing>
              <wp:anchor distT="0" distB="0" distL="114300" distR="114300" simplePos="0" relativeHeight="251659264" behindDoc="0" locked="0" layoutInCell="1" allowOverlap="1" wp14:anchorId="65248F2F" wp14:editId="52B78534">
                <wp:simplePos x="0" y="0"/>
                <wp:positionH relativeFrom="margin">
                  <wp:posOffset>0</wp:posOffset>
                </wp:positionH>
                <wp:positionV relativeFrom="paragraph">
                  <wp:posOffset>234315</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DEBC0B6"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18.45pt" to="477.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">
                <w10:wrap anchorx="margin"/>
              </v:line>
            </w:pict>
          </mc:Fallback>
        </mc:AlternateContent>
      </w:r>
      <w:r w:rsidR="00710792" w:rsidRPr="00710792">
        <w:rPr>
          <w:rFonts w:ascii="Unna" w:eastAsiaTheme="majorEastAsia" w:hAnsi="Unna" w:cs="Arial"/>
          <w:i/>
          <w:iCs/>
          <w:kern w:val="2"/>
          <w:sz w:val="24"/>
          <w:szCs w:val="24"/>
          <w14:ligatures w14:val="standardContextual"/>
        </w:rPr>
        <w:t>Artículos</w:t>
      </w:r>
    </w:p>
    <w:p w14:paraId="6B193AA4" w14:textId="4C4C96AD" w:rsidR="007667E2" w:rsidRPr="00710792" w:rsidRDefault="007667E2" w:rsidP="00710792">
      <w:pPr>
        <w:spacing w:after="120" w:line="240" w:lineRule="auto"/>
        <w:jc w:val="center"/>
        <w:rPr>
          <w:rFonts w:ascii="Unna" w:eastAsiaTheme="majorEastAsia" w:hAnsi="Unna" w:cs="Arial"/>
          <w:b/>
          <w:bCs/>
          <w:kern w:val="2"/>
          <w:sz w:val="28"/>
          <w:szCs w:val="28"/>
          <w14:ligatures w14:val="standardContextual"/>
        </w:rPr>
      </w:pPr>
      <w:bookmarkStart w:id="0" w:name="OLE_LINK71"/>
      <w:r w:rsidRPr="00710792">
        <w:rPr>
          <w:rFonts w:ascii="Unna" w:eastAsiaTheme="majorEastAsia" w:hAnsi="Unna" w:cs="Arial"/>
          <w:b/>
          <w:bCs/>
          <w:kern w:val="2"/>
          <w:sz w:val="28"/>
          <w:szCs w:val="28"/>
          <w14:ligatures w14:val="standardContextual"/>
        </w:rPr>
        <w:t>Conflictos en el foro jurídico mexicano: convencionalidad, constitucionalidad y</w:t>
      </w:r>
      <w:r w:rsidR="00710792">
        <w:rPr>
          <w:rFonts w:ascii="Unna" w:eastAsiaTheme="majorEastAsia" w:hAnsi="Unna" w:cs="Arial"/>
          <w:b/>
          <w:bCs/>
          <w:kern w:val="2"/>
          <w:sz w:val="28"/>
          <w:szCs w:val="28"/>
          <w14:ligatures w14:val="standardContextual"/>
        </w:rPr>
        <w:t> </w:t>
      </w:r>
      <w:r w:rsidRPr="00710792">
        <w:rPr>
          <w:rFonts w:ascii="Unna" w:eastAsiaTheme="majorEastAsia" w:hAnsi="Unna" w:cs="Arial"/>
          <w:b/>
          <w:bCs/>
          <w:kern w:val="2"/>
          <w:sz w:val="28"/>
          <w:szCs w:val="28"/>
          <w14:ligatures w14:val="standardContextual"/>
        </w:rPr>
        <w:t>legalidad</w:t>
      </w:r>
      <w:r w:rsidR="00710792">
        <w:rPr>
          <w:rStyle w:val="Refdenotaalpie"/>
          <w:rFonts w:ascii="Unna" w:eastAsiaTheme="majorEastAsia" w:hAnsi="Unna" w:cs="Arial"/>
          <w:b/>
          <w:bCs/>
          <w:kern w:val="2"/>
          <w:sz w:val="28"/>
          <w:szCs w:val="28"/>
          <w14:ligatures w14:val="standardContextual"/>
        </w:rPr>
        <w:footnoteReference w:id="1"/>
      </w:r>
    </w:p>
    <w:bookmarkEnd w:id="0"/>
    <w:p w14:paraId="4C90C5D5" w14:textId="39E04494" w:rsidR="007667E2" w:rsidRPr="00710792" w:rsidRDefault="007667E2" w:rsidP="006768D9">
      <w:pPr>
        <w:spacing w:after="0" w:line="240" w:lineRule="auto"/>
        <w:jc w:val="center"/>
        <w:rPr>
          <w:rFonts w:ascii="Unna" w:hAnsi="Unna" w:cs="Arial"/>
          <w:b/>
          <w:bCs/>
          <w:sz w:val="28"/>
          <w:szCs w:val="28"/>
          <w:lang w:val="en-US"/>
        </w:rPr>
      </w:pPr>
      <w:r w:rsidRPr="00710792">
        <w:rPr>
          <w:rFonts w:ascii="Unna" w:hAnsi="Unna" w:cs="Arial"/>
          <w:b/>
          <w:bCs/>
          <w:sz w:val="28"/>
          <w:szCs w:val="28"/>
          <w:lang w:val="en-US"/>
        </w:rPr>
        <w:t xml:space="preserve">Conflicts </w:t>
      </w:r>
      <w:r w:rsidR="00710792" w:rsidRPr="00710792">
        <w:rPr>
          <w:rFonts w:ascii="Unna" w:hAnsi="Unna" w:cs="Arial"/>
          <w:b/>
          <w:bCs/>
          <w:sz w:val="28"/>
          <w:szCs w:val="28"/>
          <w:lang w:val="en-US"/>
        </w:rPr>
        <w:t xml:space="preserve">in the </w:t>
      </w:r>
      <w:r w:rsidRPr="00710792">
        <w:rPr>
          <w:rFonts w:ascii="Unna" w:hAnsi="Unna" w:cs="Arial"/>
          <w:b/>
          <w:bCs/>
          <w:sz w:val="28"/>
          <w:szCs w:val="28"/>
          <w:lang w:val="en-US"/>
        </w:rPr>
        <w:t xml:space="preserve">Mexican </w:t>
      </w:r>
      <w:r w:rsidR="00710792" w:rsidRPr="00710792">
        <w:rPr>
          <w:rFonts w:ascii="Unna" w:hAnsi="Unna" w:cs="Arial"/>
          <w:b/>
          <w:bCs/>
          <w:sz w:val="28"/>
          <w:szCs w:val="28"/>
          <w:lang w:val="en-US"/>
        </w:rPr>
        <w:t>Legal Forum: Conventionality, Constitutionality, and</w:t>
      </w:r>
      <w:r w:rsidR="00710792">
        <w:rPr>
          <w:rFonts w:ascii="Unna" w:hAnsi="Unna" w:cs="Arial"/>
          <w:b/>
          <w:bCs/>
          <w:sz w:val="28"/>
          <w:szCs w:val="28"/>
          <w:lang w:val="en-US"/>
        </w:rPr>
        <w:t> </w:t>
      </w:r>
      <w:r w:rsidR="00710792" w:rsidRPr="00710792">
        <w:rPr>
          <w:rFonts w:ascii="Unna" w:hAnsi="Unna" w:cs="Arial"/>
          <w:b/>
          <w:bCs/>
          <w:sz w:val="28"/>
          <w:szCs w:val="28"/>
          <w:lang w:val="en-US"/>
        </w:rPr>
        <w:t>Legality</w:t>
      </w:r>
    </w:p>
    <w:p w14:paraId="1E26C0DE" w14:textId="6BB3A2A7" w:rsidR="005823DB" w:rsidRPr="005823DB" w:rsidRDefault="004B2789" w:rsidP="004B2789">
      <w:pPr>
        <w:spacing w:before="120" w:after="0" w:line="276" w:lineRule="auto"/>
        <w:jc w:val="right"/>
        <w:rPr>
          <w:rFonts w:ascii="Unna" w:eastAsia="Aptos" w:hAnsi="Unna" w:cs="Arial"/>
          <w:iCs/>
        </w:rPr>
      </w:pPr>
      <w:r w:rsidRPr="004B2789">
        <w:rPr>
          <w:rFonts w:ascii="Unna" w:eastAsia="Times New Roman" w:hAnsi="Unna" w:cs="Arial"/>
          <w:b/>
          <w:bCs/>
          <w:i/>
          <w:iCs/>
          <w:noProof/>
          <w:szCs w:val="24"/>
          <w:lang w:eastAsia="es-MX"/>
        </w:rPr>
        <mc:AlternateContent>
          <mc:Choice Requires="wps">
            <w:drawing>
              <wp:anchor distT="0" distB="0" distL="114300" distR="114300" simplePos="0" relativeHeight="251661312" behindDoc="0" locked="0" layoutInCell="1" allowOverlap="1" wp14:anchorId="2E31829F" wp14:editId="7682B52F">
                <wp:simplePos x="0" y="0"/>
                <wp:positionH relativeFrom="margin">
                  <wp:posOffset>0</wp:posOffset>
                </wp:positionH>
                <wp:positionV relativeFrom="paragraph">
                  <wp:posOffset>56515</wp:posOffset>
                </wp:positionV>
                <wp:extent cx="6064250" cy="0"/>
                <wp:effectExtent l="0" t="0" r="0" b="0"/>
                <wp:wrapNone/>
                <wp:docPr id="940745894"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D8708C5"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4.45pt" to="477.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">
                <w10:wrap anchorx="margin"/>
              </v:line>
            </w:pict>
          </mc:Fallback>
        </mc:AlternateContent>
      </w:r>
      <w:r w:rsidR="005823DB" w:rsidRPr="005823DB">
        <w:rPr>
          <w:rFonts w:ascii="Unna" w:eastAsia="Aptos" w:hAnsi="Unna" w:cs="Arial"/>
          <w:iCs/>
        </w:rPr>
        <w:t>José Jafet Noriega Zamudio</w:t>
      </w:r>
      <w:r w:rsidR="005823DB" w:rsidRPr="005823DB">
        <w:rPr>
          <w:rFonts w:ascii="Unna" w:eastAsia="Aptos" w:hAnsi="Unna" w:cs="Arial"/>
          <w:iCs/>
          <w:vertAlign w:val="superscript"/>
        </w:rPr>
        <w:footnoteReference w:id="2"/>
      </w:r>
    </w:p>
    <w:p w14:paraId="58E65116" w14:textId="77777777" w:rsidR="005823DB" w:rsidRPr="005823DB" w:rsidRDefault="005823DB" w:rsidP="006768D9">
      <w:pPr>
        <w:spacing w:after="120" w:line="276" w:lineRule="auto"/>
        <w:jc w:val="right"/>
        <w:rPr>
          <w:rFonts w:ascii="Unna" w:eastAsia="Aptos" w:hAnsi="Unna" w:cs="Arial"/>
          <w:iCs/>
        </w:rPr>
      </w:pPr>
      <w:r w:rsidRPr="005823DB">
        <w:rPr>
          <w:rFonts w:ascii="Unna" w:eastAsia="Aptos" w:hAnsi="Unna" w:cs="Arial"/>
          <w:iCs/>
        </w:rPr>
        <w:t>Carlos Ernesto Orozco Esparza</w:t>
      </w:r>
      <w:r w:rsidRPr="005823DB">
        <w:rPr>
          <w:rFonts w:ascii="Unna" w:eastAsia="Aptos" w:hAnsi="Unna" w:cs="Arial"/>
          <w:iCs/>
          <w:vertAlign w:val="superscript"/>
        </w:rPr>
        <w:footnoteReference w:id="3"/>
      </w:r>
    </w:p>
    <w:p w14:paraId="6BC81FB0" w14:textId="519ED03E" w:rsidR="005823DB" w:rsidRDefault="005823DB" w:rsidP="005823DB">
      <w:pPr>
        <w:spacing w:line="276" w:lineRule="auto"/>
        <w:jc w:val="both"/>
        <w:rPr>
          <w:rFonts w:ascii="Unna" w:hAnsi="Unna" w:cs="Arial"/>
          <w:b/>
          <w:sz w:val="24"/>
          <w:szCs w:val="24"/>
        </w:rPr>
      </w:pPr>
      <w:r w:rsidRPr="005823DB">
        <w:rPr>
          <w:rFonts w:ascii="Unna" w:hAnsi="Unna" w:cs="Arial"/>
          <w:b/>
          <w:sz w:val="24"/>
          <w:szCs w:val="24"/>
        </w:rPr>
        <w:t>SUMARIO:</w:t>
      </w:r>
      <w:r w:rsidRPr="005823DB">
        <w:rPr>
          <w:rFonts w:ascii="Unna" w:hAnsi="Unna" w:cs="Arial"/>
          <w:bCs/>
          <w:sz w:val="24"/>
          <w:szCs w:val="24"/>
        </w:rPr>
        <w:t xml:space="preserve"> I. Introducción. II. La constitución mexicana como cauce del sistema jurídico mexicano. III. Los derechos humanos y el cambio de paradigma: reforma constitucional de 2011. IV.</w:t>
      </w:r>
      <w:r w:rsidRPr="005823DB">
        <w:rPr>
          <w:rFonts w:ascii="Unna" w:hAnsi="Unna" w:cs="Arial"/>
          <w:bCs/>
          <w:sz w:val="24"/>
          <w:szCs w:val="24"/>
        </w:rPr>
        <w:tab/>
        <w:t>Medios de control constitucional: la regularidad constitucional. V. La convencionalidad en el sistema jurídico mexicano. VI. Conflictos en el foro jurídico: convencionalidad, constitucionalidad o legalidad. VII. Comentarios finales. VIII. Fuentes consultadas.</w:t>
      </w:r>
    </w:p>
    <w:p w14:paraId="317D2397" w14:textId="3E21E481" w:rsidR="005823DB" w:rsidRDefault="005823DB" w:rsidP="005823DB">
      <w:pPr>
        <w:spacing w:after="0" w:line="276" w:lineRule="auto"/>
        <w:jc w:val="center"/>
        <w:rPr>
          <w:rFonts w:ascii="Unna" w:hAnsi="Unna" w:cs="Arial"/>
          <w:b/>
          <w:sz w:val="24"/>
          <w:szCs w:val="24"/>
        </w:rPr>
      </w:pPr>
      <w:r w:rsidRPr="00710792">
        <w:rPr>
          <w:rFonts w:ascii="Unna" w:hAnsi="Unna" w:cs="Arial"/>
          <w:b/>
          <w:sz w:val="24"/>
          <w:szCs w:val="24"/>
        </w:rPr>
        <w:t>Resumen</w:t>
      </w:r>
    </w:p>
    <w:p w14:paraId="0CF42755" w14:textId="28CB307F" w:rsidR="001D7CA0" w:rsidRPr="00710792" w:rsidRDefault="007667E2" w:rsidP="005823DB">
      <w:pPr>
        <w:spacing w:after="0" w:line="276" w:lineRule="auto"/>
        <w:jc w:val="both"/>
        <w:rPr>
          <w:rFonts w:ascii="Unna" w:hAnsi="Unna" w:cs="Arial"/>
          <w:sz w:val="24"/>
          <w:szCs w:val="24"/>
        </w:rPr>
      </w:pPr>
      <w:r w:rsidRPr="00710792">
        <w:rPr>
          <w:rFonts w:ascii="Unna" w:hAnsi="Unna" w:cs="Arial"/>
          <w:sz w:val="24"/>
          <w:szCs w:val="24"/>
        </w:rPr>
        <w:t xml:space="preserve">El panorama jurídico mexicano sufrió un cambio de paradigma con motivo de las reformas constitucionales publicadas en </w:t>
      </w:r>
      <w:r w:rsidR="00F52189" w:rsidRPr="00710792">
        <w:rPr>
          <w:rFonts w:ascii="Unna" w:hAnsi="Unna" w:cs="Arial"/>
          <w:sz w:val="24"/>
          <w:szCs w:val="24"/>
        </w:rPr>
        <w:t xml:space="preserve">el </w:t>
      </w:r>
      <w:r w:rsidRPr="00710792">
        <w:rPr>
          <w:rFonts w:ascii="Unna" w:hAnsi="Unna" w:cs="Arial"/>
          <w:sz w:val="24"/>
          <w:szCs w:val="24"/>
        </w:rPr>
        <w:t xml:space="preserve">2011, </w:t>
      </w:r>
      <w:r w:rsidR="00D326EF" w:rsidRPr="00710792">
        <w:rPr>
          <w:rFonts w:ascii="Unna" w:hAnsi="Unna" w:cs="Arial"/>
          <w:sz w:val="24"/>
          <w:szCs w:val="24"/>
        </w:rPr>
        <w:t xml:space="preserve">elevando a </w:t>
      </w:r>
      <w:r w:rsidRPr="00710792">
        <w:rPr>
          <w:rFonts w:ascii="Unna" w:hAnsi="Unna" w:cs="Arial"/>
          <w:sz w:val="24"/>
          <w:szCs w:val="24"/>
        </w:rPr>
        <w:t>rango constitucional la noción de derechos humanos. A pesar de ello, el sistema jurídico enfrenta en la actualidad un caos normativo</w:t>
      </w:r>
      <w:r w:rsidR="0030497B" w:rsidRPr="00710792">
        <w:rPr>
          <w:rFonts w:ascii="Unna" w:hAnsi="Unna" w:cs="Arial"/>
          <w:sz w:val="24"/>
          <w:szCs w:val="24"/>
        </w:rPr>
        <w:t xml:space="preserve"> en sus diferentes aspectos, e</w:t>
      </w:r>
      <w:r w:rsidRPr="00710792">
        <w:rPr>
          <w:rFonts w:ascii="Unna" w:hAnsi="Unna" w:cs="Arial"/>
          <w:sz w:val="24"/>
          <w:szCs w:val="24"/>
        </w:rPr>
        <w:t>n un panorama de incertidumbre</w:t>
      </w:r>
      <w:r w:rsidR="0030497B" w:rsidRPr="00710792">
        <w:rPr>
          <w:rFonts w:ascii="Unna" w:hAnsi="Unna" w:cs="Arial"/>
          <w:sz w:val="24"/>
          <w:szCs w:val="24"/>
        </w:rPr>
        <w:t>,</w:t>
      </w:r>
      <w:r w:rsidRPr="00710792">
        <w:rPr>
          <w:rFonts w:ascii="Unna" w:hAnsi="Unna" w:cs="Arial"/>
          <w:sz w:val="24"/>
          <w:szCs w:val="24"/>
        </w:rPr>
        <w:t xml:space="preserve"> donde cada operador actúa conforme su experiencia y convicciones, debido a la ausencia de disposiciones taxativas que determinen protocolos de actuación para la resolución de los quehaceres cotidianos. Ante ello, se proponen algunas líneas que </w:t>
      </w:r>
      <w:r w:rsidR="006965E0" w:rsidRPr="00710792">
        <w:rPr>
          <w:rFonts w:ascii="Unna" w:hAnsi="Unna" w:cs="Arial"/>
          <w:sz w:val="24"/>
          <w:szCs w:val="24"/>
        </w:rPr>
        <w:t>ofrecen</w:t>
      </w:r>
      <w:r w:rsidRPr="00710792">
        <w:rPr>
          <w:rFonts w:ascii="Unna" w:hAnsi="Unna" w:cs="Arial"/>
          <w:sz w:val="24"/>
          <w:szCs w:val="24"/>
        </w:rPr>
        <w:t xml:space="preserve"> una postura sobre</w:t>
      </w:r>
      <w:r w:rsidR="001D7CA0" w:rsidRPr="00710792">
        <w:rPr>
          <w:rFonts w:ascii="Unna" w:hAnsi="Unna" w:cs="Arial"/>
          <w:sz w:val="24"/>
          <w:szCs w:val="24"/>
        </w:rPr>
        <w:t xml:space="preserve"> la colisión de disposiciones normativas de carácter convencional, constitucional y legal, así como su necesaria reconfiguración a efecto de actuar con </w:t>
      </w:r>
      <w:r w:rsidR="00F52189" w:rsidRPr="00710792">
        <w:rPr>
          <w:rFonts w:ascii="Unna" w:hAnsi="Unna" w:cs="Arial"/>
          <w:sz w:val="24"/>
          <w:szCs w:val="24"/>
        </w:rPr>
        <w:t>acierto</w:t>
      </w:r>
      <w:r w:rsidR="001D7CA0" w:rsidRPr="00710792">
        <w:rPr>
          <w:rFonts w:ascii="Unna" w:hAnsi="Unna" w:cs="Arial"/>
          <w:sz w:val="24"/>
          <w:szCs w:val="24"/>
        </w:rPr>
        <w:t xml:space="preserve"> en la resolución incluso de las más simples tareas de</w:t>
      </w:r>
      <w:r w:rsidR="00F52189" w:rsidRPr="00710792">
        <w:rPr>
          <w:rFonts w:ascii="Unna" w:hAnsi="Unna" w:cs="Arial"/>
          <w:sz w:val="24"/>
          <w:szCs w:val="24"/>
        </w:rPr>
        <w:t xml:space="preserve"> la aplicación de la ciencia jurídica</w:t>
      </w:r>
      <w:r w:rsidR="001D7CA0" w:rsidRPr="00710792">
        <w:rPr>
          <w:rFonts w:ascii="Unna" w:hAnsi="Unna" w:cs="Arial"/>
          <w:sz w:val="24"/>
          <w:szCs w:val="24"/>
        </w:rPr>
        <w:t>.</w:t>
      </w:r>
    </w:p>
    <w:p w14:paraId="32141792" w14:textId="132C13D5" w:rsidR="006965E0" w:rsidRPr="00710792" w:rsidRDefault="005823DB" w:rsidP="005823DB">
      <w:pPr>
        <w:spacing w:after="0" w:line="360" w:lineRule="auto"/>
        <w:jc w:val="both"/>
        <w:rPr>
          <w:rFonts w:ascii="Unna" w:hAnsi="Unna" w:cs="Arial"/>
          <w:sz w:val="24"/>
          <w:szCs w:val="24"/>
        </w:rPr>
      </w:pPr>
      <w:r w:rsidRPr="00710792">
        <w:rPr>
          <w:rFonts w:ascii="Unna" w:hAnsi="Unna" w:cs="Arial"/>
          <w:b/>
          <w:sz w:val="24"/>
          <w:szCs w:val="24"/>
        </w:rPr>
        <w:t>Palabras clave</w:t>
      </w:r>
      <w:r w:rsidR="006965E0" w:rsidRPr="00710792">
        <w:rPr>
          <w:rFonts w:ascii="Unna" w:hAnsi="Unna" w:cs="Arial"/>
          <w:b/>
          <w:sz w:val="24"/>
          <w:szCs w:val="24"/>
        </w:rPr>
        <w:t>:</w:t>
      </w:r>
      <w:r w:rsidR="006965E0" w:rsidRPr="00710792">
        <w:rPr>
          <w:rFonts w:ascii="Unna" w:hAnsi="Unna" w:cs="Arial"/>
          <w:sz w:val="24"/>
          <w:szCs w:val="24"/>
        </w:rPr>
        <w:t xml:space="preserve"> constitución, derechos humanos, tratados internacionales, legalidad</w:t>
      </w:r>
      <w:r>
        <w:rPr>
          <w:rFonts w:ascii="Unna" w:hAnsi="Unna" w:cs="Arial"/>
          <w:sz w:val="24"/>
          <w:szCs w:val="24"/>
        </w:rPr>
        <w:t>.</w:t>
      </w:r>
    </w:p>
    <w:p w14:paraId="3A37907B" w14:textId="2A26A0A7" w:rsidR="005823DB" w:rsidRDefault="005823DB" w:rsidP="005823DB">
      <w:pPr>
        <w:spacing w:line="276" w:lineRule="auto"/>
        <w:jc w:val="center"/>
        <w:rPr>
          <w:rFonts w:ascii="Unna" w:hAnsi="Unna" w:cs="Arial"/>
          <w:sz w:val="24"/>
          <w:szCs w:val="24"/>
          <w:lang w:val="en-US"/>
        </w:rPr>
      </w:pPr>
      <w:r w:rsidRPr="00710792">
        <w:rPr>
          <w:rFonts w:ascii="Unna" w:hAnsi="Unna" w:cs="Arial"/>
          <w:b/>
          <w:sz w:val="24"/>
          <w:szCs w:val="24"/>
          <w:lang w:val="en-US"/>
        </w:rPr>
        <w:t>Abstract</w:t>
      </w:r>
    </w:p>
    <w:p w14:paraId="033F9276" w14:textId="54C8E64A" w:rsidR="001D7CA0" w:rsidRPr="00710792" w:rsidRDefault="001D7CA0" w:rsidP="005823DB">
      <w:pPr>
        <w:spacing w:after="0" w:line="276" w:lineRule="auto"/>
        <w:jc w:val="both"/>
        <w:rPr>
          <w:rFonts w:ascii="Unna" w:hAnsi="Unna" w:cs="Arial"/>
          <w:sz w:val="24"/>
          <w:szCs w:val="24"/>
          <w:lang w:val="en-US"/>
        </w:rPr>
      </w:pPr>
      <w:r w:rsidRPr="00710792">
        <w:rPr>
          <w:rFonts w:ascii="Unna" w:hAnsi="Unna" w:cs="Arial"/>
          <w:sz w:val="24"/>
          <w:szCs w:val="24"/>
          <w:lang w:val="en-US"/>
        </w:rPr>
        <w:t xml:space="preserve">The Mexican legal landscape underwent a paradigm shift due to the constitutional reforms published in 2011, incorporating the notion of human rights into the constitutional range. Despite this, the legal system, in its different aspects, currently faces regulatory chaos, in a panorama of </w:t>
      </w:r>
      <w:r w:rsidRPr="00710792">
        <w:rPr>
          <w:rFonts w:ascii="Unna" w:hAnsi="Unna" w:cs="Arial"/>
          <w:sz w:val="24"/>
          <w:szCs w:val="24"/>
          <w:lang w:val="en-US"/>
        </w:rPr>
        <w:lastRenderedPageBreak/>
        <w:t>legal uncertainty where each system operator acts according to their experience and convictions, due to the absence of exhaustive provisions that determine correct action protocols for the resolution of daily legal tasks. Given this, some lines are proposed that can offer a position on the collision of normative provisions of a conventional, constitutional, and legal nature, as well as their necessary reconfiguration in order to act with certainty in the resolution of even the simplest tasks of law in the Mexican system.</w:t>
      </w:r>
    </w:p>
    <w:p w14:paraId="5F186260" w14:textId="0C81603C" w:rsidR="00C2246F" w:rsidRPr="00710792" w:rsidRDefault="005823DB" w:rsidP="00710792">
      <w:pPr>
        <w:spacing w:line="360" w:lineRule="auto"/>
        <w:jc w:val="both"/>
        <w:rPr>
          <w:rFonts w:ascii="Unna" w:hAnsi="Unna" w:cs="Arial"/>
          <w:sz w:val="24"/>
          <w:szCs w:val="24"/>
          <w:lang w:val="en-US"/>
        </w:rPr>
      </w:pPr>
      <w:r w:rsidRPr="00710792">
        <w:rPr>
          <w:rFonts w:ascii="Unna" w:hAnsi="Unna" w:cs="Arial"/>
          <w:b/>
          <w:sz w:val="24"/>
          <w:szCs w:val="24"/>
          <w:lang w:val="en-US"/>
        </w:rPr>
        <w:t>Keywords</w:t>
      </w:r>
      <w:r w:rsidR="00C2246F" w:rsidRPr="00710792">
        <w:rPr>
          <w:rFonts w:ascii="Unna" w:hAnsi="Unna" w:cs="Arial"/>
          <w:b/>
          <w:sz w:val="24"/>
          <w:szCs w:val="24"/>
          <w:lang w:val="en-US"/>
        </w:rPr>
        <w:t>:</w:t>
      </w:r>
      <w:r w:rsidR="00C2246F" w:rsidRPr="00710792">
        <w:rPr>
          <w:rFonts w:ascii="Unna" w:hAnsi="Unna" w:cs="Arial"/>
          <w:sz w:val="24"/>
          <w:szCs w:val="24"/>
          <w:lang w:val="en-US"/>
        </w:rPr>
        <w:t xml:space="preserve"> constitution, human rights, international treaties, legality</w:t>
      </w:r>
      <w:r>
        <w:rPr>
          <w:rFonts w:ascii="Unna" w:hAnsi="Unna" w:cs="Arial"/>
          <w:sz w:val="24"/>
          <w:szCs w:val="24"/>
          <w:lang w:val="en-US"/>
        </w:rPr>
        <w:t>.</w:t>
      </w:r>
    </w:p>
    <w:p w14:paraId="2212C169" w14:textId="2F3D5F31" w:rsidR="00F52189" w:rsidRPr="005823DB" w:rsidRDefault="005823DB" w:rsidP="005823DB">
      <w:pPr>
        <w:pStyle w:val="Nivel1BIOL"/>
        <w:rPr>
          <w:lang w:val="es-MX"/>
        </w:rPr>
      </w:pPr>
      <w:r w:rsidRPr="005823DB">
        <w:rPr>
          <w:lang w:val="es-MX"/>
        </w:rPr>
        <w:t xml:space="preserve">I. INTRODUCCIÓN </w:t>
      </w:r>
    </w:p>
    <w:p w14:paraId="6FCFAADD" w14:textId="1729F345" w:rsidR="00837133" w:rsidRPr="00710792" w:rsidRDefault="00837133" w:rsidP="005823DB">
      <w:pPr>
        <w:pStyle w:val="parrafonormalbiolex"/>
      </w:pPr>
      <w:r w:rsidRPr="00710792">
        <w:t xml:space="preserve">El sistema jurídico mexicano ha experimentado una transformación significativa desde la reforma constitucional </w:t>
      </w:r>
      <w:r w:rsidR="00C4404C" w:rsidRPr="00710792">
        <w:t xml:space="preserve">publicada en el Diario Oficial de la Federación el 10 de junio </w:t>
      </w:r>
      <w:r w:rsidRPr="00710792">
        <w:t xml:space="preserve">de 2011, la cual elevó los derechos humanos al nivel constitucional y estableció explícitamente que los tratados internacionales en esta materia forman parte del parámetro de control de regularidad normativa. Este cambio paradigmático tuvo como objetivo principal robustecer la protección de los derechos fundamentales y sincronizar el marco normativo nacional con los estándares internacionales en el ámbito de los derechos humanos. No obstante, lejos de consolidar un régimen jurídico homogéneo y predecible, esta reforma ha generado un contexto caracterizado por una alta complejidad e incertidumbre normativa. </w:t>
      </w:r>
    </w:p>
    <w:p w14:paraId="78415171" w14:textId="5D74A727" w:rsidR="00837133" w:rsidRPr="00710792" w:rsidRDefault="00837133" w:rsidP="005823DB">
      <w:pPr>
        <w:pStyle w:val="parrafonormalbiolex"/>
      </w:pPr>
      <w:r w:rsidRPr="00710792">
        <w:t xml:space="preserve">En la práctica, la interacción entre las normas constitucionales, legales y convencionales —así como las tensiones emergentes entre ellas— ha dado lugar a un entorno fragmentado en el que los agentes jurídicos se ven obligados a operar sobre la base de interpretaciones divergentes e incluso contradictorias. Tal situación se ve agravada por la ausencia de directrices claras que faciliten la resolución de </w:t>
      </w:r>
      <w:r w:rsidR="006965E0" w:rsidRPr="00710792">
        <w:t xml:space="preserve">tales </w:t>
      </w:r>
      <w:r w:rsidRPr="00710792">
        <w:t xml:space="preserve">conflictos normativos. Estas circunstancias no </w:t>
      </w:r>
      <w:r w:rsidR="00C4404C" w:rsidRPr="00710792">
        <w:t>s</w:t>
      </w:r>
      <w:r w:rsidR="006965E0" w:rsidRPr="00710792">
        <w:t>o</w:t>
      </w:r>
      <w:r w:rsidR="00C4404C" w:rsidRPr="00710792">
        <w:t>lo</w:t>
      </w:r>
      <w:r w:rsidRPr="00710792">
        <w:t xml:space="preserve"> socavan la seguridad jurídica, sino que también comprometen la efectiva protección de los derechos humanos, que era el propósito central de la reforma. </w:t>
      </w:r>
    </w:p>
    <w:p w14:paraId="1453688A" w14:textId="77777777" w:rsidR="00837133" w:rsidRPr="00710792" w:rsidRDefault="00837133" w:rsidP="005823DB">
      <w:pPr>
        <w:pStyle w:val="parrafonormalbiolex"/>
      </w:pPr>
      <w:r w:rsidRPr="00710792">
        <w:t xml:space="preserve">El análisis propuesto en este texto aborda los conflictos emergentes en el sistema jurídico mexicano derivados de la interacción —y frecuente colisión— entre los principios de convencionalidad, constitucionalidad y legalidad. A través del examen de casos empíricos específicos, como la regulación del matrimonio igualitario en Guanajuato, la prisión preventiva oficiosa y la imposibilidad de reincorporación laboral en casos de despido injustificado, se exponen las contradicciones y retos inherentes al sistema jurídico actual. Asimismo, se plantea una reflexión crítica sobre la urgencia de una hermenéutica jurídica armonizadora que integre, sin detrimento de la supremacía constitucional, los preceptos del derecho internacional en materia de derechos humanos de forma operativa y congruente. </w:t>
      </w:r>
    </w:p>
    <w:p w14:paraId="25A1BBF3" w14:textId="2A670984" w:rsidR="00E23150" w:rsidRPr="00710792" w:rsidRDefault="00837133" w:rsidP="005823DB">
      <w:pPr>
        <w:pStyle w:val="parrafonormalbiolex"/>
        <w:rPr>
          <w:lang w:val="es-US"/>
        </w:rPr>
      </w:pPr>
      <w:r w:rsidRPr="00710792">
        <w:rPr>
          <w:lang w:val="es-US"/>
        </w:rPr>
        <w:t xml:space="preserve">Con miras a superar este estado de desorden normativo, se </w:t>
      </w:r>
      <w:r w:rsidR="00C4404C" w:rsidRPr="00710792">
        <w:rPr>
          <w:lang w:val="es-US"/>
        </w:rPr>
        <w:t xml:space="preserve">establecen algunas reflexiones sobre las problemáticas jurídicas imperantes, así como sobre la importancia de la profesionalización </w:t>
      </w:r>
      <w:r w:rsidR="00C4404C" w:rsidRPr="00710792">
        <w:rPr>
          <w:lang w:val="es-US"/>
        </w:rPr>
        <w:lastRenderedPageBreak/>
        <w:t>de los operadores jurídicos</w:t>
      </w:r>
      <w:r w:rsidRPr="00710792">
        <w:rPr>
          <w:lang w:val="es-US"/>
        </w:rPr>
        <w:t>. Tal reformulación tendría como finalidad avanzar hacia un sistema jurídico más cohesionado, previsible y comprometido con el respeto integral a los derechos humanos, contribuyendo así al fortalecimiento del Estado democrático de derecho en México.</w:t>
      </w:r>
    </w:p>
    <w:p w14:paraId="790383A1" w14:textId="08F59EAD" w:rsidR="00E23150" w:rsidRPr="005823DB" w:rsidRDefault="005823DB" w:rsidP="005823DB">
      <w:pPr>
        <w:pStyle w:val="Nivel1BIOL"/>
        <w:rPr>
          <w:lang w:val="es-MX"/>
        </w:rPr>
      </w:pPr>
      <w:bookmarkStart w:id="1" w:name="OLE_LINK69"/>
      <w:r w:rsidRPr="005823DB">
        <w:rPr>
          <w:lang w:val="es-MX"/>
        </w:rPr>
        <w:t>II</w:t>
      </w:r>
      <w:r>
        <w:rPr>
          <w:lang w:val="es-MX"/>
        </w:rPr>
        <w:t xml:space="preserve">. </w:t>
      </w:r>
      <w:r w:rsidRPr="005823DB">
        <w:rPr>
          <w:lang w:val="es-MX"/>
        </w:rPr>
        <w:t>LA CONSTITUCIÓN MEXICANA COMO CAUCE DEL SISTEMA JURÍDICO MEXICANO</w:t>
      </w:r>
    </w:p>
    <w:bookmarkEnd w:id="1"/>
    <w:p w14:paraId="0EB3E439" w14:textId="5F3D6912" w:rsidR="001D7CA0" w:rsidRPr="00710792" w:rsidRDefault="00E95871" w:rsidP="005823DB">
      <w:pPr>
        <w:pStyle w:val="parrafonormalbiolex"/>
      </w:pPr>
      <w:r w:rsidRPr="00710792">
        <w:t xml:space="preserve">La </w:t>
      </w:r>
      <w:r w:rsidR="006965E0" w:rsidRPr="00710792">
        <w:t>c</w:t>
      </w:r>
      <w:r w:rsidRPr="00710792">
        <w:t>onstitución de un Estado tiene un carácter tanto jurídico como político, donde se estatuye la forma de ser del mismo, al tiempo de establecer los derechos fundamentales, las libertades públicas, los principios de actuación de los poderes públicos y la organización institucional y territorial, entre otros postulados.</w:t>
      </w:r>
    </w:p>
    <w:p w14:paraId="0D655852" w14:textId="3373A5D8" w:rsidR="00E95871" w:rsidRPr="00710792" w:rsidRDefault="00E95871" w:rsidP="005823DB">
      <w:pPr>
        <w:pStyle w:val="parrafonormalbiolex"/>
      </w:pPr>
      <w:r w:rsidRPr="00710792">
        <w:t xml:space="preserve">En el caso del Estado </w:t>
      </w:r>
      <w:r w:rsidR="006E73D6" w:rsidRPr="00710792">
        <w:t>m</w:t>
      </w:r>
      <w:r w:rsidRPr="00710792">
        <w:t>exicano</w:t>
      </w:r>
      <w:r w:rsidR="006E73D6" w:rsidRPr="00710792">
        <w:t>,</w:t>
      </w:r>
      <w:r w:rsidRPr="00710792">
        <w:t xml:space="preserve"> la creación y </w:t>
      </w:r>
      <w:r w:rsidR="00AD5731" w:rsidRPr="00710792">
        <w:t>obra</w:t>
      </w:r>
      <w:r w:rsidRPr="00710792">
        <w:t xml:space="preserve"> de las autoridades está </w:t>
      </w:r>
      <w:r w:rsidR="00F52189" w:rsidRPr="00710792">
        <w:t>regulada</w:t>
      </w:r>
      <w:r w:rsidRPr="00710792">
        <w:t xml:space="preserve"> por la Constitución Política de los Estados Unidos Mexicanos, </w:t>
      </w:r>
      <w:r w:rsidR="004C3EA9" w:rsidRPr="00710792">
        <w:t>la cual</w:t>
      </w:r>
      <w:r w:rsidRPr="00710792">
        <w:t xml:space="preserve"> </w:t>
      </w:r>
      <w:r w:rsidR="00F52189" w:rsidRPr="00710792">
        <w:t>sistematiza</w:t>
      </w:r>
      <w:r w:rsidR="00AD5731" w:rsidRPr="00710792">
        <w:t xml:space="preserve"> el marco de actuación tanto de los gobernados como de las autoridades. </w:t>
      </w:r>
      <w:r w:rsidR="00F30A89" w:rsidRPr="00710792">
        <w:t xml:space="preserve">Por lo anterior, fue acuñado en el propio texto constitucional un principio que la doctrina denomina como “supremacía constitucional”, mismo que se consagró en el artículo 133 de la norma fundante del Estado </w:t>
      </w:r>
      <w:r w:rsidR="006E73D6" w:rsidRPr="00710792">
        <w:t>m</w:t>
      </w:r>
      <w:r w:rsidR="00F30A89" w:rsidRPr="00710792">
        <w:t>exicano, el cual refiere</w:t>
      </w:r>
      <w:r w:rsidR="006E73D6" w:rsidRPr="00710792">
        <w:t xml:space="preserve"> lo siguiente</w:t>
      </w:r>
      <w:r w:rsidR="00F30A89" w:rsidRPr="00710792">
        <w:t>:</w:t>
      </w:r>
    </w:p>
    <w:p w14:paraId="71BD1BF9" w14:textId="21C725C0" w:rsidR="00F30A89" w:rsidRPr="00710792" w:rsidRDefault="00F30A89" w:rsidP="005823DB">
      <w:pPr>
        <w:pStyle w:val="Citalarga"/>
      </w:pPr>
      <w:r w:rsidRPr="00710792">
        <w:t>Artículo 133. Esta Constitución, las leyes del Congreso de la Unión que emanen de ella y todos los tratados que estén de acuerdo con la misma, celebrados y que se celebren por el Presidente de la República, con aprobación del Senado, serán la Ley Suprema de toda la Unión. Los jueces de cada entidad federativa se arreglarán a dicha Constitución, leyes y tratados, a pesar de las disposiciones en contrario que pueda haber en las Constituciones o leyes de las entidades federativas.</w:t>
      </w:r>
      <w:r w:rsidR="007E5539" w:rsidRPr="00710792">
        <w:t xml:space="preserve"> </w:t>
      </w:r>
      <w:r w:rsidRPr="00710792">
        <w:rPr>
          <w:rStyle w:val="Refdenotaalpie"/>
          <w:rFonts w:ascii="Unna" w:hAnsi="Unna"/>
          <w:iCs/>
          <w:sz w:val="24"/>
          <w:szCs w:val="24"/>
        </w:rPr>
        <w:footnoteReference w:id="4"/>
      </w:r>
    </w:p>
    <w:p w14:paraId="4C145264" w14:textId="54BBD49A" w:rsidR="00F30A89" w:rsidRPr="005823DB" w:rsidRDefault="00F30A89" w:rsidP="005823DB">
      <w:pPr>
        <w:pStyle w:val="parrafonormalbiolex"/>
      </w:pPr>
      <w:r w:rsidRPr="005823DB">
        <w:t>De lo anterior se desprende que toda autoridad y los particulares deben ceñir su actuación a los cánones que la Constitución establece, por lo que es el parámetro regulador del obrar del sistema jurídico y cuyas disposiciones deben ser acatadas de manera ineludible, es el caudal del ordenamiento, por lo que nadie puede ir en contra o sobrepasar dichos postulados.</w:t>
      </w:r>
    </w:p>
    <w:p w14:paraId="006F0DE9" w14:textId="6CC464C4" w:rsidR="00F30A89" w:rsidRPr="005823DB" w:rsidRDefault="00F30A89" w:rsidP="005823DB">
      <w:pPr>
        <w:pStyle w:val="parrafonormalbiolex"/>
      </w:pPr>
      <w:r w:rsidRPr="005823DB">
        <w:t xml:space="preserve">Asimismo, </w:t>
      </w:r>
      <w:r w:rsidR="004C3EA9" w:rsidRPr="005823DB">
        <w:t>el</w:t>
      </w:r>
      <w:r w:rsidR="006E73D6" w:rsidRPr="005823DB">
        <w:t xml:space="preserve"> </w:t>
      </w:r>
      <w:r w:rsidR="004C3EA9" w:rsidRPr="005823DB">
        <w:t xml:space="preserve">numeral </w:t>
      </w:r>
      <w:r w:rsidR="006E73D6" w:rsidRPr="005823DB">
        <w:t>citado</w:t>
      </w:r>
      <w:r w:rsidRPr="005823DB">
        <w:t xml:space="preserve"> </w:t>
      </w:r>
      <w:r w:rsidR="006E73D6" w:rsidRPr="005823DB">
        <w:t>establece</w:t>
      </w:r>
      <w:r w:rsidR="004C3EA9" w:rsidRPr="005823DB">
        <w:t xml:space="preserve"> que </w:t>
      </w:r>
      <w:r w:rsidRPr="005823DB">
        <w:t>los tratados</w:t>
      </w:r>
      <w:r w:rsidR="00773502" w:rsidRPr="005823DB">
        <w:t xml:space="preserve"> internacionales</w:t>
      </w:r>
      <w:r w:rsidRPr="005823DB">
        <w:t xml:space="preserve"> en referencia a los </w:t>
      </w:r>
      <w:r w:rsidR="006E73D6" w:rsidRPr="005823DB">
        <w:t>t</w:t>
      </w:r>
      <w:r w:rsidRPr="005823DB">
        <w:t xml:space="preserve">ratados </w:t>
      </w:r>
      <w:r w:rsidR="006E73D6" w:rsidRPr="005823DB">
        <w:t>i</w:t>
      </w:r>
      <w:r w:rsidRPr="005823DB">
        <w:t xml:space="preserve">nternacionales </w:t>
      </w:r>
      <w:r w:rsidR="009A50DD" w:rsidRPr="005823DB">
        <w:t>en materia de Derecho</w:t>
      </w:r>
      <w:r w:rsidR="00915B96" w:rsidRPr="005823DB">
        <w:t>s</w:t>
      </w:r>
      <w:r w:rsidR="009A50DD" w:rsidRPr="005823DB">
        <w:t xml:space="preserve"> Humanos celebrados por el Estado </w:t>
      </w:r>
      <w:r w:rsidR="006E73D6" w:rsidRPr="005823DB">
        <w:t>m</w:t>
      </w:r>
      <w:r w:rsidR="009A50DD" w:rsidRPr="005823DB">
        <w:t>exicano</w:t>
      </w:r>
      <w:r w:rsidR="004C3EA9" w:rsidRPr="005823DB">
        <w:t>, así como el propio texto constitucional</w:t>
      </w:r>
      <w:r w:rsidR="009A50DD" w:rsidRPr="005823DB">
        <w:t>, serán de igual forma ley suprema de toda la Unión</w:t>
      </w:r>
      <w:r w:rsidR="00830315" w:rsidRPr="005823DB">
        <w:t>.</w:t>
      </w:r>
      <w:r w:rsidR="009A50DD" w:rsidRPr="005823DB">
        <w:t xml:space="preserve"> </w:t>
      </w:r>
      <w:r w:rsidR="00830315" w:rsidRPr="005823DB">
        <w:t>L</w:t>
      </w:r>
      <w:r w:rsidR="009A50DD" w:rsidRPr="005823DB">
        <w:t xml:space="preserve">o </w:t>
      </w:r>
      <w:r w:rsidR="00830315" w:rsidRPr="005823DB">
        <w:t xml:space="preserve">anterior </w:t>
      </w:r>
      <w:r w:rsidR="009A50DD" w:rsidRPr="005823DB">
        <w:t>se encuentra relacionado con lo que dispone el artículo 1 de la propia norma fundamental, mismo que estipula</w:t>
      </w:r>
      <w:r w:rsidR="00830315" w:rsidRPr="005823DB">
        <w:t xml:space="preserve"> lo siguiente</w:t>
      </w:r>
      <w:r w:rsidR="009A50DD" w:rsidRPr="005823DB">
        <w:t>:</w:t>
      </w:r>
    </w:p>
    <w:p w14:paraId="1B241AC5" w14:textId="57B4A7DC" w:rsidR="006768D9" w:rsidRDefault="009A50DD" w:rsidP="00AF4F73">
      <w:pPr>
        <w:pStyle w:val="Citalarga"/>
      </w:pPr>
      <w:r w:rsidRPr="00710792">
        <w:t>Artículo 1. En los Estados Unidos Mexicanos todas las personas gozarán de los derechos humanos reconocidos en esta Constitución y en los tratados internacionales de los que el Estado Mexicano sea parte, así como de las garantías para su protección, cuyo ejercicio no podrá restringirse ni suspenderse, salvo en los casos y bajo las condiciones que esta Constitución establece. (…)</w:t>
      </w:r>
      <w:r w:rsidR="00915B96" w:rsidRPr="00710792">
        <w:rPr>
          <w:rStyle w:val="Refdenotaalpie"/>
          <w:rFonts w:ascii="Unna" w:hAnsi="Unna"/>
          <w:sz w:val="24"/>
          <w:szCs w:val="24"/>
        </w:rPr>
        <w:footnoteReference w:id="5"/>
      </w:r>
    </w:p>
    <w:p w14:paraId="445E67BC" w14:textId="34D99B35" w:rsidR="00E23150" w:rsidRPr="000F279B" w:rsidRDefault="000F279B" w:rsidP="000F279B">
      <w:pPr>
        <w:pStyle w:val="Nivel1BIOL"/>
        <w:rPr>
          <w:lang w:val="es-MX"/>
        </w:rPr>
      </w:pPr>
      <w:r>
        <w:rPr>
          <w:lang w:val="es-MX"/>
        </w:rPr>
        <w:t xml:space="preserve">III. </w:t>
      </w:r>
      <w:r w:rsidRPr="000F279B">
        <w:rPr>
          <w:lang w:val="es-MX"/>
        </w:rPr>
        <w:t>LOS DERECHOS HUMANOS Y EL CAMBIO DE PARADIGMA: REFORMA CONSTITUCIONAL DE 2011</w:t>
      </w:r>
    </w:p>
    <w:p w14:paraId="775C4C06" w14:textId="6A0145B3" w:rsidR="009A50DD" w:rsidRPr="00710792" w:rsidRDefault="00E23150" w:rsidP="000F279B">
      <w:pPr>
        <w:pStyle w:val="parrafonormalbiolex"/>
        <w:rPr>
          <w:i/>
          <w:iCs/>
        </w:rPr>
      </w:pPr>
      <w:r w:rsidRPr="00710792">
        <w:lastRenderedPageBreak/>
        <w:t xml:space="preserve">La redacción a que se ha hecho referencia </w:t>
      </w:r>
      <w:r w:rsidR="009A50DD" w:rsidRPr="00710792">
        <w:t>proviene de la reforma constitucional publicada en el Diario Oficial de la Federación el 10 de junio del 2011</w:t>
      </w:r>
      <w:r w:rsidR="004A2A65" w:rsidRPr="00710792">
        <w:rPr>
          <w:rStyle w:val="Refdenotaalpie"/>
        </w:rPr>
        <w:footnoteReference w:id="6"/>
      </w:r>
      <w:r w:rsidR="009A50DD" w:rsidRPr="00710792">
        <w:t xml:space="preserve">, </w:t>
      </w:r>
      <w:r w:rsidR="004C3EA9" w:rsidRPr="00710792">
        <w:t xml:space="preserve">enmiendas </w:t>
      </w:r>
      <w:r w:rsidR="009A50DD" w:rsidRPr="00710792">
        <w:t>que tuvieron como eje rector</w:t>
      </w:r>
      <w:r w:rsidR="00F00C8D" w:rsidRPr="00710792">
        <w:t>, entre otros</w:t>
      </w:r>
      <w:r w:rsidR="00830315" w:rsidRPr="00710792">
        <w:t xml:space="preserve"> aspectos</w:t>
      </w:r>
      <w:r w:rsidR="00F00C8D" w:rsidRPr="00710792">
        <w:t xml:space="preserve">, el abandono del viejo modelo conceptual de garantías individuales, </w:t>
      </w:r>
      <w:r w:rsidR="00830315" w:rsidRPr="00710792">
        <w:t xml:space="preserve">con el propósito de </w:t>
      </w:r>
      <w:r w:rsidR="00F00C8D" w:rsidRPr="00710792">
        <w:t>realizar una modificación de fondo en el panorama jurídico mediante el reconocimiento de Derechos Humanos</w:t>
      </w:r>
      <w:r w:rsidR="00830315" w:rsidRPr="00710792">
        <w:t>.</w:t>
      </w:r>
      <w:r w:rsidR="00F00C8D" w:rsidRPr="00710792">
        <w:t xml:space="preserve"> </w:t>
      </w:r>
      <w:r w:rsidR="00830315" w:rsidRPr="00710792">
        <w:t xml:space="preserve">Así, </w:t>
      </w:r>
      <w:r w:rsidR="00F00C8D" w:rsidRPr="00710792">
        <w:t xml:space="preserve">el Estado Mexicano deja de otorgar derechos en favor de sus gobernados </w:t>
      </w:r>
      <w:r w:rsidR="00A14875" w:rsidRPr="00710792">
        <w:t>y</w:t>
      </w:r>
      <w:r w:rsidR="00830315" w:rsidRPr="00710792">
        <w:t>,</w:t>
      </w:r>
      <w:r w:rsidR="00A14875" w:rsidRPr="00710792">
        <w:t xml:space="preserve"> por el contrario</w:t>
      </w:r>
      <w:r w:rsidR="00830315" w:rsidRPr="00710792">
        <w:t xml:space="preserve">, </w:t>
      </w:r>
      <w:r w:rsidR="00F00C8D" w:rsidRPr="00710792">
        <w:t xml:space="preserve">reconoce que existen </w:t>
      </w:r>
      <w:r w:rsidR="0061684C" w:rsidRPr="00710792">
        <w:t>derechos</w:t>
      </w:r>
      <w:r w:rsidR="00F00C8D" w:rsidRPr="00710792">
        <w:t xml:space="preserve"> inherentes a las personas, por el simple hecho de ser seres humanos.</w:t>
      </w:r>
      <w:r w:rsidR="009C06F0" w:rsidRPr="00710792">
        <w:rPr>
          <w:rStyle w:val="Refdenotaalpie"/>
        </w:rPr>
        <w:footnoteReference w:id="7"/>
      </w:r>
    </w:p>
    <w:p w14:paraId="4D94A6B1" w14:textId="4DDBCAAE" w:rsidR="00F00C8D" w:rsidRPr="00710792" w:rsidRDefault="00F00C8D" w:rsidP="000F279B">
      <w:pPr>
        <w:pStyle w:val="parrafonormalbiolex"/>
      </w:pPr>
      <w:r w:rsidRPr="00710792">
        <w:t>En este nuevo panorama</w:t>
      </w:r>
      <w:r w:rsidR="00830315" w:rsidRPr="00710792">
        <w:t>,</w:t>
      </w:r>
      <w:r w:rsidRPr="00710792">
        <w:t xml:space="preserve"> el Estado </w:t>
      </w:r>
      <w:r w:rsidR="00830315" w:rsidRPr="00710792">
        <w:t>m</w:t>
      </w:r>
      <w:r w:rsidRPr="00710792">
        <w:t xml:space="preserve">exicano asume determinadas </w:t>
      </w:r>
      <w:r w:rsidR="00E545A0" w:rsidRPr="00710792">
        <w:t>obligaciones principales y secundarias a efecto de generar respeto irrestricto de las prerrogativas mencionadas. En esa medi</w:t>
      </w:r>
      <w:r w:rsidR="00B04CA6" w:rsidRPr="00710792">
        <w:t>d</w:t>
      </w:r>
      <w:r w:rsidR="00E545A0" w:rsidRPr="00710792">
        <w:t>a</w:t>
      </w:r>
      <w:r w:rsidR="00830315" w:rsidRPr="00710792">
        <w:t>,</w:t>
      </w:r>
      <w:r w:rsidR="00E545A0" w:rsidRPr="00710792">
        <w:t xml:space="preserve"> el Estado se compromete</w:t>
      </w:r>
      <w:r w:rsidR="00830315" w:rsidRPr="00710792">
        <w:t>,</w:t>
      </w:r>
      <w:r w:rsidR="00E545A0" w:rsidRPr="00710792">
        <w:t xml:space="preserve"> por medio de todas sus autoridades y agentes a promover, respetar, proteger y garantizar los derechos humanos de conformidad con los principios de universalidad, interdependencia, indivisibilidad y progresividad en tanto obligaciones principales, asumiendo</w:t>
      </w:r>
      <w:r w:rsidR="00830315" w:rsidRPr="00710792">
        <w:t>,</w:t>
      </w:r>
      <w:r w:rsidR="00E545A0" w:rsidRPr="00710792">
        <w:t xml:space="preserve"> en consecuencia</w:t>
      </w:r>
      <w:r w:rsidR="00830315" w:rsidRPr="00710792">
        <w:t>,</w:t>
      </w:r>
      <w:r w:rsidR="00E545A0" w:rsidRPr="00710792">
        <w:t xml:space="preserve"> el imperativo de prevenir, investigar, sancionar y reparar las violaciones a los derechos humanos, en los términos que establezca la ley como obligaciones secundarias.</w:t>
      </w:r>
    </w:p>
    <w:p w14:paraId="2463403C" w14:textId="13BF4D58" w:rsidR="00E545A0" w:rsidRPr="00710792" w:rsidRDefault="0061684C" w:rsidP="000F279B">
      <w:pPr>
        <w:pStyle w:val="parrafonormalbiolex"/>
      </w:pPr>
      <w:r w:rsidRPr="00710792">
        <w:t>A</w:t>
      </w:r>
      <w:r w:rsidR="00E545A0" w:rsidRPr="00710792">
        <w:t xml:space="preserve"> criterio de quien</w:t>
      </w:r>
      <w:r w:rsidR="0034386D" w:rsidRPr="00710792">
        <w:t>es</w:t>
      </w:r>
      <w:r w:rsidR="00E545A0" w:rsidRPr="00710792">
        <w:t xml:space="preserve"> </w:t>
      </w:r>
      <w:r w:rsidR="00BF41B0" w:rsidRPr="00710792">
        <w:t>suscribimos</w:t>
      </w:r>
      <w:r w:rsidR="00E545A0" w:rsidRPr="00710792">
        <w:t xml:space="preserve">, esta </w:t>
      </w:r>
      <w:r w:rsidR="00943353" w:rsidRPr="00710792">
        <w:t>adecuación constitucional</w:t>
      </w:r>
      <w:r w:rsidR="00E545A0" w:rsidRPr="00710792">
        <w:t xml:space="preserve"> permitió consolidar </w:t>
      </w:r>
      <w:r w:rsidR="00943353" w:rsidRPr="00710792">
        <w:t xml:space="preserve">únicamente en el discurso </w:t>
      </w:r>
      <w:r w:rsidR="00E545A0" w:rsidRPr="00710792">
        <w:t xml:space="preserve">un panorama de respeto y protección de </w:t>
      </w:r>
      <w:r w:rsidRPr="00710792">
        <w:t xml:space="preserve">los </w:t>
      </w:r>
      <w:r w:rsidR="00BF41B0" w:rsidRPr="00710792">
        <w:t>d</w:t>
      </w:r>
      <w:r w:rsidRPr="00710792">
        <w:t xml:space="preserve">erechos </w:t>
      </w:r>
      <w:r w:rsidR="00BF41B0" w:rsidRPr="00710792">
        <w:t>h</w:t>
      </w:r>
      <w:r w:rsidRPr="00710792">
        <w:t>umanos</w:t>
      </w:r>
      <w:r w:rsidR="00E545A0" w:rsidRPr="00710792">
        <w:t xml:space="preserve">, </w:t>
      </w:r>
      <w:r w:rsidR="00943353" w:rsidRPr="00710792">
        <w:t xml:space="preserve">con la intención de </w:t>
      </w:r>
      <w:r w:rsidR="00E545A0" w:rsidRPr="00710792">
        <w:t xml:space="preserve">dar continuidad </w:t>
      </w:r>
      <w:r w:rsidR="004E437E" w:rsidRPr="00710792">
        <w:t>a</w:t>
      </w:r>
      <w:r w:rsidR="00E545A0" w:rsidRPr="00710792">
        <w:t xml:space="preserve"> imperativos asumidos por el Estado </w:t>
      </w:r>
      <w:r w:rsidR="00BF41B0" w:rsidRPr="00710792">
        <w:t>m</w:t>
      </w:r>
      <w:r w:rsidR="00E545A0" w:rsidRPr="00710792">
        <w:t>exicano</w:t>
      </w:r>
      <w:r w:rsidR="00236293" w:rsidRPr="00710792">
        <w:t>;</w:t>
      </w:r>
      <w:r w:rsidR="00993C05" w:rsidRPr="00710792">
        <w:t xml:space="preserve"> por ejemplo</w:t>
      </w:r>
      <w:r w:rsidR="00BF41B0" w:rsidRPr="00710792">
        <w:t>,</w:t>
      </w:r>
      <w:r w:rsidR="00993C05" w:rsidRPr="00710792">
        <w:t xml:space="preserve"> al reconocer la competencia contenciosa de la Corte Interamericana de Derechos Humanos desde 1998</w:t>
      </w:r>
      <w:r w:rsidR="000B1BC3" w:rsidRPr="00710792">
        <w:rPr>
          <w:rStyle w:val="Refdenotaalpie"/>
        </w:rPr>
        <w:footnoteReference w:id="8"/>
      </w:r>
      <w:r w:rsidR="00993C05" w:rsidRPr="00710792">
        <w:t xml:space="preserve">, </w:t>
      </w:r>
      <w:r w:rsidR="00AA5395" w:rsidRPr="00710792">
        <w:t>como</w:t>
      </w:r>
      <w:r w:rsidR="00993C05" w:rsidRPr="00710792">
        <w:t xml:space="preserve"> complemento de la suscripción y ratificación de la </w:t>
      </w:r>
      <w:bookmarkStart w:id="4" w:name="_Hlk160631801"/>
      <w:r w:rsidR="00993C05" w:rsidRPr="00710792">
        <w:t xml:space="preserve">Convención Americana </w:t>
      </w:r>
      <w:r w:rsidRPr="00710792">
        <w:t>sobre</w:t>
      </w:r>
      <w:r w:rsidR="00993C05" w:rsidRPr="00710792">
        <w:t xml:space="preserve"> Derechos Humanos </w:t>
      </w:r>
      <w:bookmarkEnd w:id="4"/>
      <w:r w:rsidR="00993C05" w:rsidRPr="00710792">
        <w:t>(CADH).</w:t>
      </w:r>
    </w:p>
    <w:p w14:paraId="361141F5" w14:textId="46B535F9" w:rsidR="00C56416" w:rsidRPr="00710792" w:rsidRDefault="0061684C" w:rsidP="000F279B">
      <w:pPr>
        <w:pStyle w:val="parrafonormalbiolex"/>
      </w:pPr>
      <w:r w:rsidRPr="00710792">
        <w:t>Si</w:t>
      </w:r>
      <w:r w:rsidR="004E437E" w:rsidRPr="00710792">
        <w:t>n</w:t>
      </w:r>
      <w:r w:rsidRPr="00710792">
        <w:t xml:space="preserve"> perjuicio de lo anterior</w:t>
      </w:r>
      <w:r w:rsidR="0034386D" w:rsidRPr="00710792">
        <w:t>,</w:t>
      </w:r>
      <w:r w:rsidR="00993C05" w:rsidRPr="00710792">
        <w:t xml:space="preserve"> se estima beneficiosa la reforma constitucional a</w:t>
      </w:r>
      <w:r w:rsidR="00AA5395" w:rsidRPr="00710792">
        <w:t xml:space="preserve"> la</w:t>
      </w:r>
      <w:r w:rsidR="00993C05" w:rsidRPr="00710792">
        <w:t xml:space="preserve"> que se ha hecho referencia</w:t>
      </w:r>
      <w:r w:rsidRPr="00710792">
        <w:t>. Esto obedece</w:t>
      </w:r>
      <w:r w:rsidR="008142DF" w:rsidRPr="00710792">
        <w:t xml:space="preserve"> a</w:t>
      </w:r>
      <w:r w:rsidR="00993C05" w:rsidRPr="00710792">
        <w:t xml:space="preserve"> que</w:t>
      </w:r>
      <w:r w:rsidRPr="00710792">
        <w:t xml:space="preserve">, </w:t>
      </w:r>
      <w:r w:rsidR="00993C05" w:rsidRPr="00710792">
        <w:t>con la misma</w:t>
      </w:r>
      <w:r w:rsidR="00AA5395" w:rsidRPr="00710792">
        <w:t>,</w:t>
      </w:r>
      <w:r w:rsidR="00993C05" w:rsidRPr="00710792">
        <w:t xml:space="preserve"> se estipularon diversos principios constitucionales a manera de mandatos de optimización</w:t>
      </w:r>
      <w:r w:rsidR="00993C05" w:rsidRPr="00710792">
        <w:rPr>
          <w:rStyle w:val="Refdenotaalpie"/>
        </w:rPr>
        <w:footnoteReference w:id="9"/>
      </w:r>
      <w:r w:rsidR="00993C05" w:rsidRPr="00710792">
        <w:t xml:space="preserve">, </w:t>
      </w:r>
      <w:r w:rsidRPr="00710792">
        <w:t xml:space="preserve">lo que significa que </w:t>
      </w:r>
      <w:r w:rsidR="00943353" w:rsidRPr="00710792">
        <w:t xml:space="preserve">los </w:t>
      </w:r>
      <w:r w:rsidR="00AA5395" w:rsidRPr="00710792">
        <w:t>d</w:t>
      </w:r>
      <w:r w:rsidR="00943353" w:rsidRPr="00710792">
        <w:t xml:space="preserve">erechos </w:t>
      </w:r>
      <w:r w:rsidR="00AA5395" w:rsidRPr="00710792">
        <w:t>h</w:t>
      </w:r>
      <w:r w:rsidR="00943353" w:rsidRPr="00710792">
        <w:t>umanos</w:t>
      </w:r>
      <w:r w:rsidRPr="00710792">
        <w:t xml:space="preserve"> </w:t>
      </w:r>
      <w:r w:rsidR="00943353" w:rsidRPr="00710792">
        <w:t xml:space="preserve">dejan de concebirse como </w:t>
      </w:r>
      <w:r w:rsidR="00993C05" w:rsidRPr="00710792">
        <w:t>normas programáticas</w:t>
      </w:r>
      <w:r w:rsidR="00943353" w:rsidRPr="00710792">
        <w:t xml:space="preserve"> que </w:t>
      </w:r>
      <w:r w:rsidR="00993C05" w:rsidRPr="00710792">
        <w:t xml:space="preserve">se efectúan o aplican </w:t>
      </w:r>
      <w:r w:rsidRPr="00710792">
        <w:t>s</w:t>
      </w:r>
      <w:r w:rsidR="00AA5395" w:rsidRPr="00710792">
        <w:t>o</w:t>
      </w:r>
      <w:r w:rsidRPr="00710792">
        <w:t xml:space="preserve">lo </w:t>
      </w:r>
      <w:r w:rsidR="00993C05" w:rsidRPr="00710792">
        <w:t>si es posible</w:t>
      </w:r>
      <w:r w:rsidRPr="00710792">
        <w:t xml:space="preserve"> y</w:t>
      </w:r>
      <w:r w:rsidR="00993C05" w:rsidRPr="00710792">
        <w:t xml:space="preserve">, </w:t>
      </w:r>
      <w:r w:rsidRPr="00710792">
        <w:t xml:space="preserve">por el contrario, se estatuye que </w:t>
      </w:r>
      <w:r w:rsidR="00943353" w:rsidRPr="00710792">
        <w:t xml:space="preserve">bajo el nuevo paradigma constitucional, estas prerrogativas </w:t>
      </w:r>
      <w:r w:rsidR="00993C05" w:rsidRPr="00710792">
        <w:t>son de observancia obligatoria</w:t>
      </w:r>
      <w:r w:rsidR="00943353" w:rsidRPr="00710792">
        <w:t xml:space="preserve">, por lo que no se puede elegir si se </w:t>
      </w:r>
      <w:r w:rsidRPr="00710792">
        <w:t xml:space="preserve">realizan </w:t>
      </w:r>
      <w:r w:rsidR="00943353" w:rsidRPr="00710792">
        <w:t xml:space="preserve">o no, </w:t>
      </w:r>
      <w:r w:rsidRPr="00710792">
        <w:t xml:space="preserve">sino que </w:t>
      </w:r>
      <w:r w:rsidR="00943353" w:rsidRPr="00710792">
        <w:t xml:space="preserve">es imperativo </w:t>
      </w:r>
      <w:r w:rsidRPr="00710792">
        <w:t>su exacto cumplimiento</w:t>
      </w:r>
      <w:r w:rsidR="00943353" w:rsidRPr="00710792">
        <w:t xml:space="preserve">, </w:t>
      </w:r>
      <w:r w:rsidR="00993C05" w:rsidRPr="00710792">
        <w:t xml:space="preserve">sin </w:t>
      </w:r>
      <w:r w:rsidRPr="00710792">
        <w:t xml:space="preserve">perjuicio </w:t>
      </w:r>
      <w:r w:rsidR="00993C05" w:rsidRPr="00710792">
        <w:t>de que su aplicación se lleva a cabo en la medida de lo posible, de acuerdo con las posibilidades fácticas y jurídicas.</w:t>
      </w:r>
    </w:p>
    <w:p w14:paraId="1E820760" w14:textId="44DE8D27" w:rsidR="00993C05" w:rsidRPr="00710792" w:rsidRDefault="00993C05" w:rsidP="000F279B">
      <w:pPr>
        <w:pStyle w:val="parrafonormalbiolex"/>
      </w:pPr>
      <w:r w:rsidRPr="00710792">
        <w:lastRenderedPageBreak/>
        <w:t xml:space="preserve">La distinción entre principios y reglas es importante en la interpretación jurídica, particularmente en el contexto de los </w:t>
      </w:r>
      <w:r w:rsidR="00AA5395" w:rsidRPr="00710792">
        <w:t>d</w:t>
      </w:r>
      <w:r w:rsidR="009F55D7" w:rsidRPr="00710792">
        <w:t xml:space="preserve">erechos </w:t>
      </w:r>
      <w:r w:rsidR="00AA5395" w:rsidRPr="00710792">
        <w:t>h</w:t>
      </w:r>
      <w:r w:rsidR="009F55D7" w:rsidRPr="00710792">
        <w:t>umanos</w:t>
      </w:r>
      <w:r w:rsidRPr="00710792">
        <w:t>, ya que en estos</w:t>
      </w:r>
      <w:r w:rsidR="00AA5395" w:rsidRPr="00710792">
        <w:t xml:space="preserve"> </w:t>
      </w:r>
      <w:r w:rsidRPr="00710792">
        <w:t>no existe una ponderación</w:t>
      </w:r>
      <w:r w:rsidR="009F55D7" w:rsidRPr="00710792">
        <w:t xml:space="preserve">. En consecuencia, </w:t>
      </w:r>
      <w:r w:rsidRPr="00710792">
        <w:t xml:space="preserve">ningún </w:t>
      </w:r>
      <w:r w:rsidR="00463437" w:rsidRPr="00710792">
        <w:t>derecho de esta naturaleza</w:t>
      </w:r>
      <w:r w:rsidRPr="00710792">
        <w:t xml:space="preserve"> se encuentra por encima de otro</w:t>
      </w:r>
      <w:r w:rsidR="009F55D7" w:rsidRPr="00710792">
        <w:t xml:space="preserve"> en un orden jerárquico, sino que </w:t>
      </w:r>
      <w:r w:rsidR="00463437" w:rsidRPr="00710792">
        <w:t xml:space="preserve">su tratamiento interpretativo debe realizarse atendiendo </w:t>
      </w:r>
      <w:r w:rsidRPr="00710792">
        <w:t>a la protección más amplia</w:t>
      </w:r>
      <w:r w:rsidR="009F55D7" w:rsidRPr="00710792">
        <w:t xml:space="preserve">, </w:t>
      </w:r>
      <w:r w:rsidRPr="00710792">
        <w:t xml:space="preserve">lo cual se conoce doctrinalmente como </w:t>
      </w:r>
      <w:r w:rsidRPr="00710792">
        <w:rPr>
          <w:i/>
          <w:iCs/>
        </w:rPr>
        <w:t>principio pro persona o pro homine</w:t>
      </w:r>
      <w:r w:rsidR="00CE0539" w:rsidRPr="00710792">
        <w:t>.</w:t>
      </w:r>
      <w:r w:rsidR="009F55D7" w:rsidRPr="00710792">
        <w:rPr>
          <w:rStyle w:val="Refdenotaalpie"/>
          <w:i/>
          <w:iCs/>
        </w:rPr>
        <w:footnoteReference w:id="10"/>
      </w:r>
    </w:p>
    <w:p w14:paraId="1713452A" w14:textId="49C67D82" w:rsidR="00993C05" w:rsidRPr="00710792" w:rsidRDefault="00993C05" w:rsidP="000F279B">
      <w:pPr>
        <w:pStyle w:val="parrafonormalbiolex"/>
      </w:pPr>
      <w:r w:rsidRPr="00710792">
        <w:t xml:space="preserve">A pesar de lo anterior, </w:t>
      </w:r>
      <w:r w:rsidR="002A286C" w:rsidRPr="00710792">
        <w:t xml:space="preserve">la inmersión de los </w:t>
      </w:r>
      <w:r w:rsidR="00F43032" w:rsidRPr="00710792">
        <w:t>d</w:t>
      </w:r>
      <w:r w:rsidR="002A286C" w:rsidRPr="00710792">
        <w:t xml:space="preserve">erechos </w:t>
      </w:r>
      <w:r w:rsidR="00F43032" w:rsidRPr="00710792">
        <w:t>h</w:t>
      </w:r>
      <w:r w:rsidR="002A286C" w:rsidRPr="00710792">
        <w:t xml:space="preserve">umanos en el sistema jurídico </w:t>
      </w:r>
      <w:r w:rsidR="00F0141C" w:rsidRPr="00710792">
        <w:t>mexicano</w:t>
      </w:r>
      <w:r w:rsidR="002A286C" w:rsidRPr="00710792">
        <w:t xml:space="preserve"> trajo aparejada la presencia de diversos problemas interpretativos</w:t>
      </w:r>
      <w:r w:rsidR="00F43032" w:rsidRPr="00710792">
        <w:t>,</w:t>
      </w:r>
      <w:r w:rsidR="002A286C" w:rsidRPr="00710792">
        <w:t xml:space="preserve"> sobre todo </w:t>
      </w:r>
      <w:r w:rsidR="009F55D7" w:rsidRPr="00710792">
        <w:t>por cuanto hace a la</w:t>
      </w:r>
      <w:r w:rsidR="002A286C" w:rsidRPr="00710792">
        <w:t xml:space="preserve"> ponderación o preferencia de </w:t>
      </w:r>
      <w:r w:rsidR="009F55D7" w:rsidRPr="00710792">
        <w:t xml:space="preserve">las </w:t>
      </w:r>
      <w:r w:rsidR="002A286C" w:rsidRPr="00710792">
        <w:t>disposiciones normativas contenidas en el texto constitucional y en tratados internacionales que</w:t>
      </w:r>
      <w:r w:rsidR="00F43032" w:rsidRPr="00710792">
        <w:t xml:space="preserve"> </w:t>
      </w:r>
      <w:r w:rsidR="002A286C" w:rsidRPr="00710792">
        <w:t xml:space="preserve">actualmente se encuentran elevados a rango </w:t>
      </w:r>
      <w:r w:rsidR="00F0141C" w:rsidRPr="00710792">
        <w:t>constitucional</w:t>
      </w:r>
      <w:r w:rsidR="002A286C" w:rsidRPr="00710792">
        <w:t xml:space="preserve">. Lo anterior ha generado un auténtico caos normativo en el que cada operador jurídico actúa conforme cree conveniente, por lo </w:t>
      </w:r>
      <w:r w:rsidR="00463437" w:rsidRPr="00710792">
        <w:t>que,</w:t>
      </w:r>
      <w:r w:rsidR="002A286C" w:rsidRPr="00710792">
        <w:t xml:space="preserve"> en aras de la salvaguarda de </w:t>
      </w:r>
      <w:r w:rsidR="009F55D7" w:rsidRPr="00710792">
        <w:t xml:space="preserve">estos derechos, </w:t>
      </w:r>
      <w:r w:rsidR="002A286C" w:rsidRPr="00710792">
        <w:t xml:space="preserve">se termina vulnerando la seguridad jurídica de </w:t>
      </w:r>
      <w:r w:rsidR="00463437" w:rsidRPr="00710792">
        <w:t>las personas</w:t>
      </w:r>
      <w:r w:rsidR="002A286C" w:rsidRPr="00710792">
        <w:t xml:space="preserve"> y</w:t>
      </w:r>
      <w:r w:rsidR="00F43032" w:rsidRPr="00710792">
        <w:t>,</w:t>
      </w:r>
      <w:r w:rsidR="002A286C" w:rsidRPr="00710792">
        <w:t xml:space="preserve"> en consecuencia</w:t>
      </w:r>
      <w:r w:rsidR="00F43032" w:rsidRPr="00710792">
        <w:t>,</w:t>
      </w:r>
      <w:r w:rsidR="002A286C" w:rsidRPr="00710792">
        <w:t xml:space="preserve"> </w:t>
      </w:r>
      <w:r w:rsidR="00F43032" w:rsidRPr="00710792">
        <w:t xml:space="preserve">se provoca </w:t>
      </w:r>
      <w:r w:rsidR="002A286C" w:rsidRPr="00710792">
        <w:t>un efectivo menoscabo en su esfera jurídica.</w:t>
      </w:r>
    </w:p>
    <w:p w14:paraId="7A4AB6BC" w14:textId="7EF9BDFE" w:rsidR="00C56416" w:rsidRPr="00710792" w:rsidRDefault="00463437" w:rsidP="000F279B">
      <w:pPr>
        <w:pStyle w:val="parrafonormalbiolex"/>
      </w:pPr>
      <w:r w:rsidRPr="00710792">
        <w:t xml:space="preserve">Con el objeto de erradicar este fenómeno, el Estado </w:t>
      </w:r>
      <w:r w:rsidR="00F43032" w:rsidRPr="00710792">
        <w:t>m</w:t>
      </w:r>
      <w:r w:rsidRPr="00710792">
        <w:t xml:space="preserve">exicano ha desarrollado </w:t>
      </w:r>
      <w:r w:rsidR="002A286C" w:rsidRPr="00710792">
        <w:t xml:space="preserve">sistemas de regularidad constitucional </w:t>
      </w:r>
      <w:r w:rsidRPr="00710792">
        <w:t xml:space="preserve">que, </w:t>
      </w:r>
      <w:r w:rsidR="002A286C" w:rsidRPr="00710792">
        <w:t xml:space="preserve">a la par, se encuentran </w:t>
      </w:r>
      <w:r w:rsidRPr="00710792">
        <w:t xml:space="preserve">en coexistencia de </w:t>
      </w:r>
      <w:r w:rsidR="00C44168" w:rsidRPr="00710792">
        <w:t xml:space="preserve">mecanismos de control de convencionalidad. Los sistemas de regularidad constitucional se refieren a </w:t>
      </w:r>
      <w:r w:rsidRPr="00710792">
        <w:t>las herramientas</w:t>
      </w:r>
      <w:r w:rsidR="00C44168" w:rsidRPr="00710792">
        <w:t xml:space="preserve"> y parámetros utilizados para garantizar la coherencia y conformidad de las leyes y actos de autoridad con la Constitución</w:t>
      </w:r>
      <w:r w:rsidR="00F43032" w:rsidRPr="00710792">
        <w:t>,</w:t>
      </w:r>
      <w:r w:rsidR="00C44168" w:rsidRPr="00710792">
        <w:t xml:space="preserve"> a efecto de evitar que los </w:t>
      </w:r>
      <w:r w:rsidR="00F43032" w:rsidRPr="00710792">
        <w:t>d</w:t>
      </w:r>
      <w:r w:rsidR="00C44168" w:rsidRPr="00710792">
        <w:t xml:space="preserve">erechos </w:t>
      </w:r>
      <w:r w:rsidR="00F43032" w:rsidRPr="00710792">
        <w:t>h</w:t>
      </w:r>
      <w:r w:rsidR="00C44168" w:rsidRPr="00710792">
        <w:t>umanos queden únicamente como presupuestos axiológicos</w:t>
      </w:r>
      <w:r w:rsidR="00C56416" w:rsidRPr="00710792">
        <w:t>.</w:t>
      </w:r>
    </w:p>
    <w:p w14:paraId="4B9A27EC" w14:textId="29B14F82" w:rsidR="00E23150" w:rsidRPr="000F279B" w:rsidRDefault="000F279B" w:rsidP="000F279B">
      <w:pPr>
        <w:pStyle w:val="Nivel1BIOL"/>
        <w:rPr>
          <w:lang w:val="es-MX"/>
        </w:rPr>
      </w:pPr>
      <w:bookmarkStart w:id="7" w:name="OLE_LINK70"/>
      <w:r>
        <w:rPr>
          <w:lang w:val="es-MX"/>
        </w:rPr>
        <w:t xml:space="preserve">IV. </w:t>
      </w:r>
      <w:r w:rsidRPr="000F279B">
        <w:rPr>
          <w:lang w:val="es-MX"/>
        </w:rPr>
        <w:t>MEDIOS DE CONTROL CONSTITUCIONAL: LA REGULARIDAD CONSTITUCIONAL</w:t>
      </w:r>
    </w:p>
    <w:bookmarkEnd w:id="7"/>
    <w:p w14:paraId="7D9F0CFD" w14:textId="5C59515B" w:rsidR="00C56416" w:rsidRPr="00710792" w:rsidRDefault="00BE6649" w:rsidP="000F279B">
      <w:pPr>
        <w:pStyle w:val="parrafonormalbiolex"/>
      </w:pPr>
      <w:r w:rsidRPr="00710792">
        <w:t xml:space="preserve"> </w:t>
      </w:r>
      <w:r w:rsidR="00C56416" w:rsidRPr="00710792">
        <w:t>E</w:t>
      </w:r>
      <w:r w:rsidR="00C44168" w:rsidRPr="00710792">
        <w:t>ntre estos medios de control constitucional, que por antonomasia son mecanismos de garantía de derechos fundamentales, se encuentran:</w:t>
      </w:r>
    </w:p>
    <w:p w14:paraId="61553592" w14:textId="6B6E4788" w:rsidR="00C44168" w:rsidRPr="000F279B" w:rsidRDefault="00C44168" w:rsidP="000F279B">
      <w:pPr>
        <w:pStyle w:val="vietas"/>
        <w:rPr>
          <w:sz w:val="24"/>
          <w:szCs w:val="24"/>
        </w:rPr>
      </w:pPr>
      <w:r w:rsidRPr="000F279B">
        <w:rPr>
          <w:sz w:val="24"/>
          <w:szCs w:val="24"/>
        </w:rPr>
        <w:t>1. El juicio de amparo (artículos 103 y 107 constitucionales)</w:t>
      </w:r>
      <w:r w:rsidR="009C06F0" w:rsidRPr="000F279B">
        <w:rPr>
          <w:rStyle w:val="Refdenotaalpie"/>
          <w:sz w:val="28"/>
          <w:szCs w:val="28"/>
        </w:rPr>
        <w:footnoteReference w:id="11"/>
      </w:r>
      <w:r w:rsidRPr="000F279B">
        <w:rPr>
          <w:sz w:val="24"/>
          <w:szCs w:val="24"/>
        </w:rPr>
        <w:t xml:space="preserve">. Se trata de un mecanismo que tiene como finalidad restituir a las personas en el pleno goce de sus derechos humanos </w:t>
      </w:r>
      <w:r w:rsidR="004E437E" w:rsidRPr="000F279B">
        <w:rPr>
          <w:sz w:val="24"/>
          <w:szCs w:val="24"/>
        </w:rPr>
        <w:t>por</w:t>
      </w:r>
      <w:r w:rsidRPr="000F279B">
        <w:rPr>
          <w:sz w:val="24"/>
          <w:szCs w:val="24"/>
        </w:rPr>
        <w:t xml:space="preserve"> violaciones cometidas por autoridades (</w:t>
      </w:r>
      <w:r w:rsidR="0089410C" w:rsidRPr="000F279B">
        <w:rPr>
          <w:sz w:val="24"/>
          <w:szCs w:val="24"/>
        </w:rPr>
        <w:t xml:space="preserve">ya sea </w:t>
      </w:r>
      <w:r w:rsidRPr="000F279B">
        <w:rPr>
          <w:sz w:val="24"/>
          <w:szCs w:val="24"/>
        </w:rPr>
        <w:t xml:space="preserve">públicas </w:t>
      </w:r>
      <w:r w:rsidR="0089410C" w:rsidRPr="000F279B">
        <w:rPr>
          <w:sz w:val="24"/>
          <w:szCs w:val="24"/>
        </w:rPr>
        <w:t xml:space="preserve">de conformidad con el artículo </w:t>
      </w:r>
      <w:r w:rsidRPr="000F279B">
        <w:rPr>
          <w:sz w:val="24"/>
          <w:szCs w:val="24"/>
        </w:rPr>
        <w:t xml:space="preserve">5 </w:t>
      </w:r>
      <w:r w:rsidR="0089410C" w:rsidRPr="000F279B">
        <w:rPr>
          <w:sz w:val="24"/>
          <w:szCs w:val="24"/>
        </w:rPr>
        <w:t xml:space="preserve">fracción </w:t>
      </w:r>
      <w:r w:rsidRPr="000F279B">
        <w:rPr>
          <w:sz w:val="24"/>
          <w:szCs w:val="24"/>
        </w:rPr>
        <w:t>II párrafo primero</w:t>
      </w:r>
      <w:r w:rsidR="0089410C" w:rsidRPr="000F279B">
        <w:rPr>
          <w:sz w:val="24"/>
          <w:szCs w:val="24"/>
        </w:rPr>
        <w:t xml:space="preserve"> de la Ley de Amparo, reglamentaria de los artículos 103 y 107 de la Constitución Política de los Estados Unidos Mexicanos</w:t>
      </w:r>
      <w:r w:rsidRPr="000F279B">
        <w:rPr>
          <w:sz w:val="24"/>
          <w:szCs w:val="24"/>
        </w:rPr>
        <w:t xml:space="preserve">; </w:t>
      </w:r>
      <w:r w:rsidR="0089410C" w:rsidRPr="000F279B">
        <w:rPr>
          <w:sz w:val="24"/>
          <w:szCs w:val="24"/>
        </w:rPr>
        <w:t>o bien</w:t>
      </w:r>
      <w:r w:rsidR="006767EE" w:rsidRPr="000F279B">
        <w:rPr>
          <w:sz w:val="24"/>
          <w:szCs w:val="24"/>
        </w:rPr>
        <w:t>,</w:t>
      </w:r>
      <w:r w:rsidR="0089410C" w:rsidRPr="000F279B">
        <w:rPr>
          <w:sz w:val="24"/>
          <w:szCs w:val="24"/>
        </w:rPr>
        <w:t xml:space="preserve"> </w:t>
      </w:r>
      <w:r w:rsidRPr="000F279B">
        <w:rPr>
          <w:sz w:val="24"/>
          <w:szCs w:val="24"/>
        </w:rPr>
        <w:t>por lo que hace a particulares</w:t>
      </w:r>
      <w:r w:rsidR="0089410C" w:rsidRPr="000F279B">
        <w:rPr>
          <w:sz w:val="24"/>
          <w:szCs w:val="24"/>
        </w:rPr>
        <w:t xml:space="preserve"> contemplados en el párrafo segundo</w:t>
      </w:r>
      <w:r w:rsidRPr="000F279B">
        <w:rPr>
          <w:sz w:val="24"/>
          <w:szCs w:val="24"/>
        </w:rPr>
        <w:t xml:space="preserve">, siempre que se efectúe en cumplimiento de una norma general y se lleva a cabo un acto de manera análoga a los de una autoridad pública). </w:t>
      </w:r>
      <w:r w:rsidR="0089410C" w:rsidRPr="000F279B">
        <w:rPr>
          <w:sz w:val="24"/>
          <w:szCs w:val="24"/>
        </w:rPr>
        <w:t xml:space="preserve">Este medio de defensa es ampliamente empleado en el sistema jurídico </w:t>
      </w:r>
      <w:r w:rsidR="00463437" w:rsidRPr="000F279B">
        <w:rPr>
          <w:sz w:val="24"/>
          <w:szCs w:val="24"/>
        </w:rPr>
        <w:t xml:space="preserve">mexicano, </w:t>
      </w:r>
      <w:r w:rsidR="0089410C" w:rsidRPr="000F279B">
        <w:rPr>
          <w:sz w:val="24"/>
          <w:szCs w:val="24"/>
        </w:rPr>
        <w:t xml:space="preserve">toda vez que cualquier particular puede acceder a él, sin embargo, se </w:t>
      </w:r>
      <w:r w:rsidR="0089410C" w:rsidRPr="000F279B">
        <w:rPr>
          <w:sz w:val="24"/>
          <w:szCs w:val="24"/>
        </w:rPr>
        <w:lastRenderedPageBreak/>
        <w:t xml:space="preserve">encuentra </w:t>
      </w:r>
      <w:r w:rsidR="00943353" w:rsidRPr="000F279B">
        <w:rPr>
          <w:sz w:val="24"/>
          <w:szCs w:val="24"/>
        </w:rPr>
        <w:t>vedado</w:t>
      </w:r>
      <w:r w:rsidR="0089410C" w:rsidRPr="000F279B">
        <w:rPr>
          <w:sz w:val="24"/>
          <w:szCs w:val="24"/>
        </w:rPr>
        <w:t xml:space="preserve"> su acceso por parte de las autoridades</w:t>
      </w:r>
      <w:r w:rsidRPr="000F279B">
        <w:rPr>
          <w:sz w:val="24"/>
          <w:szCs w:val="24"/>
        </w:rPr>
        <w:t xml:space="preserve">, salvo cuando el Estado </w:t>
      </w:r>
      <w:r w:rsidR="0089410C" w:rsidRPr="000F279B">
        <w:rPr>
          <w:sz w:val="24"/>
          <w:szCs w:val="24"/>
        </w:rPr>
        <w:t xml:space="preserve">se encuentra en una </w:t>
      </w:r>
      <w:r w:rsidRPr="000F279B">
        <w:rPr>
          <w:sz w:val="24"/>
          <w:szCs w:val="24"/>
        </w:rPr>
        <w:t>relación de coordinación</w:t>
      </w:r>
      <w:r w:rsidR="0089410C" w:rsidRPr="000F279B">
        <w:rPr>
          <w:sz w:val="24"/>
          <w:szCs w:val="24"/>
        </w:rPr>
        <w:t xml:space="preserve"> con respecto de los gobernados, es decir, cuando este actúa como particular frente a aquellos</w:t>
      </w:r>
      <w:r w:rsidRPr="000F279B">
        <w:rPr>
          <w:sz w:val="24"/>
          <w:szCs w:val="24"/>
        </w:rPr>
        <w:t>.</w:t>
      </w:r>
    </w:p>
    <w:p w14:paraId="1D6A085F" w14:textId="78A70847" w:rsidR="002A286C" w:rsidRPr="000F279B" w:rsidRDefault="00C44168" w:rsidP="000F279B">
      <w:pPr>
        <w:pStyle w:val="vietas"/>
        <w:rPr>
          <w:sz w:val="24"/>
          <w:szCs w:val="24"/>
        </w:rPr>
      </w:pPr>
      <w:r w:rsidRPr="000F279B">
        <w:rPr>
          <w:sz w:val="24"/>
          <w:szCs w:val="24"/>
        </w:rPr>
        <w:t>2. Controversias constitucionales (</w:t>
      </w:r>
      <w:r w:rsidR="0052235F" w:rsidRPr="000F279B">
        <w:rPr>
          <w:sz w:val="24"/>
          <w:szCs w:val="24"/>
        </w:rPr>
        <w:t xml:space="preserve">artículo </w:t>
      </w:r>
      <w:r w:rsidRPr="000F279B">
        <w:rPr>
          <w:sz w:val="24"/>
          <w:szCs w:val="24"/>
        </w:rPr>
        <w:t>105</w:t>
      </w:r>
      <w:r w:rsidR="0052235F" w:rsidRPr="000F279B">
        <w:rPr>
          <w:sz w:val="24"/>
          <w:szCs w:val="24"/>
        </w:rPr>
        <w:t xml:space="preserve">, fracción </w:t>
      </w:r>
      <w:r w:rsidRPr="000F279B">
        <w:rPr>
          <w:sz w:val="24"/>
          <w:szCs w:val="24"/>
        </w:rPr>
        <w:t>I</w:t>
      </w:r>
      <w:r w:rsidR="0052235F" w:rsidRPr="000F279B">
        <w:rPr>
          <w:sz w:val="24"/>
          <w:szCs w:val="24"/>
        </w:rPr>
        <w:t xml:space="preserve"> constitucional</w:t>
      </w:r>
      <w:r w:rsidRPr="000F279B">
        <w:rPr>
          <w:sz w:val="24"/>
          <w:szCs w:val="24"/>
        </w:rPr>
        <w:t>)</w:t>
      </w:r>
      <w:r w:rsidR="00DA557E" w:rsidRPr="000F279B">
        <w:rPr>
          <w:rStyle w:val="Refdenotaalpie"/>
          <w:sz w:val="28"/>
          <w:szCs w:val="28"/>
        </w:rPr>
        <w:footnoteReference w:id="12"/>
      </w:r>
      <w:r w:rsidRPr="000F279B">
        <w:rPr>
          <w:sz w:val="24"/>
          <w:szCs w:val="24"/>
        </w:rPr>
        <w:t xml:space="preserve">. </w:t>
      </w:r>
      <w:r w:rsidR="0052235F" w:rsidRPr="000F279B">
        <w:rPr>
          <w:sz w:val="24"/>
          <w:szCs w:val="24"/>
        </w:rPr>
        <w:t>Son un mecanismo que t</w:t>
      </w:r>
      <w:r w:rsidRPr="000F279B">
        <w:rPr>
          <w:sz w:val="24"/>
          <w:szCs w:val="24"/>
        </w:rPr>
        <w:t>iene como finalidad resolver conflictos competenciales</w:t>
      </w:r>
      <w:r w:rsidR="0052235F" w:rsidRPr="000F279B">
        <w:rPr>
          <w:sz w:val="24"/>
          <w:szCs w:val="24"/>
        </w:rPr>
        <w:t xml:space="preserve"> por la invasión de esferas entre las autoridades</w:t>
      </w:r>
      <w:r w:rsidRPr="000F279B">
        <w:rPr>
          <w:sz w:val="24"/>
          <w:szCs w:val="24"/>
        </w:rPr>
        <w:t xml:space="preserve">. </w:t>
      </w:r>
      <w:r w:rsidR="00C56416" w:rsidRPr="000F279B">
        <w:rPr>
          <w:sz w:val="24"/>
          <w:szCs w:val="24"/>
        </w:rPr>
        <w:t>En atención a que</w:t>
      </w:r>
      <w:r w:rsidR="0052235F" w:rsidRPr="000F279B">
        <w:rPr>
          <w:sz w:val="24"/>
          <w:szCs w:val="24"/>
        </w:rPr>
        <w:t xml:space="preserve"> únicamente </w:t>
      </w:r>
      <w:r w:rsidRPr="000F279B">
        <w:rPr>
          <w:sz w:val="24"/>
          <w:szCs w:val="24"/>
        </w:rPr>
        <w:t xml:space="preserve">las autoridades tienen competencia, </w:t>
      </w:r>
      <w:r w:rsidR="00C56416" w:rsidRPr="000F279B">
        <w:rPr>
          <w:sz w:val="24"/>
          <w:szCs w:val="24"/>
        </w:rPr>
        <w:t xml:space="preserve">este procedimiento se entabla como </w:t>
      </w:r>
      <w:r w:rsidRPr="000F279B">
        <w:rPr>
          <w:sz w:val="24"/>
          <w:szCs w:val="24"/>
        </w:rPr>
        <w:t>litigio entre autoridades</w:t>
      </w:r>
      <w:r w:rsidR="00B31A74" w:rsidRPr="000F279B">
        <w:rPr>
          <w:sz w:val="24"/>
          <w:szCs w:val="24"/>
        </w:rPr>
        <w:t xml:space="preserve"> y </w:t>
      </w:r>
      <w:r w:rsidR="0052235F" w:rsidRPr="000F279B">
        <w:rPr>
          <w:sz w:val="24"/>
          <w:szCs w:val="24"/>
        </w:rPr>
        <w:t xml:space="preserve">busca tutelar </w:t>
      </w:r>
      <w:r w:rsidRPr="000F279B">
        <w:rPr>
          <w:sz w:val="24"/>
          <w:szCs w:val="24"/>
        </w:rPr>
        <w:t xml:space="preserve">el presupuesto procesal constitucional de primer orden </w:t>
      </w:r>
      <w:r w:rsidR="00F959FA" w:rsidRPr="000F279B">
        <w:rPr>
          <w:sz w:val="24"/>
          <w:szCs w:val="24"/>
        </w:rPr>
        <w:t>consistente en</w:t>
      </w:r>
      <w:r w:rsidR="0052235F" w:rsidRPr="000F279B">
        <w:rPr>
          <w:sz w:val="24"/>
          <w:szCs w:val="24"/>
        </w:rPr>
        <w:t xml:space="preserve"> </w:t>
      </w:r>
      <w:r w:rsidRPr="000F279B">
        <w:rPr>
          <w:sz w:val="24"/>
          <w:szCs w:val="24"/>
        </w:rPr>
        <w:t xml:space="preserve">la competencia de conformidad con el artículo 16 </w:t>
      </w:r>
      <w:r w:rsidR="0052235F" w:rsidRPr="000F279B">
        <w:rPr>
          <w:sz w:val="24"/>
          <w:szCs w:val="24"/>
        </w:rPr>
        <w:t>constitucional</w:t>
      </w:r>
      <w:r w:rsidRPr="000F279B">
        <w:rPr>
          <w:sz w:val="24"/>
          <w:szCs w:val="24"/>
        </w:rPr>
        <w:t>.</w:t>
      </w:r>
    </w:p>
    <w:p w14:paraId="03206F6D" w14:textId="087421B1" w:rsidR="0052235F" w:rsidRPr="000F279B" w:rsidRDefault="0052235F" w:rsidP="000F279B">
      <w:pPr>
        <w:pStyle w:val="vietas"/>
        <w:rPr>
          <w:sz w:val="24"/>
          <w:szCs w:val="24"/>
        </w:rPr>
      </w:pPr>
      <w:r w:rsidRPr="000F279B">
        <w:rPr>
          <w:sz w:val="24"/>
          <w:szCs w:val="24"/>
        </w:rPr>
        <w:t>3. Acciones de inconstitucionalidad (artículo 105 fracción II)</w:t>
      </w:r>
      <w:r w:rsidR="00DA557E" w:rsidRPr="000F279B">
        <w:rPr>
          <w:rStyle w:val="Refdenotaalpie"/>
          <w:sz w:val="28"/>
          <w:szCs w:val="28"/>
        </w:rPr>
        <w:footnoteReference w:id="13"/>
      </w:r>
      <w:r w:rsidRPr="000F279B">
        <w:rPr>
          <w:sz w:val="24"/>
          <w:szCs w:val="24"/>
        </w:rPr>
        <w:t xml:space="preserve">. </w:t>
      </w:r>
      <w:r w:rsidR="00A73DA1" w:rsidRPr="000F279B">
        <w:rPr>
          <w:sz w:val="24"/>
          <w:szCs w:val="24"/>
        </w:rPr>
        <w:t>Son un medio de control constitucional que t</w:t>
      </w:r>
      <w:r w:rsidRPr="000F279B">
        <w:rPr>
          <w:sz w:val="24"/>
          <w:szCs w:val="24"/>
        </w:rPr>
        <w:t xml:space="preserve">iene como finalidad resolver la posible contradicción entre una norma secundaria y la </w:t>
      </w:r>
      <w:r w:rsidR="00A73DA1" w:rsidRPr="000F279B">
        <w:rPr>
          <w:sz w:val="24"/>
          <w:szCs w:val="24"/>
        </w:rPr>
        <w:t>C</w:t>
      </w:r>
      <w:r w:rsidRPr="000F279B">
        <w:rPr>
          <w:sz w:val="24"/>
          <w:szCs w:val="24"/>
        </w:rPr>
        <w:t>onstitución.</w:t>
      </w:r>
    </w:p>
    <w:p w14:paraId="0EA15ED3" w14:textId="3184540B" w:rsidR="00A73DA1" w:rsidRPr="000F279B" w:rsidRDefault="00A73DA1" w:rsidP="000F279B">
      <w:pPr>
        <w:pStyle w:val="vietas"/>
        <w:rPr>
          <w:sz w:val="24"/>
          <w:szCs w:val="24"/>
        </w:rPr>
      </w:pPr>
      <w:r w:rsidRPr="000F279B">
        <w:rPr>
          <w:sz w:val="24"/>
          <w:szCs w:val="24"/>
        </w:rPr>
        <w:t>4. Juicio de revisión constitucional electoral (</w:t>
      </w:r>
      <w:r w:rsidR="0091361E" w:rsidRPr="000F279B">
        <w:rPr>
          <w:sz w:val="24"/>
          <w:szCs w:val="24"/>
        </w:rPr>
        <w:t xml:space="preserve">artículo </w:t>
      </w:r>
      <w:r w:rsidRPr="000F279B">
        <w:rPr>
          <w:sz w:val="24"/>
          <w:szCs w:val="24"/>
        </w:rPr>
        <w:t>99, párr</w:t>
      </w:r>
      <w:r w:rsidR="0091361E" w:rsidRPr="000F279B">
        <w:rPr>
          <w:sz w:val="24"/>
          <w:szCs w:val="24"/>
        </w:rPr>
        <w:t xml:space="preserve">afo </w:t>
      </w:r>
      <w:r w:rsidR="004E437E" w:rsidRPr="000F279B">
        <w:rPr>
          <w:sz w:val="24"/>
          <w:szCs w:val="24"/>
        </w:rPr>
        <w:t>cuarto</w:t>
      </w:r>
      <w:r w:rsidRPr="000F279B">
        <w:rPr>
          <w:sz w:val="24"/>
          <w:szCs w:val="24"/>
        </w:rPr>
        <w:t>, fracc</w:t>
      </w:r>
      <w:r w:rsidR="0091361E" w:rsidRPr="000F279B">
        <w:rPr>
          <w:sz w:val="24"/>
          <w:szCs w:val="24"/>
        </w:rPr>
        <w:t xml:space="preserve">ión </w:t>
      </w:r>
      <w:r w:rsidRPr="000F279B">
        <w:rPr>
          <w:sz w:val="24"/>
          <w:szCs w:val="24"/>
        </w:rPr>
        <w:t>IV</w:t>
      </w:r>
      <w:r w:rsidR="0091361E" w:rsidRPr="000F279B">
        <w:rPr>
          <w:sz w:val="24"/>
          <w:szCs w:val="24"/>
        </w:rPr>
        <w:t xml:space="preserve"> constitucional</w:t>
      </w:r>
      <w:r w:rsidRPr="000F279B">
        <w:rPr>
          <w:sz w:val="24"/>
          <w:szCs w:val="24"/>
        </w:rPr>
        <w:t>)</w:t>
      </w:r>
      <w:r w:rsidR="00DA557E" w:rsidRPr="000F279B">
        <w:rPr>
          <w:rStyle w:val="Refdenotaalpie"/>
          <w:sz w:val="28"/>
          <w:szCs w:val="28"/>
        </w:rPr>
        <w:footnoteReference w:id="14"/>
      </w:r>
      <w:r w:rsidRPr="000F279B">
        <w:rPr>
          <w:sz w:val="24"/>
          <w:szCs w:val="24"/>
        </w:rPr>
        <w:t>.</w:t>
      </w:r>
      <w:r w:rsidR="00AC2321" w:rsidRPr="000F279B">
        <w:rPr>
          <w:sz w:val="24"/>
          <w:szCs w:val="24"/>
        </w:rPr>
        <w:t xml:space="preserve"> </w:t>
      </w:r>
      <w:r w:rsidR="0091361E" w:rsidRPr="000F279B">
        <w:rPr>
          <w:sz w:val="24"/>
          <w:szCs w:val="24"/>
        </w:rPr>
        <w:t>Se trata de un medio de defensa que promueven los partidos políticos o las coaliciones para impugnar actos o resoluciones definitiv</w:t>
      </w:r>
      <w:r w:rsidR="004E437E" w:rsidRPr="000F279B">
        <w:rPr>
          <w:sz w:val="24"/>
          <w:szCs w:val="24"/>
        </w:rPr>
        <w:t>a</w:t>
      </w:r>
      <w:r w:rsidR="0091361E" w:rsidRPr="000F279B">
        <w:rPr>
          <w:sz w:val="24"/>
          <w:szCs w:val="24"/>
        </w:rPr>
        <w:t>s y firmes de las autoridades competentes para organizar, calificar o resolver las impugnaciones en los procesos electorales de las entidades federativas, que pudiesen ser violatorios de los preceptos de la Constitución Política de los Estados Unidos Mexicanos.</w:t>
      </w:r>
    </w:p>
    <w:p w14:paraId="52EB7391" w14:textId="77EED40E" w:rsidR="00A73DA1" w:rsidRPr="000F279B" w:rsidRDefault="00A73DA1" w:rsidP="000F279B">
      <w:pPr>
        <w:pStyle w:val="vietas"/>
        <w:rPr>
          <w:sz w:val="24"/>
          <w:szCs w:val="24"/>
        </w:rPr>
      </w:pPr>
      <w:r w:rsidRPr="000F279B">
        <w:rPr>
          <w:sz w:val="24"/>
          <w:szCs w:val="24"/>
        </w:rPr>
        <w:t>5.</w:t>
      </w:r>
      <w:r w:rsidR="00943353" w:rsidRPr="000F279B">
        <w:rPr>
          <w:sz w:val="24"/>
          <w:szCs w:val="24"/>
        </w:rPr>
        <w:t xml:space="preserve"> </w:t>
      </w:r>
      <w:r w:rsidRPr="000F279B">
        <w:rPr>
          <w:sz w:val="24"/>
          <w:szCs w:val="24"/>
        </w:rPr>
        <w:t xml:space="preserve">Juicio para la protección de los derechos </w:t>
      </w:r>
      <w:r w:rsidR="00AC2321" w:rsidRPr="000F279B">
        <w:rPr>
          <w:sz w:val="24"/>
          <w:szCs w:val="24"/>
        </w:rPr>
        <w:t>político</w:t>
      </w:r>
      <w:r w:rsidR="00B02AAC" w:rsidRPr="000F279B">
        <w:rPr>
          <w:sz w:val="24"/>
          <w:szCs w:val="24"/>
        </w:rPr>
        <w:t xml:space="preserve"> </w:t>
      </w:r>
      <w:r w:rsidR="00AC2321" w:rsidRPr="000F279B">
        <w:rPr>
          <w:sz w:val="24"/>
          <w:szCs w:val="24"/>
        </w:rPr>
        <w:t>electorales</w:t>
      </w:r>
      <w:r w:rsidRPr="000F279B">
        <w:rPr>
          <w:sz w:val="24"/>
          <w:szCs w:val="24"/>
        </w:rPr>
        <w:t xml:space="preserve"> de los ciudadanos (</w:t>
      </w:r>
      <w:r w:rsidR="0091361E" w:rsidRPr="000F279B">
        <w:rPr>
          <w:sz w:val="24"/>
          <w:szCs w:val="24"/>
        </w:rPr>
        <w:t xml:space="preserve">artículo </w:t>
      </w:r>
      <w:r w:rsidRPr="000F279B">
        <w:rPr>
          <w:sz w:val="24"/>
          <w:szCs w:val="24"/>
        </w:rPr>
        <w:t>99</w:t>
      </w:r>
      <w:r w:rsidR="0091361E" w:rsidRPr="000F279B">
        <w:rPr>
          <w:sz w:val="24"/>
          <w:szCs w:val="24"/>
        </w:rPr>
        <w:t xml:space="preserve"> fracción </w:t>
      </w:r>
      <w:r w:rsidRPr="000F279B">
        <w:rPr>
          <w:sz w:val="24"/>
          <w:szCs w:val="24"/>
        </w:rPr>
        <w:t>V</w:t>
      </w:r>
      <w:r w:rsidR="0091361E" w:rsidRPr="000F279B">
        <w:rPr>
          <w:sz w:val="24"/>
          <w:szCs w:val="24"/>
        </w:rPr>
        <w:t xml:space="preserve"> constitucional</w:t>
      </w:r>
      <w:r w:rsidRPr="000F279B">
        <w:rPr>
          <w:sz w:val="24"/>
          <w:szCs w:val="24"/>
        </w:rPr>
        <w:t>)</w:t>
      </w:r>
      <w:r w:rsidR="00DA557E" w:rsidRPr="000F279B">
        <w:rPr>
          <w:rStyle w:val="Refdenotaalpie"/>
          <w:sz w:val="28"/>
          <w:szCs w:val="28"/>
        </w:rPr>
        <w:footnoteReference w:id="15"/>
      </w:r>
      <w:r w:rsidRPr="000F279B">
        <w:rPr>
          <w:sz w:val="24"/>
          <w:szCs w:val="24"/>
        </w:rPr>
        <w:t xml:space="preserve">. </w:t>
      </w:r>
      <w:r w:rsidR="0091361E" w:rsidRPr="000F279B">
        <w:rPr>
          <w:sz w:val="24"/>
          <w:szCs w:val="24"/>
        </w:rPr>
        <w:t>Este medio de control constitucional e</w:t>
      </w:r>
      <w:r w:rsidR="00671327" w:rsidRPr="000F279B">
        <w:rPr>
          <w:sz w:val="24"/>
          <w:szCs w:val="24"/>
        </w:rPr>
        <w:t>s</w:t>
      </w:r>
      <w:r w:rsidR="0091361E" w:rsidRPr="000F279B">
        <w:rPr>
          <w:sz w:val="24"/>
          <w:szCs w:val="24"/>
        </w:rPr>
        <w:t xml:space="preserve"> un mecanismo a través </w:t>
      </w:r>
      <w:r w:rsidR="00325FF8" w:rsidRPr="000F279B">
        <w:rPr>
          <w:sz w:val="24"/>
          <w:szCs w:val="24"/>
        </w:rPr>
        <w:t>del cual los ciudadanos pueden solicitar la protección de sus derechos político</w:t>
      </w:r>
      <w:r w:rsidR="00B02AAC" w:rsidRPr="000F279B">
        <w:rPr>
          <w:sz w:val="24"/>
          <w:szCs w:val="24"/>
        </w:rPr>
        <w:t xml:space="preserve"> </w:t>
      </w:r>
      <w:r w:rsidR="00325FF8" w:rsidRPr="000F279B">
        <w:rPr>
          <w:sz w:val="24"/>
          <w:szCs w:val="24"/>
        </w:rPr>
        <w:t>electorales, así como de todos aquellos derechos fundamentales vinculados con los mismos.</w:t>
      </w:r>
    </w:p>
    <w:p w14:paraId="70E2B0B2" w14:textId="77777777" w:rsidR="0034386D" w:rsidRPr="000F279B" w:rsidRDefault="00A73DA1" w:rsidP="000F279B">
      <w:pPr>
        <w:pStyle w:val="vietas"/>
        <w:rPr>
          <w:sz w:val="24"/>
          <w:szCs w:val="24"/>
        </w:rPr>
      </w:pPr>
      <w:r w:rsidRPr="000F279B">
        <w:rPr>
          <w:sz w:val="24"/>
          <w:szCs w:val="24"/>
        </w:rPr>
        <w:t>6. Juicio político (</w:t>
      </w:r>
      <w:r w:rsidR="00325FF8" w:rsidRPr="000F279B">
        <w:rPr>
          <w:sz w:val="24"/>
          <w:szCs w:val="24"/>
        </w:rPr>
        <w:t xml:space="preserve">artículos </w:t>
      </w:r>
      <w:r w:rsidRPr="000F279B">
        <w:rPr>
          <w:sz w:val="24"/>
          <w:szCs w:val="24"/>
        </w:rPr>
        <w:t>109 y 110</w:t>
      </w:r>
      <w:r w:rsidR="00325FF8" w:rsidRPr="000F279B">
        <w:rPr>
          <w:sz w:val="24"/>
          <w:szCs w:val="24"/>
        </w:rPr>
        <w:t xml:space="preserve"> constitucionales</w:t>
      </w:r>
      <w:r w:rsidRPr="000F279B">
        <w:rPr>
          <w:sz w:val="24"/>
          <w:szCs w:val="24"/>
        </w:rPr>
        <w:t>)</w:t>
      </w:r>
      <w:r w:rsidR="00DA557E" w:rsidRPr="000F279B">
        <w:rPr>
          <w:rStyle w:val="Refdenotaalpie"/>
          <w:sz w:val="28"/>
          <w:szCs w:val="28"/>
        </w:rPr>
        <w:footnoteReference w:id="16"/>
      </w:r>
      <w:r w:rsidRPr="000F279B">
        <w:rPr>
          <w:sz w:val="24"/>
          <w:szCs w:val="24"/>
        </w:rPr>
        <w:t>.</w:t>
      </w:r>
      <w:r w:rsidR="00943353" w:rsidRPr="000F279B">
        <w:rPr>
          <w:sz w:val="24"/>
          <w:szCs w:val="24"/>
        </w:rPr>
        <w:t xml:space="preserve"> </w:t>
      </w:r>
      <w:r w:rsidR="00325FF8" w:rsidRPr="000F279B">
        <w:rPr>
          <w:sz w:val="24"/>
          <w:szCs w:val="24"/>
        </w:rPr>
        <w:t xml:space="preserve">Es un procedimiento de regularidad constitucional, el cual se lleva a cabo por las cámaras del Congreso </w:t>
      </w:r>
      <w:r w:rsidR="00943353" w:rsidRPr="000F279B">
        <w:rPr>
          <w:sz w:val="24"/>
          <w:szCs w:val="24"/>
        </w:rPr>
        <w:t xml:space="preserve">de la Unión </w:t>
      </w:r>
      <w:r w:rsidR="00325FF8" w:rsidRPr="000F279B">
        <w:rPr>
          <w:sz w:val="24"/>
          <w:szCs w:val="24"/>
        </w:rPr>
        <w:t xml:space="preserve">en el que se </w:t>
      </w:r>
      <w:r w:rsidR="00943353" w:rsidRPr="000F279B">
        <w:rPr>
          <w:sz w:val="24"/>
          <w:szCs w:val="24"/>
        </w:rPr>
        <w:t>somete</w:t>
      </w:r>
      <w:r w:rsidR="00325FF8" w:rsidRPr="000F279B">
        <w:rPr>
          <w:sz w:val="24"/>
          <w:szCs w:val="24"/>
        </w:rPr>
        <w:t xml:space="preserve"> a servidores públicos por actos u omisiones que atenten contra la Constitución o por delitos graves con la finalidad de remover las </w:t>
      </w:r>
      <w:r w:rsidR="001A2A96" w:rsidRPr="000F279B">
        <w:rPr>
          <w:sz w:val="24"/>
          <w:szCs w:val="24"/>
        </w:rPr>
        <w:t>inmunidades procesales</w:t>
      </w:r>
      <w:r w:rsidR="004E437E" w:rsidRPr="000F279B">
        <w:rPr>
          <w:sz w:val="24"/>
          <w:szCs w:val="24"/>
        </w:rPr>
        <w:t xml:space="preserve"> </w:t>
      </w:r>
      <w:r w:rsidR="00325FF8" w:rsidRPr="000F279B">
        <w:rPr>
          <w:sz w:val="24"/>
          <w:szCs w:val="24"/>
        </w:rPr>
        <w:t>que la propia Constitución les otorga, permitiendo que puedan ser sujetos a un proceso penal. Los servidores públicos que pueden ser sujetos de juicio político incluyen</w:t>
      </w:r>
      <w:r w:rsidR="0034386D" w:rsidRPr="000F279B">
        <w:rPr>
          <w:sz w:val="24"/>
          <w:szCs w:val="24"/>
        </w:rPr>
        <w:t xml:space="preserve">: </w:t>
      </w:r>
    </w:p>
    <w:p w14:paraId="29A16742" w14:textId="5494E599" w:rsidR="0034386D" w:rsidRPr="00710792" w:rsidRDefault="0034386D" w:rsidP="000F279B">
      <w:pPr>
        <w:pStyle w:val="Citalarga"/>
      </w:pPr>
      <w:r w:rsidRPr="00710792">
        <w:t xml:space="preserve">…las senadoras y los senadores y las diputadas y los diputados al Congreso de la Unión, las ministras y los ministros de la Suprema Corte de Justicia de la Nación, las Magistradas y los Magistrados del Tribunal de Disciplina Judicial, las personas integrantes del Pleno del órgano </w:t>
      </w:r>
      <w:r w:rsidRPr="00710792">
        <w:lastRenderedPageBreak/>
        <w:t>de administración judicial, las personas titulares de las Secretarías de Despacho, la o el Fiscal General de la República, las magistradas y los magistrados de Circuito y las juezas y los jueces de Distrito, la consejera o consejero Presidente, las consejerías electorales y la o el secretario ejecutivo del Instituto Nacional Electoral, las magistradas y los magistrados del Tribunal Electoral, las y los integrantes de los órganos constitucionales autónomos, las y los directores generales y sus equivalentes de los organismos descentralizados, empresas de participación estatal mayoritaria, sociedades y asociaciones asimiladas a éstas y fideicomisos públicos.</w:t>
      </w:r>
      <w:r w:rsidRPr="00710792">
        <w:rPr>
          <w:rStyle w:val="Refdenotaalpie"/>
          <w:rFonts w:ascii="Unna" w:hAnsi="Unna"/>
          <w:iCs/>
          <w:sz w:val="24"/>
          <w:szCs w:val="24"/>
        </w:rPr>
        <w:footnoteReference w:id="17"/>
      </w:r>
    </w:p>
    <w:p w14:paraId="57664359" w14:textId="77FE1FDE" w:rsidR="00A73DA1" w:rsidRPr="000F279B" w:rsidRDefault="00A73DA1" w:rsidP="000F279B">
      <w:pPr>
        <w:pStyle w:val="vietas"/>
        <w:rPr>
          <w:sz w:val="24"/>
          <w:szCs w:val="24"/>
        </w:rPr>
      </w:pPr>
      <w:r w:rsidRPr="000F279B">
        <w:rPr>
          <w:sz w:val="24"/>
          <w:szCs w:val="24"/>
        </w:rPr>
        <w:t>7. Facultad de investigación de la CNDH (</w:t>
      </w:r>
      <w:r w:rsidR="00325FF8" w:rsidRPr="000F279B">
        <w:rPr>
          <w:sz w:val="24"/>
          <w:szCs w:val="24"/>
        </w:rPr>
        <w:t xml:space="preserve">artículo </w:t>
      </w:r>
      <w:r w:rsidRPr="000F279B">
        <w:rPr>
          <w:sz w:val="24"/>
          <w:szCs w:val="24"/>
        </w:rPr>
        <w:t>102, apartado B, último párrafo</w:t>
      </w:r>
      <w:r w:rsidR="00325FF8" w:rsidRPr="000F279B">
        <w:rPr>
          <w:sz w:val="24"/>
          <w:szCs w:val="24"/>
        </w:rPr>
        <w:t xml:space="preserve"> constitucional</w:t>
      </w:r>
      <w:r w:rsidRPr="000F279B">
        <w:rPr>
          <w:sz w:val="24"/>
          <w:szCs w:val="24"/>
        </w:rPr>
        <w:t>)</w:t>
      </w:r>
      <w:r w:rsidR="00325FF8" w:rsidRPr="000F279B">
        <w:rPr>
          <w:sz w:val="24"/>
          <w:szCs w:val="24"/>
        </w:rPr>
        <w:t>. Este mecanismo de regularidad constitucional fue instituido en el texto constitucional a través de las reformas de 2011</w:t>
      </w:r>
      <w:r w:rsidR="00773502" w:rsidRPr="000F279B">
        <w:rPr>
          <w:sz w:val="24"/>
          <w:szCs w:val="24"/>
        </w:rPr>
        <w:t xml:space="preserve"> aludidas</w:t>
      </w:r>
      <w:r w:rsidR="00325FF8" w:rsidRPr="000F279B">
        <w:rPr>
          <w:sz w:val="24"/>
          <w:szCs w:val="24"/>
        </w:rPr>
        <w:t>, y consiste en dotar a la Comisión Nacional de Derechos Humanos con la facultad de investigación a petición de parte o de oficio de las presuntas violaciones de derechos humanos cometidas por autoridades. Previo a la citada reforma, esta facultad recaía en la Suprema Corte de Justicia de la Nación (SCJN).</w:t>
      </w:r>
    </w:p>
    <w:p w14:paraId="09329D47" w14:textId="33C5A4DF" w:rsidR="00A73DA1" w:rsidRPr="000F279B" w:rsidRDefault="00A73DA1" w:rsidP="000F279B">
      <w:pPr>
        <w:pStyle w:val="vietas"/>
        <w:rPr>
          <w:sz w:val="24"/>
          <w:szCs w:val="24"/>
        </w:rPr>
      </w:pPr>
      <w:r w:rsidRPr="000F279B">
        <w:rPr>
          <w:sz w:val="24"/>
          <w:szCs w:val="24"/>
        </w:rPr>
        <w:t xml:space="preserve">8. Procedimientos ante las </w:t>
      </w:r>
      <w:r w:rsidR="00B02AAC" w:rsidRPr="000F279B">
        <w:rPr>
          <w:sz w:val="24"/>
          <w:szCs w:val="24"/>
        </w:rPr>
        <w:t>c</w:t>
      </w:r>
      <w:r w:rsidRPr="000F279B">
        <w:rPr>
          <w:sz w:val="24"/>
          <w:szCs w:val="24"/>
        </w:rPr>
        <w:t xml:space="preserve">omisiones de </w:t>
      </w:r>
      <w:r w:rsidR="00B02AAC" w:rsidRPr="000F279B">
        <w:rPr>
          <w:sz w:val="24"/>
          <w:szCs w:val="24"/>
        </w:rPr>
        <w:t>d</w:t>
      </w:r>
      <w:r w:rsidR="00325FF8" w:rsidRPr="000F279B">
        <w:rPr>
          <w:sz w:val="24"/>
          <w:szCs w:val="24"/>
        </w:rPr>
        <w:t>erechos</w:t>
      </w:r>
      <w:r w:rsidRPr="000F279B">
        <w:rPr>
          <w:sz w:val="24"/>
          <w:szCs w:val="24"/>
        </w:rPr>
        <w:t xml:space="preserve"> </w:t>
      </w:r>
      <w:r w:rsidR="00B02AAC" w:rsidRPr="000F279B">
        <w:rPr>
          <w:sz w:val="24"/>
          <w:szCs w:val="24"/>
        </w:rPr>
        <w:t>h</w:t>
      </w:r>
      <w:r w:rsidRPr="000F279B">
        <w:rPr>
          <w:sz w:val="24"/>
          <w:szCs w:val="24"/>
        </w:rPr>
        <w:t>umanos (</w:t>
      </w:r>
      <w:r w:rsidR="00325FF8" w:rsidRPr="000F279B">
        <w:rPr>
          <w:sz w:val="24"/>
          <w:szCs w:val="24"/>
        </w:rPr>
        <w:t xml:space="preserve">como lo </w:t>
      </w:r>
      <w:r w:rsidR="00E802D3" w:rsidRPr="000F279B">
        <w:rPr>
          <w:sz w:val="24"/>
          <w:szCs w:val="24"/>
        </w:rPr>
        <w:t>son las</w:t>
      </w:r>
      <w:r w:rsidR="00325FF8" w:rsidRPr="000F279B">
        <w:rPr>
          <w:sz w:val="24"/>
          <w:szCs w:val="24"/>
        </w:rPr>
        <w:t xml:space="preserve"> </w:t>
      </w:r>
      <w:r w:rsidR="00E802D3" w:rsidRPr="000F279B">
        <w:rPr>
          <w:sz w:val="24"/>
          <w:szCs w:val="24"/>
        </w:rPr>
        <w:t xml:space="preserve">procuradurías </w:t>
      </w:r>
      <w:r w:rsidR="009F4326" w:rsidRPr="000F279B">
        <w:rPr>
          <w:sz w:val="24"/>
          <w:szCs w:val="24"/>
        </w:rPr>
        <w:t xml:space="preserve">y comisiones </w:t>
      </w:r>
      <w:r w:rsidR="00E802D3" w:rsidRPr="000F279B">
        <w:rPr>
          <w:sz w:val="24"/>
          <w:szCs w:val="24"/>
        </w:rPr>
        <w:t>estatales</w:t>
      </w:r>
      <w:r w:rsidRPr="000F279B">
        <w:rPr>
          <w:sz w:val="24"/>
          <w:szCs w:val="24"/>
        </w:rPr>
        <w:t xml:space="preserve"> de </w:t>
      </w:r>
      <w:r w:rsidR="00E802D3" w:rsidRPr="000F279B">
        <w:rPr>
          <w:sz w:val="24"/>
          <w:szCs w:val="24"/>
        </w:rPr>
        <w:t xml:space="preserve">Derechos Humanos y que se encuentra regulado en el artículo </w:t>
      </w:r>
      <w:r w:rsidRPr="000F279B">
        <w:rPr>
          <w:sz w:val="24"/>
          <w:szCs w:val="24"/>
        </w:rPr>
        <w:t>102, apartado B</w:t>
      </w:r>
      <w:r w:rsidR="00E802D3" w:rsidRPr="000F279B">
        <w:rPr>
          <w:sz w:val="24"/>
          <w:szCs w:val="24"/>
        </w:rPr>
        <w:t xml:space="preserve"> constitucional</w:t>
      </w:r>
      <w:r w:rsidRPr="000F279B">
        <w:rPr>
          <w:sz w:val="24"/>
          <w:szCs w:val="24"/>
        </w:rPr>
        <w:t>)</w:t>
      </w:r>
      <w:r w:rsidR="00DA557E" w:rsidRPr="000F279B">
        <w:rPr>
          <w:rStyle w:val="Refdenotaalpie"/>
          <w:sz w:val="28"/>
          <w:szCs w:val="28"/>
        </w:rPr>
        <w:footnoteReference w:id="18"/>
      </w:r>
      <w:r w:rsidR="00E802D3" w:rsidRPr="000F279B">
        <w:rPr>
          <w:sz w:val="24"/>
          <w:szCs w:val="24"/>
        </w:rPr>
        <w:t>.</w:t>
      </w:r>
      <w:r w:rsidR="009F4326" w:rsidRPr="000F279B">
        <w:rPr>
          <w:sz w:val="24"/>
          <w:szCs w:val="24"/>
        </w:rPr>
        <w:t xml:space="preserve"> </w:t>
      </w:r>
      <w:r w:rsidR="00E802D3" w:rsidRPr="000F279B">
        <w:rPr>
          <w:sz w:val="24"/>
          <w:szCs w:val="24"/>
        </w:rPr>
        <w:t xml:space="preserve">Se refieren a </w:t>
      </w:r>
      <w:r w:rsidRPr="000F279B">
        <w:rPr>
          <w:sz w:val="24"/>
          <w:szCs w:val="24"/>
        </w:rPr>
        <w:t xml:space="preserve">procedimientos no jurisdiccionales de </w:t>
      </w:r>
      <w:r w:rsidR="00B02AAC" w:rsidRPr="000F279B">
        <w:rPr>
          <w:sz w:val="24"/>
          <w:szCs w:val="24"/>
        </w:rPr>
        <w:t>d</w:t>
      </w:r>
      <w:r w:rsidR="00E802D3" w:rsidRPr="000F279B">
        <w:rPr>
          <w:sz w:val="24"/>
          <w:szCs w:val="24"/>
        </w:rPr>
        <w:t>erechos</w:t>
      </w:r>
      <w:r w:rsidR="00B02AAC" w:rsidRPr="000F279B">
        <w:rPr>
          <w:sz w:val="24"/>
          <w:szCs w:val="24"/>
        </w:rPr>
        <w:t xml:space="preserve"> h</w:t>
      </w:r>
      <w:r w:rsidR="00E802D3" w:rsidRPr="000F279B">
        <w:rPr>
          <w:sz w:val="24"/>
          <w:szCs w:val="24"/>
        </w:rPr>
        <w:t>umanos</w:t>
      </w:r>
      <w:r w:rsidRPr="000F279B">
        <w:rPr>
          <w:sz w:val="24"/>
          <w:szCs w:val="24"/>
        </w:rPr>
        <w:t xml:space="preserve">, en donde </w:t>
      </w:r>
      <w:r w:rsidR="00C00AD9" w:rsidRPr="000F279B">
        <w:rPr>
          <w:sz w:val="24"/>
          <w:szCs w:val="24"/>
        </w:rPr>
        <w:t xml:space="preserve">se permite a las personas </w:t>
      </w:r>
      <w:r w:rsidR="004E437E" w:rsidRPr="000F279B">
        <w:rPr>
          <w:sz w:val="24"/>
          <w:szCs w:val="24"/>
        </w:rPr>
        <w:t xml:space="preserve">presentar </w:t>
      </w:r>
      <w:r w:rsidR="00C00AD9" w:rsidRPr="000F279B">
        <w:rPr>
          <w:sz w:val="24"/>
          <w:szCs w:val="24"/>
        </w:rPr>
        <w:t xml:space="preserve">denuncias y quejas individuales sobre presuntas violaciones a </w:t>
      </w:r>
      <w:r w:rsidR="00B02AAC" w:rsidRPr="000F279B">
        <w:rPr>
          <w:sz w:val="24"/>
          <w:szCs w:val="24"/>
        </w:rPr>
        <w:t>estos mismos. E</w:t>
      </w:r>
      <w:r w:rsidR="00C00AD9" w:rsidRPr="000F279B">
        <w:rPr>
          <w:sz w:val="24"/>
          <w:szCs w:val="24"/>
        </w:rPr>
        <w:t xml:space="preserve">l resultado de estos procedimientos </w:t>
      </w:r>
      <w:r w:rsidR="009F4326" w:rsidRPr="000F279B">
        <w:rPr>
          <w:sz w:val="24"/>
          <w:szCs w:val="24"/>
        </w:rPr>
        <w:t>únicamente</w:t>
      </w:r>
      <w:r w:rsidRPr="000F279B">
        <w:rPr>
          <w:sz w:val="24"/>
          <w:szCs w:val="24"/>
        </w:rPr>
        <w:t xml:space="preserve"> se </w:t>
      </w:r>
      <w:r w:rsidR="00C00AD9" w:rsidRPr="000F279B">
        <w:rPr>
          <w:sz w:val="24"/>
          <w:szCs w:val="24"/>
        </w:rPr>
        <w:t xml:space="preserve">limita a la formulación </w:t>
      </w:r>
      <w:r w:rsidR="004E437E" w:rsidRPr="000F279B">
        <w:rPr>
          <w:sz w:val="24"/>
          <w:szCs w:val="24"/>
        </w:rPr>
        <w:t xml:space="preserve">de </w:t>
      </w:r>
      <w:r w:rsidRPr="000F279B">
        <w:rPr>
          <w:sz w:val="24"/>
          <w:szCs w:val="24"/>
        </w:rPr>
        <w:t>recomendaciones que no son vinculantes.</w:t>
      </w:r>
    </w:p>
    <w:p w14:paraId="3E5B691C" w14:textId="40212738" w:rsidR="00A73DA1" w:rsidRPr="000F279B" w:rsidRDefault="00A73DA1" w:rsidP="000F279B">
      <w:pPr>
        <w:pStyle w:val="vietas"/>
        <w:rPr>
          <w:sz w:val="24"/>
          <w:szCs w:val="24"/>
        </w:rPr>
      </w:pPr>
      <w:r w:rsidRPr="000F279B">
        <w:rPr>
          <w:sz w:val="24"/>
          <w:szCs w:val="24"/>
        </w:rPr>
        <w:t>9. Responsabilidad patrimonial del Estado (</w:t>
      </w:r>
      <w:r w:rsidR="00E802D3" w:rsidRPr="000F279B">
        <w:rPr>
          <w:sz w:val="24"/>
          <w:szCs w:val="24"/>
        </w:rPr>
        <w:t xml:space="preserve">artículo </w:t>
      </w:r>
      <w:r w:rsidRPr="000F279B">
        <w:rPr>
          <w:sz w:val="24"/>
          <w:szCs w:val="24"/>
        </w:rPr>
        <w:t>109</w:t>
      </w:r>
      <w:r w:rsidR="009F4326" w:rsidRPr="000F279B">
        <w:rPr>
          <w:sz w:val="24"/>
          <w:szCs w:val="24"/>
        </w:rPr>
        <w:t xml:space="preserve">, último párrafo </w:t>
      </w:r>
      <w:r w:rsidR="00E802D3" w:rsidRPr="000F279B">
        <w:rPr>
          <w:sz w:val="24"/>
          <w:szCs w:val="24"/>
        </w:rPr>
        <w:t>constitucional</w:t>
      </w:r>
      <w:r w:rsidRPr="000F279B">
        <w:rPr>
          <w:sz w:val="24"/>
          <w:szCs w:val="24"/>
        </w:rPr>
        <w:t>)</w:t>
      </w:r>
      <w:r w:rsidR="00DA557E" w:rsidRPr="000F279B">
        <w:rPr>
          <w:rStyle w:val="Refdenotaalpie"/>
          <w:sz w:val="28"/>
          <w:szCs w:val="28"/>
        </w:rPr>
        <w:footnoteReference w:id="19"/>
      </w:r>
      <w:r w:rsidRPr="000F279B">
        <w:rPr>
          <w:sz w:val="24"/>
          <w:szCs w:val="24"/>
        </w:rPr>
        <w:t xml:space="preserve">. </w:t>
      </w:r>
      <w:r w:rsidR="00E802D3" w:rsidRPr="000F279B">
        <w:rPr>
          <w:sz w:val="24"/>
          <w:szCs w:val="24"/>
        </w:rPr>
        <w:t>Es un procedimiento de regularidad constitucional que se presenta cuando</w:t>
      </w:r>
      <w:r w:rsidRPr="000F279B">
        <w:rPr>
          <w:sz w:val="24"/>
          <w:szCs w:val="24"/>
        </w:rPr>
        <w:t xml:space="preserve"> hay una actuación irregular del </w:t>
      </w:r>
      <w:r w:rsidR="00E802D3" w:rsidRPr="000F279B">
        <w:rPr>
          <w:sz w:val="24"/>
          <w:szCs w:val="24"/>
        </w:rPr>
        <w:t>E</w:t>
      </w:r>
      <w:r w:rsidRPr="000F279B">
        <w:rPr>
          <w:sz w:val="24"/>
          <w:szCs w:val="24"/>
        </w:rPr>
        <w:t>stado que provoca una lesión o daño al particular</w:t>
      </w:r>
      <w:r w:rsidR="00E802D3" w:rsidRPr="000F279B">
        <w:rPr>
          <w:sz w:val="24"/>
          <w:szCs w:val="24"/>
        </w:rPr>
        <w:t xml:space="preserve"> en su esfera jurídica</w:t>
      </w:r>
      <w:r w:rsidRPr="000F279B">
        <w:rPr>
          <w:sz w:val="24"/>
          <w:szCs w:val="24"/>
        </w:rPr>
        <w:t>.</w:t>
      </w:r>
    </w:p>
    <w:p w14:paraId="508E26CA" w14:textId="38F2F6DD" w:rsidR="00B04256" w:rsidRPr="000F279B" w:rsidRDefault="00A73DA1" w:rsidP="000F279B">
      <w:pPr>
        <w:pStyle w:val="vietas"/>
        <w:rPr>
          <w:sz w:val="24"/>
          <w:szCs w:val="24"/>
        </w:rPr>
      </w:pPr>
      <w:r w:rsidRPr="000F279B">
        <w:rPr>
          <w:sz w:val="24"/>
          <w:szCs w:val="24"/>
        </w:rPr>
        <w:t>10.</w:t>
      </w:r>
      <w:r w:rsidR="00B04256" w:rsidRPr="000F279B">
        <w:rPr>
          <w:sz w:val="24"/>
          <w:szCs w:val="24"/>
        </w:rPr>
        <w:t xml:space="preserve"> </w:t>
      </w:r>
      <w:r w:rsidRPr="000F279B">
        <w:rPr>
          <w:sz w:val="24"/>
          <w:szCs w:val="24"/>
        </w:rPr>
        <w:t>Acciones colectivas (</w:t>
      </w:r>
      <w:r w:rsidR="00E802D3" w:rsidRPr="000F279B">
        <w:rPr>
          <w:sz w:val="24"/>
          <w:szCs w:val="24"/>
        </w:rPr>
        <w:t xml:space="preserve">artículo </w:t>
      </w:r>
      <w:r w:rsidRPr="000F279B">
        <w:rPr>
          <w:sz w:val="24"/>
          <w:szCs w:val="24"/>
        </w:rPr>
        <w:t>17</w:t>
      </w:r>
      <w:r w:rsidR="00E802D3" w:rsidRPr="000F279B">
        <w:rPr>
          <w:sz w:val="24"/>
          <w:szCs w:val="24"/>
        </w:rPr>
        <w:t xml:space="preserve"> constitucional</w:t>
      </w:r>
      <w:r w:rsidRPr="000F279B">
        <w:rPr>
          <w:sz w:val="24"/>
          <w:szCs w:val="24"/>
        </w:rPr>
        <w:t>)</w:t>
      </w:r>
      <w:r w:rsidR="00DA557E" w:rsidRPr="000F279B">
        <w:rPr>
          <w:rStyle w:val="Refdenotaalpie"/>
          <w:sz w:val="28"/>
          <w:szCs w:val="28"/>
        </w:rPr>
        <w:footnoteReference w:id="20"/>
      </w:r>
      <w:r w:rsidR="00E802D3" w:rsidRPr="000F279B">
        <w:rPr>
          <w:sz w:val="24"/>
          <w:szCs w:val="24"/>
        </w:rPr>
        <w:t>.</w:t>
      </w:r>
      <w:r w:rsidR="00B04256" w:rsidRPr="000F279B">
        <w:rPr>
          <w:sz w:val="24"/>
          <w:szCs w:val="24"/>
        </w:rPr>
        <w:t xml:space="preserve"> </w:t>
      </w:r>
      <w:r w:rsidR="00E802D3" w:rsidRPr="000F279B">
        <w:rPr>
          <w:sz w:val="24"/>
          <w:szCs w:val="24"/>
        </w:rPr>
        <w:t xml:space="preserve">Estos mecanismos </w:t>
      </w:r>
      <w:r w:rsidRPr="000F279B">
        <w:rPr>
          <w:sz w:val="24"/>
          <w:szCs w:val="24"/>
        </w:rPr>
        <w:t xml:space="preserve">no </w:t>
      </w:r>
      <w:r w:rsidR="00E802D3" w:rsidRPr="000F279B">
        <w:rPr>
          <w:sz w:val="24"/>
          <w:szCs w:val="24"/>
        </w:rPr>
        <w:t xml:space="preserve">cuentan con </w:t>
      </w:r>
      <w:r w:rsidRPr="000F279B">
        <w:rPr>
          <w:sz w:val="24"/>
          <w:szCs w:val="24"/>
        </w:rPr>
        <w:t>una ley especial</w:t>
      </w:r>
      <w:r w:rsidR="00E802D3" w:rsidRPr="000F279B">
        <w:rPr>
          <w:sz w:val="24"/>
          <w:szCs w:val="24"/>
        </w:rPr>
        <w:t xml:space="preserve">, sin embargo, </w:t>
      </w:r>
      <w:r w:rsidRPr="000F279B">
        <w:rPr>
          <w:sz w:val="24"/>
          <w:szCs w:val="24"/>
        </w:rPr>
        <w:t xml:space="preserve">se regulan en el </w:t>
      </w:r>
      <w:r w:rsidR="00917701" w:rsidRPr="000F279B">
        <w:rPr>
          <w:sz w:val="24"/>
          <w:szCs w:val="24"/>
        </w:rPr>
        <w:t>Libro Quinto d</w:t>
      </w:r>
      <w:r w:rsidRPr="000F279B">
        <w:rPr>
          <w:sz w:val="24"/>
          <w:szCs w:val="24"/>
        </w:rPr>
        <w:t>el Código Federal de Procedimientos Civiles</w:t>
      </w:r>
      <w:r w:rsidR="002F7415" w:rsidRPr="000F279B">
        <w:rPr>
          <w:rStyle w:val="Refdenotaalpie"/>
          <w:sz w:val="28"/>
          <w:szCs w:val="28"/>
        </w:rPr>
        <w:footnoteReference w:id="21"/>
      </w:r>
      <w:r w:rsidR="002F7415" w:rsidRPr="000F279B">
        <w:rPr>
          <w:sz w:val="24"/>
          <w:szCs w:val="24"/>
        </w:rPr>
        <w:t xml:space="preserve"> </w:t>
      </w:r>
      <w:r w:rsidRPr="000F279B">
        <w:rPr>
          <w:sz w:val="24"/>
          <w:szCs w:val="24"/>
        </w:rPr>
        <w:t xml:space="preserve">y </w:t>
      </w:r>
      <w:r w:rsidR="00B04256" w:rsidRPr="000F279B">
        <w:rPr>
          <w:sz w:val="24"/>
          <w:szCs w:val="24"/>
        </w:rPr>
        <w:t xml:space="preserve">el Libro Sexto del Código Nacional de </w:t>
      </w:r>
      <w:r w:rsidR="00463437" w:rsidRPr="000F279B">
        <w:rPr>
          <w:sz w:val="24"/>
          <w:szCs w:val="24"/>
        </w:rPr>
        <w:t xml:space="preserve">Procedimientos </w:t>
      </w:r>
      <w:r w:rsidR="00B04256" w:rsidRPr="000F279B">
        <w:rPr>
          <w:sz w:val="24"/>
          <w:szCs w:val="24"/>
        </w:rPr>
        <w:t>Civiles y Familiares</w:t>
      </w:r>
      <w:r w:rsidR="002F7415" w:rsidRPr="000F279B">
        <w:rPr>
          <w:rStyle w:val="Refdenotaalpie"/>
          <w:sz w:val="28"/>
          <w:szCs w:val="28"/>
        </w:rPr>
        <w:footnoteReference w:id="22"/>
      </w:r>
      <w:r w:rsidR="00B04256" w:rsidRPr="000F279B">
        <w:rPr>
          <w:sz w:val="24"/>
          <w:szCs w:val="24"/>
        </w:rPr>
        <w:t xml:space="preserve">. Estos ordenamientos reconocen tres tipos de acciones colectivas: de grupo, colectivas y económicas colectivas de los sindicatos o los empleadores. Estos mecanismos legales permiten a los grupos de personas en situaciones similares </w:t>
      </w:r>
      <w:r w:rsidR="00B04256" w:rsidRPr="000F279B">
        <w:rPr>
          <w:sz w:val="24"/>
          <w:szCs w:val="24"/>
        </w:rPr>
        <w:lastRenderedPageBreak/>
        <w:t>presentar demandas conjuntas para la protección de sus derechos e intereses</w:t>
      </w:r>
      <w:r w:rsidR="00AC4D58" w:rsidRPr="000F279B">
        <w:rPr>
          <w:sz w:val="24"/>
          <w:szCs w:val="24"/>
        </w:rPr>
        <w:t xml:space="preserve">. Este tipo de acciones cuenta con una naturaleza indivisible, cuyo titular es una colectividad determinada o determinable con base en circunstancias comunes, cuyo objeto es reclamar judicialmente del demandado, la reparación del daño causado consistente en la realización de una o más acciones o abstenerse de realizarlas, así como a cubrir los daños en forma individual a los miembros del grupo y que deriva de un vínculo jurídico común existente por mandato de ley entre la colectividad y el </w:t>
      </w:r>
      <w:r w:rsidR="002F7415" w:rsidRPr="000F279B">
        <w:rPr>
          <w:sz w:val="24"/>
          <w:szCs w:val="24"/>
        </w:rPr>
        <w:t>demandado</w:t>
      </w:r>
      <w:r w:rsidR="00E12908" w:rsidRPr="000F279B">
        <w:rPr>
          <w:rStyle w:val="Refdenotaalpie"/>
          <w:sz w:val="28"/>
          <w:szCs w:val="28"/>
        </w:rPr>
        <w:footnoteReference w:id="23"/>
      </w:r>
      <w:r w:rsidR="002F7415" w:rsidRPr="000F279B">
        <w:rPr>
          <w:sz w:val="24"/>
          <w:szCs w:val="24"/>
        </w:rPr>
        <w:t>.</w:t>
      </w:r>
    </w:p>
    <w:p w14:paraId="646E614B" w14:textId="41C7DA14" w:rsidR="004320AA" w:rsidRPr="00710792" w:rsidRDefault="00115B5F" w:rsidP="000F279B">
      <w:pPr>
        <w:pStyle w:val="parrafonormalbiolex"/>
      </w:pPr>
      <w:r w:rsidRPr="00710792">
        <w:t xml:space="preserve">De manera concomitante a la presencia de estos mecanismos de garantía de </w:t>
      </w:r>
      <w:r w:rsidR="00CA11AA" w:rsidRPr="00710792">
        <w:t>derechos humanos en la Constitución</w:t>
      </w:r>
      <w:r w:rsidRPr="00710792">
        <w:t xml:space="preserve">, existe como herramienta interpretativa el denominado </w:t>
      </w:r>
      <w:r w:rsidR="00CA11AA" w:rsidRPr="00710792">
        <w:t>“</w:t>
      </w:r>
      <w:r w:rsidRPr="00710792">
        <w:rPr>
          <w:iCs/>
        </w:rPr>
        <w:t>control de constitucionalidad</w:t>
      </w:r>
      <w:r w:rsidR="00CA11AA" w:rsidRPr="00710792">
        <w:rPr>
          <w:iCs/>
        </w:rPr>
        <w:t>”</w:t>
      </w:r>
      <w:r w:rsidRPr="00710792">
        <w:t xml:space="preserve">, </w:t>
      </w:r>
      <w:r w:rsidR="00CA11AA" w:rsidRPr="00710792">
        <w:t xml:space="preserve">que </w:t>
      </w:r>
      <w:r w:rsidR="004320AA" w:rsidRPr="00710792">
        <w:t>en México</w:t>
      </w:r>
      <w:r w:rsidR="00CA11AA" w:rsidRPr="00710792">
        <w:t xml:space="preserve"> tiene</w:t>
      </w:r>
      <w:r w:rsidR="004320AA" w:rsidRPr="00710792">
        <w:t xml:space="preserve"> </w:t>
      </w:r>
      <w:r w:rsidR="002F7415" w:rsidRPr="00710792">
        <w:t xml:space="preserve">una naturaleza ecléctica </w:t>
      </w:r>
      <w:r w:rsidR="004320AA" w:rsidRPr="00710792">
        <w:t>entre:</w:t>
      </w:r>
    </w:p>
    <w:p w14:paraId="42A79785" w14:textId="22CDB202" w:rsidR="00115B5F" w:rsidRPr="000F279B" w:rsidRDefault="00115B5F" w:rsidP="000F279B">
      <w:pPr>
        <w:pStyle w:val="vietas"/>
        <w:rPr>
          <w:sz w:val="24"/>
          <w:szCs w:val="24"/>
        </w:rPr>
      </w:pPr>
      <w:r w:rsidRPr="000F279B">
        <w:rPr>
          <w:iCs/>
          <w:sz w:val="24"/>
          <w:szCs w:val="24"/>
        </w:rPr>
        <w:t>a)</w:t>
      </w:r>
      <w:r w:rsidRPr="000F279B">
        <w:rPr>
          <w:sz w:val="24"/>
          <w:szCs w:val="24"/>
        </w:rPr>
        <w:t xml:space="preserve"> </w:t>
      </w:r>
      <w:r w:rsidR="004320AA" w:rsidRPr="000F279B">
        <w:rPr>
          <w:sz w:val="24"/>
          <w:szCs w:val="24"/>
        </w:rPr>
        <w:t>E</w:t>
      </w:r>
      <w:r w:rsidRPr="000F279B">
        <w:rPr>
          <w:sz w:val="24"/>
          <w:szCs w:val="24"/>
        </w:rPr>
        <w:t>l control concentrado</w:t>
      </w:r>
      <w:r w:rsidR="004320AA" w:rsidRPr="000F279B">
        <w:rPr>
          <w:sz w:val="24"/>
          <w:szCs w:val="24"/>
        </w:rPr>
        <w:t>, austriaco o europeo</w:t>
      </w:r>
      <w:r w:rsidRPr="000F279B">
        <w:rPr>
          <w:sz w:val="24"/>
          <w:szCs w:val="24"/>
        </w:rPr>
        <w:t xml:space="preserve"> de constitucionalidad</w:t>
      </w:r>
      <w:r w:rsidR="004320AA" w:rsidRPr="000F279B">
        <w:rPr>
          <w:sz w:val="24"/>
          <w:szCs w:val="24"/>
        </w:rPr>
        <w:t xml:space="preserve">, el cual coloca la potestad en órganos jurisdiccionales específicos para el análisis de actos de autoridad o leyes en relación con el texto constitucional en el marco de los procesos de regularidad constitucional ya abordados. En el Estado </w:t>
      </w:r>
      <w:r w:rsidR="00CA11AA" w:rsidRPr="000F279B">
        <w:rPr>
          <w:sz w:val="24"/>
          <w:szCs w:val="24"/>
        </w:rPr>
        <w:t>m</w:t>
      </w:r>
      <w:r w:rsidR="004320AA" w:rsidRPr="000F279B">
        <w:rPr>
          <w:sz w:val="24"/>
          <w:szCs w:val="24"/>
        </w:rPr>
        <w:t>exicano</w:t>
      </w:r>
      <w:r w:rsidR="00CA11AA" w:rsidRPr="000F279B">
        <w:rPr>
          <w:sz w:val="24"/>
          <w:szCs w:val="24"/>
        </w:rPr>
        <w:t>,</w:t>
      </w:r>
      <w:r w:rsidR="004320AA" w:rsidRPr="000F279B">
        <w:rPr>
          <w:sz w:val="24"/>
          <w:szCs w:val="24"/>
        </w:rPr>
        <w:t xml:space="preserve"> este tipo de control de constitucionalidad es ejercido </w:t>
      </w:r>
      <w:r w:rsidR="004919D5" w:rsidRPr="000F279B">
        <w:rPr>
          <w:sz w:val="24"/>
          <w:szCs w:val="24"/>
        </w:rPr>
        <w:t xml:space="preserve">en vía de acción </w:t>
      </w:r>
      <w:r w:rsidR="004320AA" w:rsidRPr="000F279B">
        <w:rPr>
          <w:sz w:val="24"/>
          <w:szCs w:val="24"/>
        </w:rPr>
        <w:t>por los órganos del Poder Judicial de la Federación (Suprema Corte de Justicia de la Nación, Tribunales Colegiados de Circuito, Tribunales Colegiados de Apelación y Juzgados de Distrito)</w:t>
      </w:r>
      <w:r w:rsidR="00CA11AA" w:rsidRPr="000F279B">
        <w:rPr>
          <w:sz w:val="24"/>
          <w:szCs w:val="24"/>
        </w:rPr>
        <w:t>.</w:t>
      </w:r>
    </w:p>
    <w:p w14:paraId="693C8E20" w14:textId="5323BB3A" w:rsidR="00562E9B" w:rsidRPr="00710792" w:rsidRDefault="004320AA" w:rsidP="006768D9">
      <w:pPr>
        <w:pStyle w:val="vietas"/>
        <w:rPr>
          <w:sz w:val="24"/>
          <w:szCs w:val="24"/>
        </w:rPr>
      </w:pPr>
      <w:r w:rsidRPr="000F279B">
        <w:rPr>
          <w:iCs/>
          <w:sz w:val="24"/>
          <w:szCs w:val="24"/>
        </w:rPr>
        <w:t>b)</w:t>
      </w:r>
      <w:r w:rsidRPr="000F279B">
        <w:rPr>
          <w:i/>
          <w:iCs/>
          <w:sz w:val="24"/>
          <w:szCs w:val="24"/>
        </w:rPr>
        <w:t xml:space="preserve"> </w:t>
      </w:r>
      <w:r w:rsidRPr="000F279B">
        <w:rPr>
          <w:sz w:val="24"/>
          <w:szCs w:val="24"/>
        </w:rPr>
        <w:t>El control</w:t>
      </w:r>
      <w:r w:rsidR="00C53176" w:rsidRPr="000F279B">
        <w:rPr>
          <w:sz w:val="24"/>
          <w:szCs w:val="24"/>
        </w:rPr>
        <w:t xml:space="preserve"> constitucional </w:t>
      </w:r>
      <w:r w:rsidRPr="000F279B">
        <w:rPr>
          <w:sz w:val="24"/>
          <w:szCs w:val="24"/>
        </w:rPr>
        <w:t xml:space="preserve">difuso o americano, mismo que implica que </w:t>
      </w:r>
      <w:r w:rsidR="004919D5" w:rsidRPr="000F279B">
        <w:rPr>
          <w:sz w:val="24"/>
          <w:szCs w:val="24"/>
        </w:rPr>
        <w:t xml:space="preserve">en vía de excepción, </w:t>
      </w:r>
      <w:r w:rsidRPr="000F279B">
        <w:rPr>
          <w:sz w:val="24"/>
          <w:szCs w:val="24"/>
        </w:rPr>
        <w:t xml:space="preserve">cualquier autoridad jurisdiccional, en caso de </w:t>
      </w:r>
      <w:r w:rsidR="004919D5" w:rsidRPr="000F279B">
        <w:rPr>
          <w:sz w:val="24"/>
          <w:szCs w:val="24"/>
        </w:rPr>
        <w:t xml:space="preserve">algún </w:t>
      </w:r>
      <w:r w:rsidRPr="000F279B">
        <w:rPr>
          <w:sz w:val="24"/>
          <w:szCs w:val="24"/>
        </w:rPr>
        <w:t>conflicto suscitado entre una norma de cualquier jerarquía y el texto constitucional debe preferir la aplicación de la norma de mayor jerarquía, es decir</w:t>
      </w:r>
      <w:r w:rsidR="00CA11AA" w:rsidRPr="000F279B">
        <w:rPr>
          <w:sz w:val="24"/>
          <w:szCs w:val="24"/>
        </w:rPr>
        <w:t>,</w:t>
      </w:r>
      <w:r w:rsidRPr="000F279B">
        <w:rPr>
          <w:sz w:val="24"/>
          <w:szCs w:val="24"/>
        </w:rPr>
        <w:t xml:space="preserve"> la norma constitucional.</w:t>
      </w:r>
    </w:p>
    <w:p w14:paraId="5E2CA41F" w14:textId="4365CAC0" w:rsidR="00E23150" w:rsidRPr="000F279B" w:rsidRDefault="000F279B" w:rsidP="000F279B">
      <w:pPr>
        <w:pStyle w:val="Nivel1BIOL"/>
        <w:rPr>
          <w:lang w:val="es-MX"/>
        </w:rPr>
      </w:pPr>
      <w:r>
        <w:rPr>
          <w:lang w:val="es-MX"/>
        </w:rPr>
        <w:t xml:space="preserve">V. </w:t>
      </w:r>
      <w:r w:rsidRPr="000F279B">
        <w:rPr>
          <w:lang w:val="es-MX"/>
        </w:rPr>
        <w:t>LA CONVENCIONALIDAD EN EL SISTEMA JURÍDICO MEXICANO</w:t>
      </w:r>
    </w:p>
    <w:p w14:paraId="722FAFD5" w14:textId="5C5EEB8D" w:rsidR="004919D5" w:rsidRPr="00710792" w:rsidRDefault="00C53176" w:rsidP="000F279B">
      <w:pPr>
        <w:pStyle w:val="parrafonormalbiolex"/>
      </w:pPr>
      <w:r w:rsidRPr="00710792">
        <w:t>Hasta este punto, pudiera parecer que la configuración normativa del sistema jurídico mexicano es eminentemente constitucionalista, donde la legalidad se encuentra supeditada a la constitucionalidad</w:t>
      </w:r>
      <w:r w:rsidR="002B04AF" w:rsidRPr="00710792">
        <w:t>, d</w:t>
      </w:r>
      <w:r w:rsidRPr="00710792">
        <w:t>e ahí que el parámetro de regularidad del sistema sea la Constitución</w:t>
      </w:r>
      <w:r w:rsidR="00AC2321" w:rsidRPr="00710792">
        <w:t>. S</w:t>
      </w:r>
      <w:r w:rsidRPr="00710792">
        <w:t>in embargo, con motivo de la reforma</w:t>
      </w:r>
      <w:r w:rsidR="00747835" w:rsidRPr="00710792">
        <w:t xml:space="preserve"> </w:t>
      </w:r>
      <w:r w:rsidRPr="00710792">
        <w:t>constitucional</w:t>
      </w:r>
      <w:r w:rsidR="00747835" w:rsidRPr="00710792">
        <w:t xml:space="preserve"> </w:t>
      </w:r>
      <w:r w:rsidRPr="00710792">
        <w:t>de</w:t>
      </w:r>
      <w:r w:rsidR="005A5DCF" w:rsidRPr="00710792">
        <w:t>l</w:t>
      </w:r>
      <w:r w:rsidRPr="00710792">
        <w:t xml:space="preserve"> </w:t>
      </w:r>
      <w:r w:rsidR="00747835" w:rsidRPr="00710792">
        <w:t>1</w:t>
      </w:r>
      <w:r w:rsidRPr="00710792">
        <w:t>0</w:t>
      </w:r>
      <w:r w:rsidR="004919D5" w:rsidRPr="00710792">
        <w:t xml:space="preserve"> de junio de 2011</w:t>
      </w:r>
      <w:r w:rsidR="005A5DCF" w:rsidRPr="00710792">
        <w:rPr>
          <w:rStyle w:val="Refdenotaalpie"/>
        </w:rPr>
        <w:footnoteReference w:id="24"/>
      </w:r>
      <w:r w:rsidR="004919D5" w:rsidRPr="00710792">
        <w:t>, se incorporó al sistema jurídico mexicano la denominada j</w:t>
      </w:r>
      <w:r w:rsidR="00A73DA1" w:rsidRPr="00710792">
        <w:t>urisdicción supranacional</w:t>
      </w:r>
      <w:r w:rsidR="00601A89" w:rsidRPr="00710792">
        <w:t xml:space="preserve">, por lo </w:t>
      </w:r>
      <w:r w:rsidR="002B04AF" w:rsidRPr="00710792">
        <w:t>que,</w:t>
      </w:r>
      <w:r w:rsidR="00601A89" w:rsidRPr="00710792">
        <w:t xml:space="preserve"> al integrarse México a la CADH, quedó obligado a ceñir sus actuaciones al </w:t>
      </w:r>
      <w:r w:rsidR="00601A89" w:rsidRPr="00710792">
        <w:rPr>
          <w:i/>
          <w:iCs/>
        </w:rPr>
        <w:t>corpus iuris</w:t>
      </w:r>
      <w:r w:rsidR="00601A89" w:rsidRPr="00710792">
        <w:t xml:space="preserve"> interamericano</w:t>
      </w:r>
      <w:r w:rsidR="005A5DCF" w:rsidRPr="00710792">
        <w:t>.</w:t>
      </w:r>
    </w:p>
    <w:p w14:paraId="5C2C8840" w14:textId="53A74621" w:rsidR="00C96BAC" w:rsidRPr="00710792" w:rsidRDefault="00C96BAC" w:rsidP="000F279B">
      <w:pPr>
        <w:pStyle w:val="parrafonormalbiolex"/>
      </w:pPr>
      <w:r w:rsidRPr="00710792">
        <w:t>Con fundamento en ello y a raíz de la resolución del caso Rosendo Radilla Pacheco vs México, se formuló una consulta a trámite ante el pleno de la Suprema Corte de Justicia de la Nación</w:t>
      </w:r>
      <w:r w:rsidR="002B04AF" w:rsidRPr="00710792">
        <w:t>,</w:t>
      </w:r>
      <w:r w:rsidRPr="00710792">
        <w:t xml:space="preserve"> mediante el expediente Varios 912/2010, cuya finalidad fue instrumentar el cumplimiento de la sentencia aludida</w:t>
      </w:r>
      <w:r w:rsidR="002B04AF" w:rsidRPr="00710792">
        <w:t>,</w:t>
      </w:r>
      <w:r w:rsidRPr="00710792">
        <w:t xml:space="preserve"> y donde en su considerando </w:t>
      </w:r>
      <w:r w:rsidR="007A5840" w:rsidRPr="00710792">
        <w:t xml:space="preserve">sexto </w:t>
      </w:r>
      <w:r w:rsidRPr="00710792">
        <w:t xml:space="preserve">se </w:t>
      </w:r>
      <w:r w:rsidR="0073009E" w:rsidRPr="00710792">
        <w:t>de</w:t>
      </w:r>
      <w:r w:rsidRPr="00710792">
        <w:t>terminó</w:t>
      </w:r>
      <w:r w:rsidR="009F0169" w:rsidRPr="00710792">
        <w:t>,</w:t>
      </w:r>
      <w:r w:rsidRPr="00710792">
        <w:t xml:space="preserve"> entre otras obligaci</w:t>
      </w:r>
      <w:r w:rsidR="009F0169" w:rsidRPr="00710792">
        <w:t>ones, la</w:t>
      </w:r>
      <w:r w:rsidRPr="00710792">
        <w:t xml:space="preserve"> de </w:t>
      </w:r>
      <w:r w:rsidRPr="00710792">
        <w:lastRenderedPageBreak/>
        <w:t xml:space="preserve">las autoridades jurisdiccionales </w:t>
      </w:r>
      <w:r w:rsidR="00773502" w:rsidRPr="00710792">
        <w:t xml:space="preserve">del </w:t>
      </w:r>
      <w:r w:rsidRPr="00710792">
        <w:t xml:space="preserve">Estado </w:t>
      </w:r>
      <w:r w:rsidR="009F0169" w:rsidRPr="00710792">
        <w:t>m</w:t>
      </w:r>
      <w:r w:rsidRPr="00710792">
        <w:t xml:space="preserve">exicano </w:t>
      </w:r>
      <w:r w:rsidR="009F0169" w:rsidRPr="00710792">
        <w:t xml:space="preserve">de </w:t>
      </w:r>
      <w:r w:rsidRPr="00710792">
        <w:t xml:space="preserve">ejercer un </w:t>
      </w:r>
      <w:r w:rsidRPr="00710792">
        <w:rPr>
          <w:iCs/>
        </w:rPr>
        <w:t>control difuso de convencionalidad</w:t>
      </w:r>
      <w:r w:rsidRPr="00710792">
        <w:rPr>
          <w:i/>
          <w:iCs/>
        </w:rPr>
        <w:t xml:space="preserve"> </w:t>
      </w:r>
      <w:r w:rsidRPr="00710792">
        <w:rPr>
          <w:iCs/>
        </w:rPr>
        <w:t>ex</w:t>
      </w:r>
      <w:r w:rsidRPr="00710792">
        <w:rPr>
          <w:i/>
          <w:iCs/>
        </w:rPr>
        <w:t xml:space="preserve"> </w:t>
      </w:r>
      <w:r w:rsidR="009F0169" w:rsidRPr="00710792">
        <w:rPr>
          <w:i/>
          <w:iCs/>
        </w:rPr>
        <w:t>oficio.</w:t>
      </w:r>
      <w:r w:rsidRPr="00710792">
        <w:rPr>
          <w:i/>
          <w:iCs/>
        </w:rPr>
        <w:t xml:space="preserve"> </w:t>
      </w:r>
      <w:r w:rsidR="009F0169" w:rsidRPr="00710792">
        <w:t>L</w:t>
      </w:r>
      <w:r w:rsidRPr="00710792">
        <w:t xml:space="preserve">o </w:t>
      </w:r>
      <w:r w:rsidR="009F0169" w:rsidRPr="00710792">
        <w:t>anterior</w:t>
      </w:r>
      <w:r w:rsidRPr="00710792">
        <w:t xml:space="preserve"> se traduce </w:t>
      </w:r>
      <w:r w:rsidR="00BD082D" w:rsidRPr="00710792">
        <w:t>en la obligación de las autoridades jurisdiccionales de analizar los asuntos sometidos a su consideración con una perspectiva que también contemple los criterios sostenidos por la Corte Interamericana de Derechos Humanos (órgano encargado de ejercer el control concentrado de convencionalidad en el sistema interamericano).</w:t>
      </w:r>
    </w:p>
    <w:p w14:paraId="36D547FF" w14:textId="533A412B" w:rsidR="00216599" w:rsidRPr="00710792" w:rsidRDefault="00441E29" w:rsidP="000F279B">
      <w:pPr>
        <w:pStyle w:val="parrafonormalbiolex"/>
      </w:pPr>
      <w:r w:rsidRPr="00710792">
        <w:t xml:space="preserve">Derivado de lo anterior surgió </w:t>
      </w:r>
      <w:r w:rsidR="009F0169" w:rsidRPr="00710792">
        <w:t>el siguiente cuestionamiento</w:t>
      </w:r>
      <w:r w:rsidR="00773502" w:rsidRPr="00710792">
        <w:t xml:space="preserve">: </w:t>
      </w:r>
      <w:r w:rsidRPr="00710792">
        <w:rPr>
          <w:iCs/>
        </w:rPr>
        <w:t>de existir contradicción entre las disposiciones de un tratado internacional y la constitución</w:t>
      </w:r>
      <w:r w:rsidR="009F0169" w:rsidRPr="00710792">
        <w:rPr>
          <w:iCs/>
        </w:rPr>
        <w:t>,</w:t>
      </w:r>
      <w:r w:rsidRPr="00710792">
        <w:rPr>
          <w:iCs/>
        </w:rPr>
        <w:t xml:space="preserve"> ¿cuál debe prevalecer?</w:t>
      </w:r>
      <w:r w:rsidRPr="00710792">
        <w:t xml:space="preserve"> Al respecto, la Suprema Cort</w:t>
      </w:r>
      <w:r w:rsidR="007A5840" w:rsidRPr="00710792">
        <w:t>e</w:t>
      </w:r>
      <w:r w:rsidRPr="00710792">
        <w:t xml:space="preserve"> de Justicia de la Nación</w:t>
      </w:r>
      <w:r w:rsidR="009F0169" w:rsidRPr="00710792">
        <w:t>,</w:t>
      </w:r>
      <w:r w:rsidRPr="00710792">
        <w:t xml:space="preserve"> en </w:t>
      </w:r>
      <w:r w:rsidR="007A5840" w:rsidRPr="00710792">
        <w:t xml:space="preserve">la </w:t>
      </w:r>
      <w:r w:rsidRPr="00710792">
        <w:t>resolución de la Contradicción de Tesis 293/2011</w:t>
      </w:r>
      <w:r w:rsidRPr="00710792">
        <w:rPr>
          <w:rStyle w:val="Refdenotaalpie"/>
        </w:rPr>
        <w:footnoteReference w:id="25"/>
      </w:r>
      <w:r w:rsidR="009F0169" w:rsidRPr="00710792">
        <w:t>,</w:t>
      </w:r>
      <w:r w:rsidRPr="00710792">
        <w:t xml:space="preserve"> determinó que cuando en la Constitución haya una restricción expresa al ejercicio de algún derecho humano, se deberá estar a lo que indica la norma constitucional.</w:t>
      </w:r>
    </w:p>
    <w:p w14:paraId="5EC2E9E9" w14:textId="743F34FD" w:rsidR="00BD082D" w:rsidRPr="00710792" w:rsidRDefault="00441E29" w:rsidP="000F279B">
      <w:pPr>
        <w:pStyle w:val="parrafonormalbiolex"/>
      </w:pPr>
      <w:r w:rsidRPr="00710792">
        <w:t>Por otro lado, se estableció que los criterios jurisprudenciales de la Co</w:t>
      </w:r>
      <w:r w:rsidR="005A5DCF" w:rsidRPr="00710792">
        <w:t xml:space="preserve">rte Interamericana de Derechos Humanos </w:t>
      </w:r>
      <w:r w:rsidRPr="00710792">
        <w:t>constituyen una extensión de la Convención Americana sobre Derechos Humanos y, por tanto, resultan vinculantes para los jueces nacionales, con independencia de que el Estado Mexicano haya sido parte en el litigio</w:t>
      </w:r>
      <w:r w:rsidR="009F0169" w:rsidRPr="00710792">
        <w:t>.</w:t>
      </w:r>
      <w:r w:rsidRPr="00710792">
        <w:t xml:space="preserve"> </w:t>
      </w:r>
      <w:r w:rsidR="009F0169" w:rsidRPr="00710792">
        <w:t>A</w:t>
      </w:r>
      <w:r w:rsidRPr="00710792">
        <w:t>demás</w:t>
      </w:r>
      <w:r w:rsidR="009F0169" w:rsidRPr="00710792">
        <w:t>,</w:t>
      </w:r>
      <w:r w:rsidRPr="00710792">
        <w:t xml:space="preserve"> se estipuló la obligación a los operadores jurídicos de armonizar, en todos los casos en que sea posible, la jurisprudencia interamericana con la nacional, en caso de ser imposible la armonización, deberán aplicar el criterio que resulte más favorable a la protección de los </w:t>
      </w:r>
      <w:r w:rsidR="00F93DF6" w:rsidRPr="00710792">
        <w:t>d</w:t>
      </w:r>
      <w:r w:rsidRPr="00710792">
        <w:t xml:space="preserve">erechos </w:t>
      </w:r>
      <w:r w:rsidR="00F93DF6" w:rsidRPr="00710792">
        <w:t>h</w:t>
      </w:r>
      <w:r w:rsidRPr="00710792">
        <w:t>umanos</w:t>
      </w:r>
      <w:r w:rsidR="00E12908" w:rsidRPr="00710792">
        <w:rPr>
          <w:rStyle w:val="Refdenotaalpie"/>
        </w:rPr>
        <w:footnoteReference w:id="26"/>
      </w:r>
      <w:r w:rsidRPr="00710792">
        <w:t>.</w:t>
      </w:r>
    </w:p>
    <w:p w14:paraId="57F8A6A9" w14:textId="79A7A282" w:rsidR="00D55C04" w:rsidRPr="00710792" w:rsidRDefault="000E2A84" w:rsidP="000F279B">
      <w:pPr>
        <w:pStyle w:val="parrafonormalbiolex"/>
      </w:pPr>
      <w:r w:rsidRPr="00710792">
        <w:t xml:space="preserve">La anterior determinación propició una polarización en los operadores jurídicos, </w:t>
      </w:r>
      <w:r w:rsidR="0036516C" w:rsidRPr="00710792">
        <w:t>toda vez que existieron pronunciamientos</w:t>
      </w:r>
      <w:r w:rsidR="00444EB1" w:rsidRPr="00710792">
        <w:t xml:space="preserve"> en el sentido de considerar </w:t>
      </w:r>
      <w:r w:rsidRPr="00710792">
        <w:t>que se trató de un retroceso en el proceso de</w:t>
      </w:r>
      <w:r w:rsidR="006A6BDC" w:rsidRPr="00710792">
        <w:t>l</w:t>
      </w:r>
      <w:r w:rsidRPr="00710792">
        <w:t xml:space="preserve"> respeto a derechos humanos y de </w:t>
      </w:r>
      <w:r w:rsidR="00773502" w:rsidRPr="00710792">
        <w:t xml:space="preserve">la </w:t>
      </w:r>
      <w:r w:rsidRPr="00710792">
        <w:t xml:space="preserve">interpretación </w:t>
      </w:r>
      <w:r w:rsidRPr="00710792">
        <w:rPr>
          <w:iCs/>
        </w:rPr>
        <w:t>pro persona</w:t>
      </w:r>
      <w:r w:rsidR="00F12B4A" w:rsidRPr="00710792">
        <w:rPr>
          <w:i/>
          <w:iCs/>
        </w:rPr>
        <w:t>.</w:t>
      </w:r>
      <w:r w:rsidR="00444EB1" w:rsidRPr="00710792">
        <w:rPr>
          <w:rStyle w:val="Refdenotaalpie"/>
        </w:rPr>
        <w:footnoteReference w:id="27"/>
      </w:r>
      <w:r w:rsidR="00216599" w:rsidRPr="00710792">
        <w:t xml:space="preserve"> E</w:t>
      </w:r>
      <w:r w:rsidRPr="00710792">
        <w:t xml:space="preserve">n oposición a ello, </w:t>
      </w:r>
      <w:r w:rsidR="0036516C" w:rsidRPr="00710792">
        <w:t xml:space="preserve">se presentó la postura que sugiere </w:t>
      </w:r>
      <w:r w:rsidRPr="00710792">
        <w:t>que se trata de una medida de salvaguarda al texto constitucional y a su supremacía</w:t>
      </w:r>
      <w:r w:rsidR="00444EB1" w:rsidRPr="00710792">
        <w:rPr>
          <w:rStyle w:val="Refdenotaalpie"/>
        </w:rPr>
        <w:footnoteReference w:id="28"/>
      </w:r>
      <w:r w:rsidRPr="00710792">
        <w:t>.</w:t>
      </w:r>
    </w:p>
    <w:p w14:paraId="6FF6535D" w14:textId="37E0CD4A" w:rsidR="00733CE8" w:rsidRPr="00710792" w:rsidRDefault="00733CE8" w:rsidP="000F279B">
      <w:pPr>
        <w:pStyle w:val="parrafonormalbiolex"/>
      </w:pPr>
      <w:r w:rsidRPr="00710792">
        <w:t>No es la pretensión de estas notas dilucidar el inacabado conflicto, sin embargo, es posible aseverar que dicha postura trajo aparejado un panorama de inseguridad y confusión jurídica en el sistema jurídico mexicano</w:t>
      </w:r>
      <w:r w:rsidR="00F93DF6" w:rsidRPr="00710792">
        <w:t xml:space="preserve">, </w:t>
      </w:r>
      <w:r w:rsidRPr="00710792">
        <w:t xml:space="preserve">que se ha presentado en los diversos </w:t>
      </w:r>
      <w:r w:rsidR="005A5DCF" w:rsidRPr="00710792">
        <w:t>ámbitos</w:t>
      </w:r>
      <w:r w:rsidRPr="00710792">
        <w:t xml:space="preserve"> de gobierno y en </w:t>
      </w:r>
      <w:r w:rsidR="005A5DCF" w:rsidRPr="00710792">
        <w:t>variadas</w:t>
      </w:r>
      <w:r w:rsidRPr="00710792">
        <w:t xml:space="preserve"> actividades del Estado.</w:t>
      </w:r>
    </w:p>
    <w:p w14:paraId="7F87AD13" w14:textId="668DEC6B" w:rsidR="00E23150" w:rsidRPr="000F279B" w:rsidRDefault="000F279B" w:rsidP="000F279B">
      <w:pPr>
        <w:pStyle w:val="Nivel1BIOL"/>
        <w:rPr>
          <w:lang w:val="es-MX"/>
        </w:rPr>
      </w:pPr>
      <w:r>
        <w:rPr>
          <w:lang w:val="es-MX"/>
        </w:rPr>
        <w:t xml:space="preserve">VI. </w:t>
      </w:r>
      <w:r w:rsidRPr="000F279B">
        <w:rPr>
          <w:lang w:val="es-MX"/>
        </w:rPr>
        <w:t>CONFLICTOS EN EL FORO JURÍDICO: CONVENCIONALIDAD, CONSTITUCIONALIDAD O</w:t>
      </w:r>
      <w:r>
        <w:rPr>
          <w:lang w:val="es-MX"/>
        </w:rPr>
        <w:t> </w:t>
      </w:r>
      <w:r w:rsidRPr="000F279B">
        <w:rPr>
          <w:lang w:val="es-MX"/>
        </w:rPr>
        <w:t>LEGALIDAD</w:t>
      </w:r>
    </w:p>
    <w:p w14:paraId="13FB295F" w14:textId="491E3DD9" w:rsidR="00584D59" w:rsidRPr="00710792" w:rsidRDefault="00584D59" w:rsidP="000F279B">
      <w:pPr>
        <w:spacing w:after="0" w:line="276" w:lineRule="auto"/>
        <w:jc w:val="both"/>
        <w:rPr>
          <w:rFonts w:ascii="Unna" w:hAnsi="Unna" w:cs="Arial"/>
          <w:b/>
          <w:bCs/>
          <w:sz w:val="24"/>
          <w:szCs w:val="24"/>
        </w:rPr>
      </w:pPr>
      <w:r w:rsidRPr="00710792">
        <w:rPr>
          <w:rFonts w:ascii="Unna" w:hAnsi="Unna" w:cs="Arial"/>
          <w:b/>
          <w:bCs/>
          <w:sz w:val="24"/>
          <w:szCs w:val="24"/>
        </w:rPr>
        <w:t xml:space="preserve">Matrimonio igualitario en el </w:t>
      </w:r>
      <w:r w:rsidR="00F565C2" w:rsidRPr="00710792">
        <w:rPr>
          <w:rFonts w:ascii="Unna" w:hAnsi="Unna" w:cs="Arial"/>
          <w:b/>
          <w:bCs/>
          <w:sz w:val="24"/>
          <w:szCs w:val="24"/>
        </w:rPr>
        <w:t>e</w:t>
      </w:r>
      <w:r w:rsidRPr="00710792">
        <w:rPr>
          <w:rFonts w:ascii="Unna" w:hAnsi="Unna" w:cs="Arial"/>
          <w:b/>
          <w:bCs/>
          <w:sz w:val="24"/>
          <w:szCs w:val="24"/>
        </w:rPr>
        <w:t xml:space="preserve">stado de Guanajuato </w:t>
      </w:r>
    </w:p>
    <w:p w14:paraId="380EA619" w14:textId="3E9CA7A2" w:rsidR="00A05927" w:rsidRPr="00710792" w:rsidRDefault="00733CE8" w:rsidP="000F279B">
      <w:pPr>
        <w:pStyle w:val="parrafonormalbiolex"/>
      </w:pPr>
      <w:r w:rsidRPr="00710792">
        <w:lastRenderedPageBreak/>
        <w:t xml:space="preserve">Para </w:t>
      </w:r>
      <w:r w:rsidR="00A05927" w:rsidRPr="00710792">
        <w:t>ilustrar</w:t>
      </w:r>
      <w:r w:rsidRPr="00710792">
        <w:t xml:space="preserve"> esta pugna entre convencionalidad, constitucionalidad y legalidad en la solución de los quehaceres jurídicos</w:t>
      </w:r>
      <w:r w:rsidR="00F565C2" w:rsidRPr="00710792">
        <w:t>,</w:t>
      </w:r>
      <w:r w:rsidRPr="00710792">
        <w:t xml:space="preserve"> se encuentra</w:t>
      </w:r>
      <w:r w:rsidR="00F565C2" w:rsidRPr="00710792">
        <w:t>,</w:t>
      </w:r>
      <w:r w:rsidRPr="00710792">
        <w:t xml:space="preserve"> por ejemplo</w:t>
      </w:r>
      <w:r w:rsidR="00F565C2" w:rsidRPr="00710792">
        <w:t>,</w:t>
      </w:r>
      <w:r w:rsidRPr="00710792">
        <w:t xml:space="preserve"> el matrimonio igualitario.</w:t>
      </w:r>
    </w:p>
    <w:p w14:paraId="0F033A36" w14:textId="283777F0" w:rsidR="00733CE8" w:rsidRPr="00710792" w:rsidRDefault="00733CE8" w:rsidP="000F279B">
      <w:pPr>
        <w:pStyle w:val="parrafonormalbiolex"/>
      </w:pPr>
      <w:r w:rsidRPr="00710792">
        <w:t xml:space="preserve">En el caso del </w:t>
      </w:r>
      <w:r w:rsidR="00F565C2" w:rsidRPr="00710792">
        <w:t>e</w:t>
      </w:r>
      <w:r w:rsidRPr="00710792">
        <w:t>stado de Guanajuato</w:t>
      </w:r>
      <w:r w:rsidR="00F565C2" w:rsidRPr="00710792">
        <w:t>,</w:t>
      </w:r>
      <w:r w:rsidR="00270B05" w:rsidRPr="00710792">
        <w:t xml:space="preserve"> actualmente</w:t>
      </w:r>
      <w:r w:rsidR="00F565C2" w:rsidRPr="00710792">
        <w:t>,</w:t>
      </w:r>
      <w:r w:rsidR="00270B05" w:rsidRPr="00710792">
        <w:t xml:space="preserve"> el matrimonio entre parejas homosexuales se encuentra permitido, sin embargo, la </w:t>
      </w:r>
      <w:r w:rsidR="00293D0B" w:rsidRPr="00710792">
        <w:t>“</w:t>
      </w:r>
      <w:r w:rsidR="00270B05" w:rsidRPr="00710792">
        <w:t>solución</w:t>
      </w:r>
      <w:r w:rsidR="00293D0B" w:rsidRPr="00710792">
        <w:t>”</w:t>
      </w:r>
      <w:r w:rsidR="00270B05" w:rsidRPr="00710792">
        <w:t xml:space="preserve"> que se emplea para</w:t>
      </w:r>
      <w:r w:rsidR="008B15AD" w:rsidRPr="00710792">
        <w:t xml:space="preserve"> conceder</w:t>
      </w:r>
      <w:r w:rsidR="00293D0B" w:rsidRPr="00710792">
        <w:t xml:space="preserve"> el acceso a dicha institución a parejas del mismo sexo, se estima un </w:t>
      </w:r>
      <w:r w:rsidR="00B2391F" w:rsidRPr="00710792">
        <w:t>yerro</w:t>
      </w:r>
      <w:r w:rsidR="00293D0B" w:rsidRPr="00710792">
        <w:t xml:space="preserve"> </w:t>
      </w:r>
      <w:r w:rsidR="00B2391F" w:rsidRPr="00710792">
        <w:t>técnico-</w:t>
      </w:r>
      <w:r w:rsidR="00293D0B" w:rsidRPr="00710792">
        <w:t>jurídico, toda vez que mediante la circular 2261/2021 dirigida al director general del Registro Civil, la entonces titular de la Secretaría de Gobierno de Guanajuato, instruyó darle cumplimiento a las uniones civiles sin distinción de preferencia sexual.</w:t>
      </w:r>
      <w:r w:rsidR="00DA557E" w:rsidRPr="00710792">
        <w:rPr>
          <w:rStyle w:val="Refdenotaalpie"/>
        </w:rPr>
        <w:footnoteReference w:id="29"/>
      </w:r>
    </w:p>
    <w:p w14:paraId="51B45771" w14:textId="501DB7CF" w:rsidR="00506A1F" w:rsidRPr="00710792" w:rsidRDefault="00293D0B" w:rsidP="000F279B">
      <w:pPr>
        <w:pStyle w:val="parrafonormalbiolex"/>
      </w:pPr>
      <w:r w:rsidRPr="00710792">
        <w:t>Contrario al panorama de protección de derechos humanos generado con motivo de la suscripción y ratificación de tratados internacionales, de los mecanismos constitucionales de protección a los mismos e incluso de la propia legislación, se trata de un</w:t>
      </w:r>
      <w:r w:rsidR="00A05927" w:rsidRPr="00710792">
        <w:t xml:space="preserve">a circular </w:t>
      </w:r>
      <w:r w:rsidRPr="00710792">
        <w:t xml:space="preserve">del ejecutivo local guanajuatense lo que permite las uniones matrimoniales homosexuales. </w:t>
      </w:r>
      <w:r w:rsidR="001B334D" w:rsidRPr="00710792">
        <w:t xml:space="preserve">Anteriormente, era inaccesible para </w:t>
      </w:r>
      <w:r w:rsidR="001A5BD5" w:rsidRPr="00710792">
        <w:t>l</w:t>
      </w:r>
      <w:r w:rsidR="001B334D" w:rsidRPr="00710792">
        <w:t xml:space="preserve">as personas homosexuales poder contraer matrimonio, </w:t>
      </w:r>
      <w:r w:rsidR="001A5BD5" w:rsidRPr="00710792">
        <w:t>puesto</w:t>
      </w:r>
      <w:r w:rsidR="001B334D" w:rsidRPr="00710792">
        <w:t xml:space="preserve"> que </w:t>
      </w:r>
      <w:r w:rsidRPr="00710792">
        <w:t xml:space="preserve">el mismo no se encontraba regulado por la legislación civil sustantiva de la entidad ni por el reglamento del </w:t>
      </w:r>
      <w:r w:rsidR="00DD271A" w:rsidRPr="00710792">
        <w:t>r</w:t>
      </w:r>
      <w:r w:rsidRPr="00710792">
        <w:t xml:space="preserve">egistro </w:t>
      </w:r>
      <w:r w:rsidR="00DD271A" w:rsidRPr="00710792">
        <w:t>c</w:t>
      </w:r>
      <w:r w:rsidRPr="00710792">
        <w:t>ivil estatal</w:t>
      </w:r>
      <w:r w:rsidR="001A5BD5" w:rsidRPr="00710792">
        <w:t>. Bajo esta consideración</w:t>
      </w:r>
      <w:r w:rsidR="00DD271A" w:rsidRPr="00710792">
        <w:t>,</w:t>
      </w:r>
      <w:r w:rsidR="001A5BD5" w:rsidRPr="00710792">
        <w:t xml:space="preserve"> las personas que estimaban </w:t>
      </w:r>
      <w:r w:rsidRPr="00710792">
        <w:t xml:space="preserve">vulnerada su esfera de derechos ante la negativa del oficial para celebrar el matrimonio, solicitaban la protección constitucional a efecto de que un juez de distrito les </w:t>
      </w:r>
      <w:r w:rsidR="00F95A12" w:rsidRPr="00710792">
        <w:t xml:space="preserve">otorgase </w:t>
      </w:r>
      <w:r w:rsidRPr="00710792">
        <w:t xml:space="preserve">la tutela federal para el efecto de obligar al referido funcionario del </w:t>
      </w:r>
      <w:r w:rsidR="00DD271A" w:rsidRPr="00710792">
        <w:t>r</w:t>
      </w:r>
      <w:r w:rsidR="00782344" w:rsidRPr="00710792">
        <w:t xml:space="preserve">egistro </w:t>
      </w:r>
      <w:r w:rsidR="00DD271A" w:rsidRPr="00710792">
        <w:t>c</w:t>
      </w:r>
      <w:r w:rsidR="00782344" w:rsidRPr="00710792">
        <w:t xml:space="preserve">ivil </w:t>
      </w:r>
      <w:r w:rsidRPr="00710792">
        <w:t>a celebrar el matrimonio.</w:t>
      </w:r>
    </w:p>
    <w:p w14:paraId="4D0C6F0C" w14:textId="3BF4B7FB" w:rsidR="00506A1F" w:rsidRPr="00710792" w:rsidRDefault="00506A1F" w:rsidP="000F279B">
      <w:pPr>
        <w:pStyle w:val="parrafonormalbiolex"/>
      </w:pPr>
      <w:r w:rsidRPr="00710792">
        <w:t xml:space="preserve">El fallo dictado por los jueces de distrito </w:t>
      </w:r>
      <w:r w:rsidR="00293D0B" w:rsidRPr="00710792">
        <w:t xml:space="preserve">se encontraba sustentado </w:t>
      </w:r>
      <w:r w:rsidR="001A5BD5" w:rsidRPr="00710792">
        <w:t>en</w:t>
      </w:r>
      <w:r w:rsidR="00293D0B" w:rsidRPr="00710792">
        <w:t xml:space="preserve"> jurisprudencia de la Suprema Corte de Justicia de la Nación</w:t>
      </w:r>
      <w:r w:rsidR="001A5BD5" w:rsidRPr="00710792">
        <w:rPr>
          <w:rStyle w:val="Refdenotaalpie"/>
        </w:rPr>
        <w:footnoteReference w:id="30"/>
      </w:r>
      <w:r w:rsidR="00293D0B" w:rsidRPr="00710792">
        <w:t xml:space="preserve"> </w:t>
      </w:r>
      <w:r w:rsidRPr="00710792">
        <w:t>y de la Corte Interamericana de Derechos Humanos</w:t>
      </w:r>
      <w:r w:rsidR="004F7033" w:rsidRPr="00710792">
        <w:rPr>
          <w:rStyle w:val="Refdenotaalpie"/>
        </w:rPr>
        <w:footnoteReference w:id="31"/>
      </w:r>
      <w:r w:rsidRPr="00710792">
        <w:t xml:space="preserve">, en interpretación del denominado </w:t>
      </w:r>
      <w:r w:rsidR="00DD271A" w:rsidRPr="00710792">
        <w:t>“</w:t>
      </w:r>
      <w:r w:rsidRPr="00710792">
        <w:rPr>
          <w:iCs/>
        </w:rPr>
        <w:t>derecho humano al libre desarrollo de la personalidad</w:t>
      </w:r>
      <w:r w:rsidR="00DD271A" w:rsidRPr="00710792">
        <w:rPr>
          <w:iCs/>
        </w:rPr>
        <w:t>”</w:t>
      </w:r>
      <w:r w:rsidRPr="00710792">
        <w:rPr>
          <w:i/>
          <w:iCs/>
        </w:rPr>
        <w:t>,</w:t>
      </w:r>
      <w:r w:rsidRPr="00710792">
        <w:t xml:space="preserve"> </w:t>
      </w:r>
      <w:r w:rsidR="00DD271A" w:rsidRPr="00710792">
        <w:t>la</w:t>
      </w:r>
      <w:r w:rsidRPr="00710792">
        <w:t xml:space="preserve"> construcción jurisprudencial</w:t>
      </w:r>
      <w:r w:rsidR="00773502" w:rsidRPr="00710792">
        <w:t xml:space="preserve"> ha estipulado que</w:t>
      </w:r>
      <w:r w:rsidR="00DD271A" w:rsidRPr="00710792">
        <w:t xml:space="preserve"> este derecho</w:t>
      </w:r>
      <w:r w:rsidR="00773502" w:rsidRPr="00710792">
        <w:t xml:space="preserve"> </w:t>
      </w:r>
      <w:r w:rsidRPr="00710792">
        <w:t>implica la protección general de la persona humana y su capacidad para autodeterminar su vida de acuerdo con sus propias decisiones y valores. Se considera un derecho autónomo que dota a los individuos de la libertad de dirigir su vida y destino a su propia voluntad, siempre que no se vulneren los derechos de otros.</w:t>
      </w:r>
    </w:p>
    <w:p w14:paraId="58D292B8" w14:textId="405FFA47" w:rsidR="00CE052F" w:rsidRPr="00710792" w:rsidRDefault="00CE052F" w:rsidP="000F279B">
      <w:pPr>
        <w:pStyle w:val="parrafonormalbiolex"/>
      </w:pPr>
      <w:r w:rsidRPr="00710792">
        <w:t>Del mismo modo</w:t>
      </w:r>
      <w:r w:rsidR="00DD271A" w:rsidRPr="00710792">
        <w:t>,</w:t>
      </w:r>
      <w:r w:rsidRPr="00710792">
        <w:t xml:space="preserve"> el fallo encontraba sustento en que el concepto de matrimonio ha evolucionado con la sociedad y ya no está vinculado exclusivamente a la reproducción, así pues consideraron que el pretender vincular los requisitos del matrimonio a las preferencias sexuales de quienes pueden acceder a la institución matrimonial con la procreación es discriminatorio</w:t>
      </w:r>
      <w:r w:rsidR="00E12908" w:rsidRPr="00710792">
        <w:rPr>
          <w:rStyle w:val="Refdenotaalpie"/>
        </w:rPr>
        <w:footnoteReference w:id="32"/>
      </w:r>
      <w:r w:rsidRPr="00710792">
        <w:t xml:space="preserve">, pues </w:t>
      </w:r>
      <w:r w:rsidRPr="00710792">
        <w:lastRenderedPageBreak/>
        <w:t>se excluye injustificadamente del acceso al matrimonio a las parejas homosexuales que están situadas en condiciones similares a las parejas heterosexuales.</w:t>
      </w:r>
      <w:r w:rsidRPr="00710792">
        <w:rPr>
          <w:rStyle w:val="Refdenotaalpie"/>
        </w:rPr>
        <w:footnoteReference w:id="33"/>
      </w:r>
    </w:p>
    <w:p w14:paraId="402AFED0" w14:textId="0A1C90C8" w:rsidR="00293D0B" w:rsidRPr="00710792" w:rsidRDefault="00506A1F" w:rsidP="000F279B">
      <w:pPr>
        <w:pStyle w:val="parrafonormalbiolex"/>
      </w:pPr>
      <w:r w:rsidRPr="00710792">
        <w:t>En las relatadas consideraciones</w:t>
      </w:r>
      <w:r w:rsidR="00CE052F" w:rsidRPr="00710792">
        <w:t xml:space="preserve">, pese a que en la actualidad se encuentra protegido y tutelado el derecho de las personas homosexuales a acceder al matrimonio, </w:t>
      </w:r>
      <w:r w:rsidRPr="00710792">
        <w:t xml:space="preserve">se estima erróneo el tratamiento </w:t>
      </w:r>
      <w:r w:rsidR="00A05927" w:rsidRPr="00710792">
        <w:t xml:space="preserve">técnico </w:t>
      </w:r>
      <w:r w:rsidRPr="00710792">
        <w:t xml:space="preserve">que se ha dado al matrimonio igualitario en el estado de Guanajuato, ya que si bien es cierto que se está respetando el derecho humano a la libre autodeterminación, al libre proyecto de vida y al libre desarrollo de la personalidad, no menos cierto es que el mismo no se está respetando con </w:t>
      </w:r>
      <w:r w:rsidR="00A6358F" w:rsidRPr="00710792">
        <w:t>fundamento</w:t>
      </w:r>
      <w:r w:rsidRPr="00710792">
        <w:t xml:space="preserve"> en disposiciones convencionales ni con base en interpretaciones del texto </w:t>
      </w:r>
      <w:r w:rsidR="00CE052F" w:rsidRPr="00710792">
        <w:t>constitucional</w:t>
      </w:r>
      <w:r w:rsidRPr="00710792">
        <w:t xml:space="preserve"> ni siquiera basado en la disposición de legislaciones secundarias, sino con base en un</w:t>
      </w:r>
      <w:r w:rsidR="00A05927" w:rsidRPr="00710792">
        <w:t>a circular</w:t>
      </w:r>
      <w:r w:rsidRPr="00710792">
        <w:t xml:space="preserve">, lo que </w:t>
      </w:r>
      <w:r w:rsidR="00A6358F" w:rsidRPr="00710792">
        <w:t>visibiliza</w:t>
      </w:r>
      <w:r w:rsidRPr="00710792">
        <w:t xml:space="preserve"> </w:t>
      </w:r>
      <w:r w:rsidR="00B2391F" w:rsidRPr="00710792">
        <w:t>un ejemplo del</w:t>
      </w:r>
      <w:r w:rsidRPr="00710792">
        <w:t xml:space="preserve"> evidente caos normativo que atraviesa el sistema jurídico mexicano.</w:t>
      </w:r>
    </w:p>
    <w:p w14:paraId="31DD35C0" w14:textId="7D30066C" w:rsidR="00A6358F" w:rsidRPr="00710792" w:rsidRDefault="00A6358F" w:rsidP="006768D9">
      <w:pPr>
        <w:spacing w:after="120" w:line="240" w:lineRule="auto"/>
        <w:jc w:val="both"/>
        <w:rPr>
          <w:rFonts w:ascii="Unna" w:hAnsi="Unna" w:cs="Arial"/>
          <w:b/>
          <w:bCs/>
          <w:sz w:val="24"/>
          <w:szCs w:val="24"/>
        </w:rPr>
      </w:pPr>
      <w:r w:rsidRPr="00710792">
        <w:rPr>
          <w:rFonts w:ascii="Unna" w:hAnsi="Unna" w:cs="Arial"/>
          <w:b/>
          <w:bCs/>
          <w:sz w:val="24"/>
          <w:szCs w:val="24"/>
        </w:rPr>
        <w:t xml:space="preserve">La prisión preventiva en el </w:t>
      </w:r>
      <w:r w:rsidR="007F1A07" w:rsidRPr="00710792">
        <w:rPr>
          <w:rFonts w:ascii="Unna" w:hAnsi="Unna" w:cs="Arial"/>
          <w:b/>
          <w:bCs/>
          <w:sz w:val="24"/>
          <w:szCs w:val="24"/>
        </w:rPr>
        <w:t>sistema jurídico mexican</w:t>
      </w:r>
      <w:r w:rsidR="00235E5F" w:rsidRPr="00710792">
        <w:rPr>
          <w:rFonts w:ascii="Unna" w:hAnsi="Unna" w:cs="Arial"/>
          <w:b/>
          <w:bCs/>
          <w:sz w:val="24"/>
          <w:szCs w:val="24"/>
        </w:rPr>
        <w:t>o</w:t>
      </w:r>
    </w:p>
    <w:p w14:paraId="4E37EA7C" w14:textId="467EA48A" w:rsidR="004377B1" w:rsidRPr="00710792" w:rsidRDefault="00506A1F" w:rsidP="000F279B">
      <w:pPr>
        <w:pStyle w:val="parrafonormalbiolex"/>
      </w:pPr>
      <w:r w:rsidRPr="00710792">
        <w:t>Distinto ejemplo se encuentra en las consideraciones de</w:t>
      </w:r>
      <w:r w:rsidR="00A05927" w:rsidRPr="00710792">
        <w:t xml:space="preserve"> </w:t>
      </w:r>
      <w:r w:rsidRPr="00710792">
        <w:t>l</w:t>
      </w:r>
      <w:r w:rsidR="00A05927" w:rsidRPr="00710792">
        <w:t>os</w:t>
      </w:r>
      <w:r w:rsidRPr="00710792">
        <w:t xml:space="preserve"> fallo</w:t>
      </w:r>
      <w:r w:rsidR="00A05927" w:rsidRPr="00710792">
        <w:t>s</w:t>
      </w:r>
      <w:r w:rsidRPr="00710792">
        <w:t xml:space="preserve"> emitido</w:t>
      </w:r>
      <w:r w:rsidR="00A05927" w:rsidRPr="00710792">
        <w:t>s</w:t>
      </w:r>
      <w:r w:rsidRPr="00710792">
        <w:t xml:space="preserve"> por la Corte Interamericana de Derechos Humanos en el caso García Rodríguez y Reyes Alpízar vs México</w:t>
      </w:r>
      <w:r w:rsidR="00DA557E" w:rsidRPr="00710792">
        <w:rPr>
          <w:rStyle w:val="Refdenotaalpie"/>
        </w:rPr>
        <w:footnoteReference w:id="34"/>
      </w:r>
      <w:r w:rsidRPr="00710792">
        <w:t xml:space="preserve"> y </w:t>
      </w:r>
      <w:r w:rsidR="00A05927" w:rsidRPr="00710792">
        <w:t xml:space="preserve">en </w:t>
      </w:r>
      <w:r w:rsidRPr="00710792">
        <w:t xml:space="preserve">el diverso </w:t>
      </w:r>
      <w:r w:rsidR="006D5BB5" w:rsidRPr="00710792">
        <w:t>Tzompaxtle Tecpile y otros vs. México</w:t>
      </w:r>
      <w:r w:rsidR="00DA557E" w:rsidRPr="00710792">
        <w:rPr>
          <w:rStyle w:val="Refdenotaalpie"/>
        </w:rPr>
        <w:footnoteReference w:id="35"/>
      </w:r>
      <w:r w:rsidR="00562E9B" w:rsidRPr="00710792">
        <w:t xml:space="preserve">, </w:t>
      </w:r>
      <w:r w:rsidR="006D5BB5" w:rsidRPr="00710792">
        <w:t xml:space="preserve">donde se determinó que la </w:t>
      </w:r>
      <w:r w:rsidR="00562E9B" w:rsidRPr="00710792">
        <w:t>c</w:t>
      </w:r>
      <w:r w:rsidR="006D5BB5" w:rsidRPr="00710792">
        <w:t xml:space="preserve">onstitución </w:t>
      </w:r>
      <w:r w:rsidR="00562E9B" w:rsidRPr="00710792">
        <w:t>m</w:t>
      </w:r>
      <w:r w:rsidR="006D5BB5" w:rsidRPr="00710792">
        <w:t xml:space="preserve">exicana contiene en sus postulados preceptos inconvencionales por cuanto hace a la prisión preventiva oficiosa y </w:t>
      </w:r>
      <w:r w:rsidR="004377B1" w:rsidRPr="00710792">
        <w:t>a</w:t>
      </w:r>
      <w:r w:rsidR="006D5BB5" w:rsidRPr="00710792">
        <w:t>l arraigo</w:t>
      </w:r>
      <w:r w:rsidR="004377B1" w:rsidRPr="00710792">
        <w:t xml:space="preserve">. </w:t>
      </w:r>
    </w:p>
    <w:p w14:paraId="2BBBCBF1" w14:textId="7F8C5E2D" w:rsidR="00506A1F" w:rsidRPr="00710792" w:rsidRDefault="004377B1" w:rsidP="000F279B">
      <w:pPr>
        <w:pStyle w:val="parrafonormalbiolex"/>
      </w:pPr>
      <w:r w:rsidRPr="00710792">
        <w:t>En consecuencia</w:t>
      </w:r>
      <w:r w:rsidR="00562E9B" w:rsidRPr="00710792">
        <w:t>,</w:t>
      </w:r>
      <w:r w:rsidRPr="00710792">
        <w:t xml:space="preserve"> </w:t>
      </w:r>
      <w:r w:rsidR="006D5BB5" w:rsidRPr="00710792">
        <w:t xml:space="preserve">se condenó al Estado </w:t>
      </w:r>
      <w:r w:rsidR="00562E9B" w:rsidRPr="00710792">
        <w:t>m</w:t>
      </w:r>
      <w:r w:rsidR="006D5BB5" w:rsidRPr="00710792">
        <w:t>exicano a modificar su texto constitucional para adecuarlo a los estándares internacionales</w:t>
      </w:r>
      <w:r w:rsidR="005B3890" w:rsidRPr="00710792">
        <w:t>, toda vez que se consideró a la figura de la prisión preventiva oficiosa de aplicación automática para ciertos delitos</w:t>
      </w:r>
      <w:r w:rsidR="008F0D85" w:rsidRPr="00710792">
        <w:t>,</w:t>
      </w:r>
      <w:r w:rsidR="005B3890" w:rsidRPr="00710792">
        <w:t xml:space="preserve"> sin considerar las circunstancias específicas del caso o la necesidad de la misma; y la del arraigo como una medida punitiva y no cautelar, lesiva de los derechos a la libertad personal y a la presunción de inocencia, ya que la misma se emplea para restringir la libertad antes del juicio</w:t>
      </w:r>
      <w:r w:rsidR="008F0D85" w:rsidRPr="00710792">
        <w:t>,</w:t>
      </w:r>
      <w:r w:rsidR="005B3890" w:rsidRPr="00710792">
        <w:t xml:space="preserve"> con fines investigativos</w:t>
      </w:r>
      <w:r w:rsidR="008F0D85" w:rsidRPr="00710792">
        <w:t>. D</w:t>
      </w:r>
      <w:r w:rsidR="005B3890" w:rsidRPr="00710792">
        <w:t>ichas instituciones</w:t>
      </w:r>
      <w:r w:rsidR="007A2AFA" w:rsidRPr="00710792">
        <w:t>, a criterio de la Corte Interamericana</w:t>
      </w:r>
      <w:r w:rsidR="008F0D85" w:rsidRPr="00710792">
        <w:t>,</w:t>
      </w:r>
      <w:r w:rsidR="007A2AFA" w:rsidRPr="00710792">
        <w:t xml:space="preserve"> se emplean de manera </w:t>
      </w:r>
      <w:r w:rsidR="005B3890" w:rsidRPr="00710792">
        <w:t>insipiente para compensar las deficiencias en las investigaciones penales y no así para la efectiva aplicación de justicia.</w:t>
      </w:r>
    </w:p>
    <w:p w14:paraId="0E2672EF" w14:textId="7F0F4957" w:rsidR="007A2AFA" w:rsidRPr="00710792" w:rsidRDefault="006D5BB5" w:rsidP="000F279B">
      <w:pPr>
        <w:pStyle w:val="parrafonormalbiolex"/>
      </w:pPr>
      <w:r w:rsidRPr="00710792">
        <w:t>Lo anteriormente expuesto supone un desafío de suma complejidad para las autoridades mexicanas, donde no existe un acuerdo sobre la procedencia para el acatamiento de las sentencias referidas. Por una parte, las autoridades jurisdiccionales</w:t>
      </w:r>
      <w:r w:rsidR="008F0D85" w:rsidRPr="00710792">
        <w:t>,</w:t>
      </w:r>
      <w:r w:rsidRPr="00710792">
        <w:t xml:space="preserve"> </w:t>
      </w:r>
      <w:r w:rsidR="00830EE1" w:rsidRPr="00710792">
        <w:t>en cumplimiento de las obligaciones convencionales y en ejercicio de un control difuso de convencionalidad</w:t>
      </w:r>
      <w:r w:rsidR="008F0D85" w:rsidRPr="00710792">
        <w:t>,</w:t>
      </w:r>
      <w:r w:rsidR="00830EE1" w:rsidRPr="00710792">
        <w:t xml:space="preserve"> han optado </w:t>
      </w:r>
      <w:r w:rsidR="008F0D85" w:rsidRPr="00710792">
        <w:t>—</w:t>
      </w:r>
      <w:r w:rsidR="00ED3A11" w:rsidRPr="00710792">
        <w:t>en términos generales</w:t>
      </w:r>
      <w:r w:rsidR="008F0D85" w:rsidRPr="00710792">
        <w:t>—</w:t>
      </w:r>
      <w:r w:rsidR="00ED3A11" w:rsidRPr="00710792">
        <w:t xml:space="preserve"> </w:t>
      </w:r>
      <w:r w:rsidR="00830EE1" w:rsidRPr="00710792">
        <w:t xml:space="preserve">por inaplicar las medidas de prisión preventiva oficiosa </w:t>
      </w:r>
      <w:r w:rsidR="00922744" w:rsidRPr="00710792">
        <w:t>y de arraigo</w:t>
      </w:r>
      <w:r w:rsidR="008F0D85" w:rsidRPr="00710792">
        <w:t>,</w:t>
      </w:r>
      <w:r w:rsidR="007A2AFA" w:rsidRPr="00710792">
        <w:t xml:space="preserve"> mediante el </w:t>
      </w:r>
      <w:r w:rsidR="007A2AFA" w:rsidRPr="00710792">
        <w:lastRenderedPageBreak/>
        <w:t xml:space="preserve">ejercicio de un control de convencionalidad </w:t>
      </w:r>
      <w:r w:rsidR="007A2AFA" w:rsidRPr="00710792">
        <w:rPr>
          <w:iCs/>
        </w:rPr>
        <w:t>ex</w:t>
      </w:r>
      <w:r w:rsidR="007A2AFA" w:rsidRPr="00710792">
        <w:rPr>
          <w:i/>
          <w:iCs/>
        </w:rPr>
        <w:t xml:space="preserve"> officio</w:t>
      </w:r>
      <w:r w:rsidR="00507867" w:rsidRPr="00710792">
        <w:rPr>
          <w:rStyle w:val="Refdenotaalpie"/>
          <w:i/>
          <w:iCs/>
        </w:rPr>
        <w:footnoteReference w:id="36"/>
      </w:r>
      <w:r w:rsidR="008F0D85" w:rsidRPr="00710792">
        <w:t>. Lo anterior</w:t>
      </w:r>
      <w:r w:rsidR="00ED3A11" w:rsidRPr="00710792">
        <w:t xml:space="preserve"> </w:t>
      </w:r>
      <w:r w:rsidR="007A2AFA" w:rsidRPr="00710792">
        <w:t xml:space="preserve">por considerar la aplicación de </w:t>
      </w:r>
      <w:r w:rsidR="007F1A07" w:rsidRPr="00710792">
        <w:t xml:space="preserve">dicha providencia </w:t>
      </w:r>
      <w:r w:rsidR="007A2AFA" w:rsidRPr="00710792">
        <w:t xml:space="preserve">sin que </w:t>
      </w:r>
      <w:r w:rsidR="007D6A26" w:rsidRPr="00710792">
        <w:t xml:space="preserve">medie </w:t>
      </w:r>
      <w:r w:rsidR="007A2AFA" w:rsidRPr="00710792">
        <w:t>la posibilidad de determinar la finalidad, la idoneidad, la necesidad o la proporcionalidad de la medida cautelar en cada caso, transgrede los derechos a la libertad personal, a no ser privado de la libertad arbitrariamente (artículo 7, numeral 3), al control judicial de la privación de la libertad (artículo 7, numeral 5), a la presunción de inocencia (artículo 8, numeral 2)</w:t>
      </w:r>
      <w:r w:rsidR="007D6A26" w:rsidRPr="00710792">
        <w:t xml:space="preserve"> y a</w:t>
      </w:r>
      <w:r w:rsidR="007A2AFA" w:rsidRPr="00710792">
        <w:t>l principio de igualdad y no discriminación, al introducir un trato diferente entre las personas imputadas por determinados delitos con respecto a las demás (artículo 24)</w:t>
      </w:r>
      <w:r w:rsidR="007D6A26" w:rsidRPr="00710792">
        <w:t xml:space="preserve"> todos ellos reconocidos en la Convención Americana sobre Derechos Humanos</w:t>
      </w:r>
      <w:r w:rsidR="007A2AFA" w:rsidRPr="00710792">
        <w:t>.</w:t>
      </w:r>
      <w:r w:rsidR="007A2AFA" w:rsidRPr="00710792">
        <w:rPr>
          <w:rStyle w:val="Refdenotaalpie"/>
        </w:rPr>
        <w:footnoteReference w:id="37"/>
      </w:r>
    </w:p>
    <w:p w14:paraId="425057F2" w14:textId="515E49A8" w:rsidR="00507867" w:rsidRPr="00710792" w:rsidRDefault="004377B1" w:rsidP="000F279B">
      <w:pPr>
        <w:pStyle w:val="parrafonormalbiolex"/>
      </w:pPr>
      <w:r w:rsidRPr="00710792">
        <w:t xml:space="preserve">Por su parte, </w:t>
      </w:r>
      <w:r w:rsidR="00922744" w:rsidRPr="00710792">
        <w:t xml:space="preserve">las autoridades administrativas, entendiendo por estas todas aquellas que no son materialmente jurisdiccionales y no necesariamente pertenecientes a la administración pública, </w:t>
      </w:r>
      <w:r w:rsidR="007A2AFA" w:rsidRPr="00710792">
        <w:t xml:space="preserve">no se encuentran </w:t>
      </w:r>
      <w:r w:rsidR="00922744" w:rsidRPr="00710792">
        <w:t xml:space="preserve">obligadas </w:t>
      </w:r>
      <w:r w:rsidR="007A2AFA" w:rsidRPr="00710792">
        <w:t xml:space="preserve">al acatamiento de </w:t>
      </w:r>
      <w:r w:rsidR="00922744" w:rsidRPr="00710792">
        <w:t xml:space="preserve">la jurisprudencia emitida por la Corte Interamericana de Derechos Humanos, ni </w:t>
      </w:r>
      <w:r w:rsidR="007F1A07" w:rsidRPr="00710792">
        <w:t xml:space="preserve">aquella </w:t>
      </w:r>
      <w:r w:rsidR="001A2A96" w:rsidRPr="00710792">
        <w:t>generada</w:t>
      </w:r>
      <w:r w:rsidR="007F1A07" w:rsidRPr="00710792">
        <w:t xml:space="preserve"> </w:t>
      </w:r>
      <w:r w:rsidR="00922744" w:rsidRPr="00710792">
        <w:t xml:space="preserve">por la Suprema Corte de Justicia de la Nación o </w:t>
      </w:r>
      <w:r w:rsidR="00ED00A5" w:rsidRPr="00710792">
        <w:t xml:space="preserve">por </w:t>
      </w:r>
      <w:r w:rsidR="00922744" w:rsidRPr="00710792">
        <w:t xml:space="preserve">autoridades </w:t>
      </w:r>
      <w:r w:rsidR="00507867" w:rsidRPr="00710792">
        <w:t>jurisdiccionales</w:t>
      </w:r>
      <w:r w:rsidR="00922744" w:rsidRPr="00710792">
        <w:t xml:space="preserve"> que pueden emitirla conforme al artículo 217 de la </w:t>
      </w:r>
      <w:r w:rsidR="00920537" w:rsidRPr="00710792">
        <w:t>Ley de Amparo,</w:t>
      </w:r>
      <w:r w:rsidR="00AC4D16" w:rsidRPr="00710792">
        <w:t xml:space="preserve"> </w:t>
      </w:r>
      <w:r w:rsidR="00C2187D" w:rsidRPr="00710792">
        <w:t>r</w:t>
      </w:r>
      <w:r w:rsidR="00AC4D16" w:rsidRPr="00710792">
        <w:t>eglamentaria de los artículos 103 y 107 de la Constitución Política de los Estados Unidos Mexicanos</w:t>
      </w:r>
      <w:r w:rsidRPr="00710792">
        <w:t>.</w:t>
      </w:r>
      <w:r w:rsidR="00507867" w:rsidRPr="00710792">
        <w:t xml:space="preserve"> En consecuencia, </w:t>
      </w:r>
      <w:r w:rsidR="00392FCD" w:rsidRPr="00710792">
        <w:t xml:space="preserve">para cumplir con </w:t>
      </w:r>
      <w:r w:rsidR="00C2187D" w:rsidRPr="00710792">
        <w:t xml:space="preserve">la </w:t>
      </w:r>
      <w:r w:rsidR="00392FCD" w:rsidRPr="00710792">
        <w:t>obligación constitucional y legal de fundar y motivar sus actos, basta con que citen específicamente la ley exactamente aplicable al caso</w:t>
      </w:r>
      <w:r w:rsidR="007F1A07" w:rsidRPr="00710792">
        <w:rPr>
          <w:rStyle w:val="Refdenotaalpie"/>
        </w:rPr>
        <w:footnoteReference w:id="38"/>
      </w:r>
      <w:r w:rsidR="00392FCD" w:rsidRPr="00710792">
        <w:t>, expresen las circunstancias especiales, las razones particulares o causas inmediatas y la adecuación entre los motivos aducidos y las normas</w:t>
      </w:r>
      <w:r w:rsidR="007F1A07" w:rsidRPr="00710792">
        <w:t xml:space="preserve"> aplicables</w:t>
      </w:r>
      <w:r w:rsidR="00392FCD" w:rsidRPr="00710792">
        <w:rPr>
          <w:rStyle w:val="Refdenotaalpie"/>
        </w:rPr>
        <w:footnoteReference w:id="39"/>
      </w:r>
      <w:r w:rsidR="00392FCD" w:rsidRPr="00710792">
        <w:t xml:space="preserve">, </w:t>
      </w:r>
      <w:r w:rsidR="00507867" w:rsidRPr="00710792">
        <w:t>sin que tengan la obligación de implementar los lineamientos de los fallos convencionales o del tribunal constitucional.</w:t>
      </w:r>
    </w:p>
    <w:p w14:paraId="12B88BD6" w14:textId="12E89A86" w:rsidR="00AC4D16" w:rsidRPr="00710792" w:rsidRDefault="00507867" w:rsidP="000F279B">
      <w:pPr>
        <w:pStyle w:val="parrafonormalbiolex"/>
      </w:pPr>
      <w:r w:rsidRPr="00710792">
        <w:t xml:space="preserve">En esa medida, </w:t>
      </w:r>
      <w:r w:rsidR="00AC4D16" w:rsidRPr="00710792">
        <w:t>han optado por ceñirse a lo estatuido por la propia constitución o</w:t>
      </w:r>
      <w:r w:rsidR="00C2187D" w:rsidRPr="00710792">
        <w:t>,</w:t>
      </w:r>
      <w:r w:rsidR="00AC4D16" w:rsidRPr="00710792">
        <w:t xml:space="preserve"> en su caso</w:t>
      </w:r>
      <w:r w:rsidR="00C2187D" w:rsidRPr="00710792">
        <w:t>,</w:t>
      </w:r>
      <w:r w:rsidR="00AC4D16" w:rsidRPr="00710792">
        <w:t xml:space="preserve"> por criterios de legalidad como las disposiciones contenidas en el Código Nacional de Procedimientos Penales</w:t>
      </w:r>
      <w:r w:rsidR="00E47F2A" w:rsidRPr="00710792">
        <w:rPr>
          <w:rStyle w:val="Refdenotaalpie"/>
        </w:rPr>
        <w:footnoteReference w:id="40"/>
      </w:r>
      <w:r w:rsidR="007A2AFA" w:rsidRPr="00710792">
        <w:t xml:space="preserve">, </w:t>
      </w:r>
      <w:r w:rsidR="008142DF" w:rsidRPr="00710792">
        <w:t>debido a</w:t>
      </w:r>
      <w:r w:rsidR="007A2AFA" w:rsidRPr="00710792">
        <w:t xml:space="preserve"> que</w:t>
      </w:r>
      <w:r w:rsidR="00C2187D" w:rsidRPr="00710792">
        <w:t xml:space="preserve"> —según </w:t>
      </w:r>
      <w:r w:rsidR="007A2AFA" w:rsidRPr="00710792">
        <w:t xml:space="preserve">su </w:t>
      </w:r>
      <w:r w:rsidR="00235E5F" w:rsidRPr="00710792">
        <w:t>criterio</w:t>
      </w:r>
      <w:r w:rsidR="00C2187D" w:rsidRPr="00710792">
        <w:t>—</w:t>
      </w:r>
      <w:r w:rsidR="007A2AFA" w:rsidRPr="00710792">
        <w:t xml:space="preserve">, si algún tratado internacional o resolución de un tribunal internacional, </w:t>
      </w:r>
      <w:r w:rsidR="00C7379D" w:rsidRPr="00710792">
        <w:t>en aras de</w:t>
      </w:r>
      <w:r w:rsidR="007A2AFA" w:rsidRPr="00710792">
        <w:t xml:space="preserve"> proteger un derecho fundamental, se opone a los principios o postulados</w:t>
      </w:r>
      <w:r w:rsidR="00C7379D" w:rsidRPr="00710792">
        <w:t>,</w:t>
      </w:r>
      <w:r w:rsidR="007A2AFA" w:rsidRPr="00710792">
        <w:t xml:space="preserve"> o </w:t>
      </w:r>
      <w:r w:rsidR="00C7379D" w:rsidRPr="00710792">
        <w:t xml:space="preserve">bien </w:t>
      </w:r>
      <w:r w:rsidR="007A2AFA" w:rsidRPr="00710792">
        <w:t xml:space="preserve">desconoce una restricción expresa al ejercicio de tal derecho </w:t>
      </w:r>
      <w:r w:rsidR="001D16B2" w:rsidRPr="00710792">
        <w:t>reconocido</w:t>
      </w:r>
      <w:r w:rsidR="007A2AFA" w:rsidRPr="00710792">
        <w:t xml:space="preserve"> en la </w:t>
      </w:r>
      <w:r w:rsidR="00C7379D" w:rsidRPr="00710792">
        <w:t>norma</w:t>
      </w:r>
      <w:r w:rsidR="007A2AFA" w:rsidRPr="00710792">
        <w:t xml:space="preserve"> </w:t>
      </w:r>
      <w:r w:rsidR="00C7379D" w:rsidRPr="00710792">
        <w:t>f</w:t>
      </w:r>
      <w:r w:rsidR="007A2AFA" w:rsidRPr="00710792">
        <w:t>undamental, debe prevalecer ésta por encima de aquéllos.</w:t>
      </w:r>
    </w:p>
    <w:p w14:paraId="2764B9B2" w14:textId="0D6AF04D" w:rsidR="006D5BB5" w:rsidRPr="00710792" w:rsidRDefault="00507867" w:rsidP="000F279B">
      <w:pPr>
        <w:pStyle w:val="parrafonormalbiolex"/>
      </w:pPr>
      <w:r w:rsidRPr="00710792">
        <w:t>Bajo este orden de ideas</w:t>
      </w:r>
      <w:r w:rsidR="00AC4D16" w:rsidRPr="00710792">
        <w:t xml:space="preserve">, </w:t>
      </w:r>
      <w:r w:rsidR="00235E5F" w:rsidRPr="00710792">
        <w:t xml:space="preserve">en </w:t>
      </w:r>
      <w:r w:rsidR="00AC4D16" w:rsidRPr="00710792">
        <w:t xml:space="preserve">la primera sesión ordinaria </w:t>
      </w:r>
      <w:r w:rsidR="000E3906" w:rsidRPr="00710792">
        <w:t xml:space="preserve">de </w:t>
      </w:r>
      <w:r w:rsidR="00AC4D16" w:rsidRPr="00710792">
        <w:t xml:space="preserve">2023 de la Conferencia Nacional de Procuración de Justicia de las </w:t>
      </w:r>
      <w:r w:rsidR="00C2187D" w:rsidRPr="00710792">
        <w:t>z</w:t>
      </w:r>
      <w:r w:rsidR="00AC4D16" w:rsidRPr="00710792">
        <w:t xml:space="preserve">onas </w:t>
      </w:r>
      <w:r w:rsidR="00C2187D" w:rsidRPr="00710792">
        <w:t>c</w:t>
      </w:r>
      <w:r w:rsidR="001D16B2" w:rsidRPr="00710792">
        <w:t xml:space="preserve">entro, </w:t>
      </w:r>
      <w:r w:rsidR="00C2187D" w:rsidRPr="00710792">
        <w:t>n</w:t>
      </w:r>
      <w:r w:rsidR="00AC4D16" w:rsidRPr="00710792">
        <w:t xml:space="preserve">oreste y </w:t>
      </w:r>
      <w:r w:rsidR="00C2187D" w:rsidRPr="00710792">
        <w:t>n</w:t>
      </w:r>
      <w:r w:rsidR="00AC4D16" w:rsidRPr="00710792">
        <w:t xml:space="preserve">oroeste, </w:t>
      </w:r>
      <w:r w:rsidR="00C2187D" w:rsidRPr="00710792">
        <w:t>o</w:t>
      </w:r>
      <w:r w:rsidR="001D16B2" w:rsidRPr="00710792">
        <w:t xml:space="preserve">ccidente y </w:t>
      </w:r>
      <w:r w:rsidR="00C2187D" w:rsidRPr="00710792">
        <w:t>s</w:t>
      </w:r>
      <w:r w:rsidR="001D16B2" w:rsidRPr="00710792">
        <w:t>ureste</w:t>
      </w:r>
      <w:r w:rsidR="00C2187D" w:rsidRPr="00710792">
        <w:t>,</w:t>
      </w:r>
      <w:r w:rsidR="001B51CB" w:rsidRPr="00710792">
        <w:t xml:space="preserve"> </w:t>
      </w:r>
      <w:r w:rsidRPr="00710792">
        <w:t xml:space="preserve">se </w:t>
      </w:r>
      <w:r w:rsidR="00AC4D16" w:rsidRPr="00710792">
        <w:t>ha</w:t>
      </w:r>
      <w:r w:rsidR="001D16B2" w:rsidRPr="00710792">
        <w:t>n</w:t>
      </w:r>
      <w:r w:rsidR="00AC4D16" w:rsidRPr="00710792">
        <w:t xml:space="preserve"> </w:t>
      </w:r>
      <w:r w:rsidR="00AC4D16" w:rsidRPr="00710792">
        <w:lastRenderedPageBreak/>
        <w:t>emitido pronunciamiento</w:t>
      </w:r>
      <w:r w:rsidR="001D16B2" w:rsidRPr="00710792">
        <w:t>s</w:t>
      </w:r>
      <w:r w:rsidR="00AC4D16" w:rsidRPr="00710792">
        <w:t xml:space="preserve"> </w:t>
      </w:r>
      <w:r w:rsidR="00235E5F" w:rsidRPr="00710792">
        <w:t xml:space="preserve">que se encuentran plasmados </w:t>
      </w:r>
      <w:r w:rsidR="00AC4D16" w:rsidRPr="00710792">
        <w:t xml:space="preserve">en </w:t>
      </w:r>
      <w:r w:rsidR="001D16B2" w:rsidRPr="00710792">
        <w:t xml:space="preserve">las </w:t>
      </w:r>
      <w:r w:rsidR="001B51CB" w:rsidRPr="00710792">
        <w:t>correspondientes</w:t>
      </w:r>
      <w:r w:rsidR="001D16B2" w:rsidRPr="00710792">
        <w:t xml:space="preserve"> </w:t>
      </w:r>
      <w:r w:rsidR="00AC4D16" w:rsidRPr="00710792">
        <w:t>acta</w:t>
      </w:r>
      <w:r w:rsidR="001D16B2" w:rsidRPr="00710792">
        <w:t>s</w:t>
      </w:r>
      <w:r w:rsidR="00AC4D16" w:rsidRPr="00710792">
        <w:t xml:space="preserve"> de sesión de dicha</w:t>
      </w:r>
      <w:r w:rsidR="001D16B2" w:rsidRPr="00710792">
        <w:t>s</w:t>
      </w:r>
      <w:r w:rsidR="00AC4D16" w:rsidRPr="00710792">
        <w:t xml:space="preserve"> reun</w:t>
      </w:r>
      <w:r w:rsidR="001D16B2" w:rsidRPr="00710792">
        <w:t>iones</w:t>
      </w:r>
      <w:r w:rsidR="00AC4D16" w:rsidRPr="00710792">
        <w:t xml:space="preserve">, </w:t>
      </w:r>
      <w:r w:rsidR="001B51CB" w:rsidRPr="00710792">
        <w:t>las</w:t>
      </w:r>
      <w:r w:rsidR="00B65AC7" w:rsidRPr="00710792">
        <w:t xml:space="preserve"> cuales sustancialmente refieren lo siguiente</w:t>
      </w:r>
      <w:r w:rsidR="00AC4D16" w:rsidRPr="00710792">
        <w:t xml:space="preserve">: </w:t>
      </w:r>
    </w:p>
    <w:p w14:paraId="0F594A24" w14:textId="191D9B12" w:rsidR="004919D5" w:rsidRPr="00710792" w:rsidRDefault="001D16B2" w:rsidP="000F279B">
      <w:pPr>
        <w:pStyle w:val="Citalarga"/>
      </w:pPr>
      <w:r w:rsidRPr="00710792">
        <w:t xml:space="preserve">(…) </w:t>
      </w:r>
      <w:r w:rsidR="00AC4D16" w:rsidRPr="00710792">
        <w:t>PRISIÓN PREVENTIVA OFICIOSA EN EL SISTEMA INTERAMERICANO.</w:t>
      </w:r>
      <w:r w:rsidRPr="00710792">
        <w:t xml:space="preserve"> (…)</w:t>
      </w:r>
      <w:r w:rsidR="00AC4D16" w:rsidRPr="00710792">
        <w:t xml:space="preserve"> acordamos que mientras el constituyente permanente no reforme el artículo 19 constitucional o la Suprema Corte de Justicia de la Nación adopte un criterio obligatorio que inaplique la prisión preventiva oficiosa, el Ministerio Público debe seguir solicitando su aplicación y generar estrategias para lograr la justificación de la medida cuando sea necesario.</w:t>
      </w:r>
      <w:r w:rsidR="00340040" w:rsidRPr="00710792">
        <w:rPr>
          <w:rStyle w:val="Refdenotaalpie"/>
          <w:rFonts w:ascii="Unna" w:hAnsi="Unna"/>
          <w:iCs/>
          <w:sz w:val="24"/>
          <w:szCs w:val="24"/>
        </w:rPr>
        <w:footnoteReference w:id="41"/>
      </w:r>
    </w:p>
    <w:p w14:paraId="2AEE4877" w14:textId="0B41F70F" w:rsidR="001D16B2" w:rsidRPr="00710792" w:rsidRDefault="00C2187D" w:rsidP="000F279B">
      <w:pPr>
        <w:pStyle w:val="parrafonormalbiolex"/>
      </w:pPr>
      <w:r w:rsidRPr="00710792">
        <w:t xml:space="preserve">La anterior cuestión se </w:t>
      </w:r>
      <w:r w:rsidR="001D16B2" w:rsidRPr="00710792">
        <w:t>encuentra sustentada</w:t>
      </w:r>
      <w:r w:rsidRPr="00710792">
        <w:t>,</w:t>
      </w:r>
      <w:r w:rsidR="001D16B2" w:rsidRPr="00710792">
        <w:t xml:space="preserve"> además</w:t>
      </w:r>
      <w:r w:rsidRPr="00710792">
        <w:t>,</w:t>
      </w:r>
      <w:r w:rsidR="001D16B2" w:rsidRPr="00710792">
        <w:t xml:space="preserve"> con lo </w:t>
      </w:r>
      <w:r w:rsidR="00B65AC7" w:rsidRPr="00710792">
        <w:t>acordado</w:t>
      </w:r>
      <w:r w:rsidR="001D16B2" w:rsidRPr="00710792">
        <w:t xml:space="preserve"> </w:t>
      </w:r>
      <w:r w:rsidRPr="00710792">
        <w:t xml:space="preserve">en </w:t>
      </w:r>
      <w:r w:rsidR="001D16B2" w:rsidRPr="00710792">
        <w:t>el acta de sesión de la XLIX Asamblea Plenaria de la Conferencia Nacional de Procuración de Justicia</w:t>
      </w:r>
      <w:r w:rsidRPr="00710792">
        <w:t>,</w:t>
      </w:r>
      <w:r w:rsidR="001D16B2" w:rsidRPr="00710792">
        <w:t xml:space="preserve"> celebrada el pasado 24 de noviembre de 2023, donde en su segundo punto de acuerdo se determinó</w:t>
      </w:r>
      <w:r w:rsidRPr="00710792">
        <w:t xml:space="preserve"> que</w:t>
      </w:r>
      <w:r w:rsidR="001D16B2" w:rsidRPr="00710792">
        <w:t>:</w:t>
      </w:r>
    </w:p>
    <w:p w14:paraId="3BC10697" w14:textId="7CD815F0" w:rsidR="001D16B2" w:rsidRPr="00710792" w:rsidRDefault="00AA370E" w:rsidP="000F279B">
      <w:pPr>
        <w:pStyle w:val="Citalarga"/>
      </w:pPr>
      <w:r w:rsidRPr="00710792">
        <w:t>CNPJ/XLIX/02/2023. SITUACIÓN ACTUAL DE LA PRISIÓN PREVENTIVA. Las personas integrantes de la Asamblea Plenaria de la Conferencia Nacional de Procuración de Justicia, en defensa de la supremacía constitucional y de los derechos fundamentales de las personas víctimas del delito, acordamos pronunciarnos ante la Suprema Corte de Justicia de la Nación para que prevalezca la prisión preventiva y se emitan criterios que establezcan los requisitos para justificar y revisar la medida cautelar.</w:t>
      </w:r>
      <w:r w:rsidRPr="00710792">
        <w:rPr>
          <w:rStyle w:val="Refdenotaalpie"/>
          <w:rFonts w:ascii="Unna" w:hAnsi="Unna"/>
          <w:iCs/>
          <w:sz w:val="24"/>
          <w:szCs w:val="24"/>
        </w:rPr>
        <w:footnoteReference w:id="42"/>
      </w:r>
    </w:p>
    <w:p w14:paraId="38BE615A" w14:textId="77777777" w:rsidR="00AA370E" w:rsidRPr="00710792" w:rsidRDefault="00A31DE3" w:rsidP="000F279B">
      <w:pPr>
        <w:pStyle w:val="parrafonormalbiolex"/>
      </w:pPr>
      <w:r w:rsidRPr="00710792">
        <w:t>Al respecto, conviene repensar los postulados de la convencionalidad, la constitucionalidad y la legalidad a efecto de otorgar la solución jurídica correcta, teniendo como canon de solución el respeto irrestricto a derechos humanos.</w:t>
      </w:r>
    </w:p>
    <w:p w14:paraId="4B225B73" w14:textId="48869B05" w:rsidR="00AA370E" w:rsidRPr="00710792" w:rsidRDefault="00170A1B" w:rsidP="000F279B">
      <w:pPr>
        <w:pStyle w:val="parrafonormalbiolex"/>
        <w:rPr>
          <w:i/>
          <w:iCs/>
        </w:rPr>
      </w:pPr>
      <w:r w:rsidRPr="00710792">
        <w:t xml:space="preserve">Sin perjuicio de lo anterior, </w:t>
      </w:r>
      <w:r w:rsidR="00AA370E" w:rsidRPr="00710792">
        <w:t xml:space="preserve">pudiera </w:t>
      </w:r>
      <w:r w:rsidR="009F3A99" w:rsidRPr="00710792">
        <w:t xml:space="preserve">llegar a </w:t>
      </w:r>
      <w:r w:rsidR="00AA370E" w:rsidRPr="00710792">
        <w:t>considerarse</w:t>
      </w:r>
      <w:r w:rsidRPr="00710792">
        <w:t xml:space="preserve"> que la condena efectuada por la Corte Interamericana de Derechos Humanos en contra del Estado Mexicano es una invasión a la soberanía nacional, </w:t>
      </w:r>
      <w:r w:rsidR="008142DF" w:rsidRPr="00710792">
        <w:t>en virtud de</w:t>
      </w:r>
      <w:r w:rsidRPr="00710792">
        <w:t xml:space="preserve"> que en la conformación del Estado es el pueblo mexicano</w:t>
      </w:r>
      <w:r w:rsidR="00650209" w:rsidRPr="00710792">
        <w:t>,</w:t>
      </w:r>
      <w:r w:rsidRPr="00710792">
        <w:t xml:space="preserve"> quien a través del constituyente originario permite su representación por medio de mandatarios como lo son el </w:t>
      </w:r>
      <w:r w:rsidR="00650209" w:rsidRPr="00710792">
        <w:t>p</w:t>
      </w:r>
      <w:r w:rsidRPr="00710792">
        <w:t xml:space="preserve">residente de la </w:t>
      </w:r>
      <w:r w:rsidR="00650209" w:rsidRPr="00710792">
        <w:t>r</w:t>
      </w:r>
      <w:r w:rsidRPr="00710792">
        <w:t xml:space="preserve">epública, los </w:t>
      </w:r>
      <w:r w:rsidR="00650209" w:rsidRPr="00710792">
        <w:t>d</w:t>
      </w:r>
      <w:r w:rsidRPr="00710792">
        <w:t xml:space="preserve">iputados y los </w:t>
      </w:r>
      <w:r w:rsidR="00650209" w:rsidRPr="00710792">
        <w:t>s</w:t>
      </w:r>
      <w:r w:rsidRPr="00710792">
        <w:t>enadores</w:t>
      </w:r>
      <w:r w:rsidR="00927A8F" w:rsidRPr="00710792">
        <w:t xml:space="preserve">, de ahí que, por lo menos a primera vista, si no es voluntad del pueblo mexicano y de sus representantes reformar su texto constitucional, </w:t>
      </w:r>
      <w:r w:rsidR="003B7225" w:rsidRPr="00710792">
        <w:t>no puede existir una obligación a efectuar dicha enmienda</w:t>
      </w:r>
      <w:r w:rsidR="009F3A99" w:rsidRPr="00710792">
        <w:t xml:space="preserve">. No obstante, se debe tener presente </w:t>
      </w:r>
      <w:r w:rsidR="00ED27C6" w:rsidRPr="00710792">
        <w:t xml:space="preserve">lo estatuido por </w:t>
      </w:r>
      <w:r w:rsidR="00927A8F" w:rsidRPr="00710792">
        <w:t xml:space="preserve">la </w:t>
      </w:r>
      <w:r w:rsidR="003B7225" w:rsidRPr="00710792">
        <w:t>Convención de Viena sobre el derecho de los tratados</w:t>
      </w:r>
      <w:r w:rsidR="00650209" w:rsidRPr="00710792">
        <w:t>;</w:t>
      </w:r>
      <w:r w:rsidR="003B7225" w:rsidRPr="00710792">
        <w:t xml:space="preserve"> en su parte III, sección primera, apartado 27, menciona que </w:t>
      </w:r>
      <w:r w:rsidR="003B7225" w:rsidRPr="00710792">
        <w:rPr>
          <w:iCs/>
        </w:rPr>
        <w:t>“Una parte no podrá invocar las disposiciones de su derecho interno como justificación del incumplimiento de un tratado.”</w:t>
      </w:r>
      <w:r w:rsidR="003B7225" w:rsidRPr="00710792">
        <w:rPr>
          <w:rStyle w:val="Refdenotaalpie"/>
          <w:iCs/>
        </w:rPr>
        <w:footnoteReference w:id="43"/>
      </w:r>
    </w:p>
    <w:p w14:paraId="1910A326" w14:textId="360FB9D8" w:rsidR="00AC4D16" w:rsidRPr="00710792" w:rsidRDefault="003B7225" w:rsidP="000F279B">
      <w:pPr>
        <w:pStyle w:val="parrafonormalbiolex"/>
      </w:pPr>
      <w:r w:rsidRPr="00710792">
        <w:lastRenderedPageBreak/>
        <w:t>De la anterior transcripción es posible advertir que</w:t>
      </w:r>
      <w:r w:rsidR="0000222A" w:rsidRPr="00710792">
        <w:t xml:space="preserve"> </w:t>
      </w:r>
      <w:r w:rsidRPr="00710792">
        <w:t>una vez suscrito un tratado internacional por el ejecutivo y siendo ratificado por el senado de conformidad con la convención en cita</w:t>
      </w:r>
      <w:r w:rsidR="00650209" w:rsidRPr="00710792">
        <w:t>,</w:t>
      </w:r>
      <w:r w:rsidR="0000222A" w:rsidRPr="00710792">
        <w:t xml:space="preserve"> se debe acatar a la adhesión y al cumplimiento cabal del mismo, por lo que, </w:t>
      </w:r>
      <w:r w:rsidR="009F3A99" w:rsidRPr="00710792">
        <w:t xml:space="preserve">en caso de que </w:t>
      </w:r>
      <w:r w:rsidRPr="00710792">
        <w:t xml:space="preserve">el Estado Mexicano </w:t>
      </w:r>
      <w:r w:rsidR="009F3A99" w:rsidRPr="00710792">
        <w:t xml:space="preserve">no hubiese estado de acuerdo </w:t>
      </w:r>
      <w:r w:rsidR="00B26C02" w:rsidRPr="00710792">
        <w:t>con</w:t>
      </w:r>
      <w:r w:rsidR="009F3A99" w:rsidRPr="00710792">
        <w:t xml:space="preserve"> determinado precepto </w:t>
      </w:r>
      <w:r w:rsidR="0000222A" w:rsidRPr="00710792">
        <w:t>de cualquier tratado, debió haberse abstenido de suscribirlo</w:t>
      </w:r>
      <w:r w:rsidR="00847EC1" w:rsidRPr="00710792">
        <w:t>,</w:t>
      </w:r>
      <w:r w:rsidR="0000222A" w:rsidRPr="00710792">
        <w:t xml:space="preserve"> o bien</w:t>
      </w:r>
      <w:r w:rsidR="00847EC1" w:rsidRPr="00710792">
        <w:t>,</w:t>
      </w:r>
      <w:r w:rsidR="0000222A" w:rsidRPr="00710792">
        <w:t xml:space="preserve"> haberlo hecho con reserva</w:t>
      </w:r>
      <w:r w:rsidR="00847EC1" w:rsidRPr="00710792">
        <w:t>.</w:t>
      </w:r>
      <w:r w:rsidR="0000222A" w:rsidRPr="00710792">
        <w:t xml:space="preserve"> </w:t>
      </w:r>
      <w:r w:rsidR="00847EC1" w:rsidRPr="00710792">
        <w:t>T</w:t>
      </w:r>
      <w:r w:rsidR="0000222A" w:rsidRPr="00710792">
        <w:t xml:space="preserve">oda vez que se </w:t>
      </w:r>
      <w:r w:rsidR="00235E5F" w:rsidRPr="00710792">
        <w:t>re</w:t>
      </w:r>
      <w:r w:rsidR="0000222A" w:rsidRPr="00710792">
        <w:t xml:space="preserve">itera, </w:t>
      </w:r>
      <w:r w:rsidRPr="00710792">
        <w:t xml:space="preserve">no </w:t>
      </w:r>
      <w:r w:rsidR="0000222A" w:rsidRPr="00710792">
        <w:t xml:space="preserve">es posible </w:t>
      </w:r>
      <w:r w:rsidRPr="00710792">
        <w:t xml:space="preserve">alegar preceptos de derecho interno para incumplir con las disposiciones de </w:t>
      </w:r>
      <w:r w:rsidR="0000222A" w:rsidRPr="00710792">
        <w:t xml:space="preserve">los tratados internacionales, lo que además se encuentra robustecido con </w:t>
      </w:r>
      <w:r w:rsidRPr="00710792">
        <w:t xml:space="preserve">las sentencias de la Corte Interamericana de Derechos Humanos </w:t>
      </w:r>
      <w:r w:rsidR="00847EC1" w:rsidRPr="00710792">
        <w:t>—</w:t>
      </w:r>
      <w:r w:rsidR="0000222A" w:rsidRPr="00710792">
        <w:t xml:space="preserve">comprendidas como </w:t>
      </w:r>
      <w:r w:rsidR="00FF5233" w:rsidRPr="00710792">
        <w:t xml:space="preserve">una extensión de la Convención Americana </w:t>
      </w:r>
      <w:r w:rsidR="00ED27C6" w:rsidRPr="00710792">
        <w:t>sobre</w:t>
      </w:r>
      <w:r w:rsidR="00FF5233" w:rsidRPr="00710792">
        <w:t xml:space="preserve"> Derechos Humanos</w:t>
      </w:r>
      <w:r w:rsidR="00847EC1" w:rsidRPr="00710792">
        <w:t>—</w:t>
      </w:r>
      <w:r w:rsidR="00FF5233" w:rsidRPr="00710792">
        <w:t xml:space="preserve">, tal como fue reconocido por el Estado </w:t>
      </w:r>
      <w:r w:rsidR="00847EC1" w:rsidRPr="00710792">
        <w:t>m</w:t>
      </w:r>
      <w:r w:rsidR="00FF5233" w:rsidRPr="00710792">
        <w:t>exicano en el expediente varios 912/2010</w:t>
      </w:r>
      <w:r w:rsidR="00847EC1" w:rsidRPr="00710792">
        <w:t>,</w:t>
      </w:r>
      <w:r w:rsidR="00FF5233" w:rsidRPr="00710792">
        <w:t xml:space="preserve"> mencionado supralíneas</w:t>
      </w:r>
      <w:r w:rsidR="0000222A" w:rsidRPr="00710792">
        <w:t xml:space="preserve">. En consecuencia, </w:t>
      </w:r>
      <w:r w:rsidR="00FF5233" w:rsidRPr="00710792">
        <w:t>el Estado se encuentra ineludiblemente compelido al acatamiento del fallo convencional</w:t>
      </w:r>
      <w:r w:rsidR="00847EC1" w:rsidRPr="00710792">
        <w:t xml:space="preserve">, </w:t>
      </w:r>
      <w:r w:rsidR="00756492" w:rsidRPr="00710792">
        <w:t xml:space="preserve">a menos que de conformidad con el </w:t>
      </w:r>
      <w:r w:rsidR="00847EC1" w:rsidRPr="00710792">
        <w:t>número</w:t>
      </w:r>
      <w:r w:rsidR="00756492" w:rsidRPr="00710792">
        <w:t xml:space="preserve"> 56 de la referida Convención de Viena realice la declaratoria de denuncia de la Convención Americana sobre Derechos Humanos (CADH), lo que se considera contrario al orden jurídico constitucional y a la política internacional del estado mexicano.</w:t>
      </w:r>
    </w:p>
    <w:p w14:paraId="67B08AE0" w14:textId="4624FCF9" w:rsidR="00B34652" w:rsidRPr="00710792" w:rsidRDefault="00756492" w:rsidP="000F279B">
      <w:pPr>
        <w:pStyle w:val="parrafonormalbiolex"/>
      </w:pPr>
      <w:r w:rsidRPr="00710792">
        <w:t>Por el contrario</w:t>
      </w:r>
      <w:r w:rsidR="00FF5233" w:rsidRPr="00710792">
        <w:t>,</w:t>
      </w:r>
      <w:r w:rsidRPr="00710792">
        <w:t xml:space="preserve"> a </w:t>
      </w:r>
      <w:r w:rsidR="00242474" w:rsidRPr="00710792">
        <w:t xml:space="preserve">nuestro </w:t>
      </w:r>
      <w:r w:rsidRPr="00710792">
        <w:t xml:space="preserve">criterio, </w:t>
      </w:r>
      <w:r w:rsidR="00FF5233" w:rsidRPr="00710792">
        <w:t xml:space="preserve">se estima que la modificación </w:t>
      </w:r>
      <w:r w:rsidR="00B34652" w:rsidRPr="00710792">
        <w:t xml:space="preserve">al texto constitucional traería aparejado un patente beneficio a la protección de Derechos Humanos </w:t>
      </w:r>
      <w:r w:rsidR="00C7379D" w:rsidRPr="00710792">
        <w:t>de conformidad</w:t>
      </w:r>
      <w:r w:rsidR="00B34652" w:rsidRPr="00710792">
        <w:t xml:space="preserve"> con los compromisos asumidos por el Estado </w:t>
      </w:r>
      <w:r w:rsidR="00847EC1" w:rsidRPr="00710792">
        <w:t>m</w:t>
      </w:r>
      <w:r w:rsidR="00B34652" w:rsidRPr="00710792">
        <w:t>exicano</w:t>
      </w:r>
      <w:r w:rsidR="00847EC1" w:rsidRPr="00710792">
        <w:t xml:space="preserve">, </w:t>
      </w:r>
      <w:r w:rsidR="00B34652" w:rsidRPr="00710792">
        <w:t xml:space="preserve">a raíz de </w:t>
      </w:r>
      <w:r w:rsidR="00EB6722" w:rsidRPr="00710792">
        <w:t>la multicitada reforma constitucional</w:t>
      </w:r>
      <w:r w:rsidR="00B34652" w:rsidRPr="00710792">
        <w:t xml:space="preserve"> de 2011 y bajo el paradigma de regular las actuaciones públicas de tal modo que redunden en el mayor beneficio para los gobernados.</w:t>
      </w:r>
    </w:p>
    <w:p w14:paraId="3B10B8E6" w14:textId="6429A090" w:rsidR="00ED27C6" w:rsidRPr="00710792" w:rsidRDefault="00DA5214" w:rsidP="000F279B">
      <w:pPr>
        <w:pStyle w:val="parrafonormalbiolex"/>
      </w:pPr>
      <w:r w:rsidRPr="00710792">
        <w:t xml:space="preserve">Desde luego, la pretensión consiste en apuntalar como eje rector del quehacer estadual el respeto irrestricto a los </w:t>
      </w:r>
      <w:r w:rsidR="00AF747C" w:rsidRPr="00710792">
        <w:t xml:space="preserve">derechos humanos </w:t>
      </w:r>
      <w:r w:rsidRPr="00710792">
        <w:t>de los gobernados</w:t>
      </w:r>
      <w:r w:rsidR="006663D7" w:rsidRPr="00710792">
        <w:t xml:space="preserve">, donde se estima propio adecuar los estándares convencionales y </w:t>
      </w:r>
      <w:r w:rsidR="00BD7110" w:rsidRPr="00710792">
        <w:t>constitucionales</w:t>
      </w:r>
      <w:r w:rsidR="006663D7" w:rsidRPr="00710792">
        <w:t xml:space="preserve"> evitando la pugna de disposiciones normativas</w:t>
      </w:r>
      <w:r w:rsidR="00BD7110" w:rsidRPr="00710792">
        <w:t>, de las cuales aún hay presencia</w:t>
      </w:r>
      <w:r w:rsidR="003E1E48" w:rsidRPr="00710792">
        <w:rPr>
          <w:rStyle w:val="Refdenotaalpie"/>
        </w:rPr>
        <w:footnoteReference w:id="44"/>
      </w:r>
      <w:r w:rsidR="00ED27C6" w:rsidRPr="00710792">
        <w:t>.</w:t>
      </w:r>
    </w:p>
    <w:p w14:paraId="199EF4C2" w14:textId="56D5B3AC" w:rsidR="00ED27C6" w:rsidRPr="00710792" w:rsidRDefault="00ED27C6" w:rsidP="006768D9">
      <w:pPr>
        <w:spacing w:before="120" w:after="120" w:line="240" w:lineRule="auto"/>
        <w:jc w:val="both"/>
        <w:rPr>
          <w:rFonts w:ascii="Unna" w:hAnsi="Unna" w:cs="Arial"/>
          <w:b/>
          <w:bCs/>
          <w:sz w:val="24"/>
          <w:szCs w:val="24"/>
        </w:rPr>
      </w:pPr>
      <w:r w:rsidRPr="00710792">
        <w:rPr>
          <w:rFonts w:ascii="Unna" w:hAnsi="Unna" w:cs="Arial"/>
          <w:b/>
          <w:bCs/>
          <w:sz w:val="24"/>
          <w:szCs w:val="24"/>
        </w:rPr>
        <w:t>Separación injustificada de cargos púbicos</w:t>
      </w:r>
      <w:r w:rsidR="00427056" w:rsidRPr="00710792">
        <w:rPr>
          <w:rFonts w:ascii="Unna" w:hAnsi="Unna" w:cs="Arial"/>
          <w:b/>
          <w:bCs/>
          <w:sz w:val="24"/>
          <w:szCs w:val="24"/>
        </w:rPr>
        <w:t>: imposibilidad de reinstauración.</w:t>
      </w:r>
    </w:p>
    <w:p w14:paraId="1118D625" w14:textId="5591BD09" w:rsidR="004919D5" w:rsidRDefault="00EB6722" w:rsidP="000F279B">
      <w:pPr>
        <w:pStyle w:val="parrafonormalbiolex"/>
      </w:pPr>
      <w:r w:rsidRPr="00710792">
        <w:t xml:space="preserve">Finalmente, se estima propio explicitar </w:t>
      </w:r>
      <w:r w:rsidR="007117C2" w:rsidRPr="00710792">
        <w:t xml:space="preserve">2 ejemplos sobre </w:t>
      </w:r>
      <w:r w:rsidRPr="00710792">
        <w:t>la pugna de disposiciones normativas constitucionales y convencionales</w:t>
      </w:r>
      <w:r w:rsidR="00AF747C" w:rsidRPr="00710792">
        <w:t>. E</w:t>
      </w:r>
      <w:r w:rsidR="007117C2" w:rsidRPr="00710792">
        <w:t>l primero de ellos</w:t>
      </w:r>
      <w:r w:rsidRPr="00710792">
        <w:t xml:space="preserve"> en el caso </w:t>
      </w:r>
      <w:r w:rsidR="00BD7110" w:rsidRPr="00710792">
        <w:t xml:space="preserve">de lo dispuesto por el artículo 123, apartado </w:t>
      </w:r>
      <w:r w:rsidR="006C5418" w:rsidRPr="00710792">
        <w:t>B</w:t>
      </w:r>
      <w:r w:rsidR="00BD7110" w:rsidRPr="00710792">
        <w:t>, fracción XIII del texto constitucional, mismo que refiere:</w:t>
      </w:r>
    </w:p>
    <w:p w14:paraId="3D6EF443" w14:textId="77777777" w:rsidR="006768D9" w:rsidRPr="00710792" w:rsidRDefault="006768D9" w:rsidP="000F279B">
      <w:pPr>
        <w:pStyle w:val="parrafonormalbiolex"/>
      </w:pPr>
    </w:p>
    <w:p w14:paraId="50C536F4" w14:textId="58B30DF6" w:rsidR="004919D5" w:rsidRPr="00710792" w:rsidRDefault="00BD7110" w:rsidP="000F279B">
      <w:pPr>
        <w:pStyle w:val="Citalarga"/>
      </w:pPr>
      <w:r w:rsidRPr="00710792">
        <w:t>…</w:t>
      </w:r>
      <w:r w:rsidR="004919D5" w:rsidRPr="00710792">
        <w:t xml:space="preserve">XIII. Los agentes del Ministerio Público, los peritos y los miembros de las instituciones policiales de la Federación, las entidades federativas y los Municipios, podrán ser separados de sus cargos si no cumplen con los requisitos que las leyes vigentes en el momento del acto señalen para permanecer en dichas instituciones, o removidos por incurrir en responsabilidad en el desempeño de sus funciones. Si la autoridad jurisdiccional resolviere que la separación, remoción, baja, cese o cualquier otra forma de terminación del servicio fue injustificada, el Estado sólo estará obligado a pagar la indemnización y demás prestaciones a que tenga </w:t>
      </w:r>
      <w:r w:rsidR="004919D5" w:rsidRPr="00710792">
        <w:lastRenderedPageBreak/>
        <w:t>derecho, sin que en ningún caso proceda su reincorporación al servicio, cualquiera que sea el resultado del juicio o medio de defensa que se hubiere promovido.</w:t>
      </w:r>
      <w:r w:rsidRPr="00710792">
        <w:t xml:space="preserve"> …</w:t>
      </w:r>
      <w:r w:rsidR="00340040" w:rsidRPr="00710792">
        <w:rPr>
          <w:rStyle w:val="Refdenotaalpie"/>
          <w:rFonts w:ascii="Unna" w:hAnsi="Unna"/>
          <w:iCs/>
          <w:sz w:val="24"/>
          <w:szCs w:val="24"/>
        </w:rPr>
        <w:footnoteReference w:id="45"/>
      </w:r>
    </w:p>
    <w:p w14:paraId="74B3C7D9" w14:textId="16D3437F" w:rsidR="008903A9" w:rsidRPr="00710792" w:rsidRDefault="00BD7110" w:rsidP="000F279B">
      <w:pPr>
        <w:pStyle w:val="parrafonormalbiolex"/>
      </w:pPr>
      <w:bookmarkStart w:id="14" w:name="_Hlk216712505"/>
      <w:r w:rsidRPr="00710792">
        <w:t xml:space="preserve">El precepto normativo transcrito se estima inconvencional </w:t>
      </w:r>
      <w:r w:rsidR="00396FBC" w:rsidRPr="00710792">
        <w:t xml:space="preserve">por ser violatorio de diversos preceptos de la Convención Americana </w:t>
      </w:r>
      <w:r w:rsidR="00EB6722" w:rsidRPr="00710792">
        <w:t>sobre</w:t>
      </w:r>
      <w:r w:rsidR="00396FBC" w:rsidRPr="00710792">
        <w:t xml:space="preserve"> Derechos Humanos </w:t>
      </w:r>
      <w:bookmarkEnd w:id="14"/>
      <w:r w:rsidR="00396FBC" w:rsidRPr="00710792">
        <w:t xml:space="preserve">y </w:t>
      </w:r>
      <w:r w:rsidR="00B23272" w:rsidRPr="00710792">
        <w:t xml:space="preserve">de </w:t>
      </w:r>
      <w:r w:rsidR="00396FBC" w:rsidRPr="00710792">
        <w:t xml:space="preserve">otros instrumentos internacionales que conforman el cuerpo jurídico interamericano </w:t>
      </w:r>
      <w:r w:rsidR="00EF466C" w:rsidRPr="00710792">
        <w:t xml:space="preserve">por transgredir, entre otros, el derecho </w:t>
      </w:r>
      <w:r w:rsidR="00396FBC" w:rsidRPr="00710792">
        <w:t>a la libertad de trabajo</w:t>
      </w:r>
      <w:r w:rsidR="00EF466C" w:rsidRPr="00710792">
        <w:t>, a las condiciones equitativas de este y a la protección contra el desempleo</w:t>
      </w:r>
      <w:r w:rsidR="00AF747C" w:rsidRPr="00710792">
        <w:t>. P</w:t>
      </w:r>
      <w:r w:rsidR="00EF466C" w:rsidRPr="00710792">
        <w:t xml:space="preserve">ese a encontrarse contemplado en el texto constitucional, el mismo es violatorio de </w:t>
      </w:r>
      <w:r w:rsidR="00AF747C" w:rsidRPr="00710792">
        <w:t>derechos humanos</w:t>
      </w:r>
      <w:r w:rsidR="00EB6722" w:rsidRPr="00710792">
        <w:t>, a criterio de quien anota.</w:t>
      </w:r>
      <w:r w:rsidR="00EF466C" w:rsidRPr="00710792">
        <w:t xml:space="preserve"> </w:t>
      </w:r>
    </w:p>
    <w:p w14:paraId="5A07236E" w14:textId="137222F0" w:rsidR="00D576B2" w:rsidRPr="00710792" w:rsidRDefault="00AF747C" w:rsidP="000F279B">
      <w:pPr>
        <w:pStyle w:val="parrafonormalbiolex"/>
      </w:pPr>
      <w:r w:rsidRPr="00710792">
        <w:t xml:space="preserve">Lo señalado </w:t>
      </w:r>
      <w:r w:rsidR="00EF466C" w:rsidRPr="00710792">
        <w:t xml:space="preserve">se </w:t>
      </w:r>
      <w:r w:rsidRPr="00710792">
        <w:t xml:space="preserve">sustenta en que, </w:t>
      </w:r>
      <w:r w:rsidR="00EF466C" w:rsidRPr="00710792">
        <w:t xml:space="preserve">ante una eventual absolución del procedimiento administrativo disciplinario </w:t>
      </w:r>
      <w:r w:rsidRPr="00710792">
        <w:t>iniciado por una</w:t>
      </w:r>
      <w:r w:rsidR="00421438" w:rsidRPr="00710792">
        <w:t xml:space="preserve"> actividad irregular aparente, </w:t>
      </w:r>
      <w:r w:rsidR="00B23272" w:rsidRPr="00710792">
        <w:t xml:space="preserve">o bien del proceso laboral instaurado en el que se determine como injustificado el </w:t>
      </w:r>
      <w:r w:rsidR="00421438" w:rsidRPr="00710792">
        <w:t>cese, la separación, remoción, baja o cualquier otra forma de terminación de la relación laboral</w:t>
      </w:r>
      <w:r w:rsidRPr="00710792">
        <w:t>,</w:t>
      </w:r>
      <w:r w:rsidR="00421438" w:rsidRPr="00710792">
        <w:t xml:space="preserve"> </w:t>
      </w:r>
      <w:r w:rsidR="00B23272" w:rsidRPr="00710792">
        <w:t xml:space="preserve">se debe exonerar de toda sanción al inculpado, existiendo </w:t>
      </w:r>
      <w:r w:rsidR="00235E5F" w:rsidRPr="00710792">
        <w:t>a</w:t>
      </w:r>
      <w:r w:rsidR="00421438" w:rsidRPr="00710792">
        <w:t xml:space="preserve"> favor del operario al menos la posibilidad de acceder a una eventual reinstalación o reincorporación a sus actividades laborales</w:t>
      </w:r>
      <w:r w:rsidRPr="00710792">
        <w:t>,</w:t>
      </w:r>
      <w:r w:rsidR="00421438" w:rsidRPr="00710792">
        <w:t xml:space="preserve"> como ocurre en otros </w:t>
      </w:r>
      <w:r w:rsidR="00B23272" w:rsidRPr="00710792">
        <w:t xml:space="preserve">contratos </w:t>
      </w:r>
      <w:r w:rsidRPr="00710792">
        <w:t xml:space="preserve">de trabajo </w:t>
      </w:r>
      <w:r w:rsidR="00421438" w:rsidRPr="00710792">
        <w:t>del sector privado y de trabajadores al servicio del Estado</w:t>
      </w:r>
      <w:r w:rsidRPr="00710792">
        <w:t>,</w:t>
      </w:r>
      <w:r w:rsidR="00421438" w:rsidRPr="00710792">
        <w:t xml:space="preserve"> regulados por el propio artículo 123 constitucional</w:t>
      </w:r>
      <w:r w:rsidRPr="00710792">
        <w:t>;</w:t>
      </w:r>
      <w:r w:rsidR="00421438" w:rsidRPr="00710792">
        <w:t xml:space="preserve"> de ahí que</w:t>
      </w:r>
      <w:r w:rsidRPr="00710792">
        <w:t>,</w:t>
      </w:r>
      <w:r w:rsidR="00421438" w:rsidRPr="00710792">
        <w:t xml:space="preserve"> aunado a ser violatorio de los derechos mencionados, se estima que la disposición en análisis es </w:t>
      </w:r>
      <w:r w:rsidR="00B23272" w:rsidRPr="00710792">
        <w:t xml:space="preserve">por </w:t>
      </w:r>
      <w:r w:rsidR="00421438" w:rsidRPr="00710792">
        <w:t xml:space="preserve">demás discriminatoria </w:t>
      </w:r>
      <w:r w:rsidR="008903A9" w:rsidRPr="00710792">
        <w:t>en contravención de lo establecido por el último párrafo del arábigo 1 del texto constitucional.</w:t>
      </w:r>
    </w:p>
    <w:p w14:paraId="1CB0957D" w14:textId="4385CF76" w:rsidR="007117C2" w:rsidRPr="00710792" w:rsidRDefault="007117C2" w:rsidP="000F279B">
      <w:pPr>
        <w:spacing w:before="120" w:after="120" w:line="240" w:lineRule="auto"/>
        <w:jc w:val="both"/>
        <w:rPr>
          <w:rFonts w:ascii="Unna" w:hAnsi="Unna" w:cs="Arial"/>
          <w:b/>
          <w:bCs/>
          <w:sz w:val="24"/>
          <w:szCs w:val="24"/>
        </w:rPr>
      </w:pPr>
      <w:r w:rsidRPr="00710792">
        <w:rPr>
          <w:rFonts w:ascii="Unna" w:hAnsi="Unna" w:cs="Arial"/>
          <w:b/>
          <w:bCs/>
          <w:sz w:val="24"/>
          <w:szCs w:val="24"/>
        </w:rPr>
        <w:t xml:space="preserve">Inhabilitación por responsabilidad administrativa: declaración </w:t>
      </w:r>
      <w:r w:rsidR="00235E5F" w:rsidRPr="00710792">
        <w:rPr>
          <w:rFonts w:ascii="Unna" w:hAnsi="Unna" w:cs="Arial"/>
          <w:b/>
          <w:bCs/>
          <w:sz w:val="24"/>
          <w:szCs w:val="24"/>
        </w:rPr>
        <w:t>p</w:t>
      </w:r>
      <w:r w:rsidRPr="00710792">
        <w:rPr>
          <w:rFonts w:ascii="Unna" w:hAnsi="Unna" w:cs="Arial"/>
          <w:b/>
          <w:bCs/>
          <w:sz w:val="24"/>
          <w:szCs w:val="24"/>
        </w:rPr>
        <w:t>atrimonial.</w:t>
      </w:r>
    </w:p>
    <w:p w14:paraId="3B027D77" w14:textId="389FBE0C" w:rsidR="00E23150" w:rsidRPr="00710792" w:rsidRDefault="00B73756" w:rsidP="000F279B">
      <w:pPr>
        <w:pStyle w:val="parrafonormalbiolex"/>
      </w:pPr>
      <w:r w:rsidRPr="00710792">
        <w:t>Un segundo precepto que del mismo modo se estima inconvencional a criterio del suscribiente es aquel que comprende el artículo 33 de la Ley General de Responsabilidades Administrativas, mismo que es del tenor literal siguiente:</w:t>
      </w:r>
    </w:p>
    <w:p w14:paraId="7F2485F6" w14:textId="1CB31B98" w:rsidR="00B73756" w:rsidRPr="00710792" w:rsidRDefault="00B73756" w:rsidP="000F279B">
      <w:pPr>
        <w:pStyle w:val="Citalarga"/>
      </w:pPr>
      <w:r w:rsidRPr="00710792">
        <w:t>Artículo 33. La declaración de situación patrimonial deberá presentarse en los siguientes plazos: (…)</w:t>
      </w:r>
    </w:p>
    <w:p w14:paraId="52AE08FB" w14:textId="2BF3417D" w:rsidR="00B73756" w:rsidRPr="00710792" w:rsidRDefault="00B73756" w:rsidP="000F279B">
      <w:pPr>
        <w:pStyle w:val="Citalarga"/>
      </w:pPr>
      <w:r w:rsidRPr="00710792">
        <w:t>III. Declaración de conclusión del encargo, dentro de los sesenta días naturales siguientes a la conclusión.</w:t>
      </w:r>
    </w:p>
    <w:p w14:paraId="005B16E0" w14:textId="39617258" w:rsidR="00B73756" w:rsidRPr="00710792" w:rsidRDefault="00B73756" w:rsidP="000F279B">
      <w:pPr>
        <w:pStyle w:val="Citalarga"/>
      </w:pPr>
      <w:r w:rsidRPr="00710792">
        <w:t>(…)</w:t>
      </w:r>
    </w:p>
    <w:p w14:paraId="5C396E2A" w14:textId="34342715" w:rsidR="00B73756" w:rsidRPr="00710792" w:rsidRDefault="00B73756" w:rsidP="000F279B">
      <w:pPr>
        <w:pStyle w:val="Citalarga"/>
      </w:pPr>
      <w:r w:rsidRPr="00710792">
        <w:t>Para el caso de omisión, sin causa justificada, en la presentación de la declaración a que se refiere la fracción III de este artículo, se inhabilitará al infractor de tres meses a un año.</w:t>
      </w:r>
    </w:p>
    <w:p w14:paraId="49C0E816" w14:textId="3E3F301E" w:rsidR="00B73756" w:rsidRPr="00710792" w:rsidRDefault="00F03D0D" w:rsidP="000F279B">
      <w:pPr>
        <w:pStyle w:val="parrafonormalbiolex"/>
      </w:pPr>
      <w:r w:rsidRPr="00710792">
        <w:tab/>
      </w:r>
      <w:r w:rsidR="00B73756" w:rsidRPr="00710792">
        <w:t xml:space="preserve">Lo anterior </w:t>
      </w:r>
      <w:r w:rsidR="00633913" w:rsidRPr="00710792">
        <w:t xml:space="preserve">se estima así, ya que </w:t>
      </w:r>
      <w:r w:rsidR="00A11957" w:rsidRPr="00710792">
        <w:t>es de explorado derecho</w:t>
      </w:r>
      <w:r w:rsidR="00633913" w:rsidRPr="00710792">
        <w:t xml:space="preserve"> que en materia de situación patrimonial de los servidores públicos se pretende que exista acceso a la información relativa </w:t>
      </w:r>
      <w:r w:rsidR="00A11957" w:rsidRPr="00710792">
        <w:t xml:space="preserve">a </w:t>
      </w:r>
      <w:r w:rsidR="00633913" w:rsidRPr="00710792">
        <w:t xml:space="preserve">los niveles y puestos que </w:t>
      </w:r>
      <w:r w:rsidR="00A11957" w:rsidRPr="00710792">
        <w:t xml:space="preserve">existan en cada dependencia, así como respecto del </w:t>
      </w:r>
      <w:r w:rsidR="00633913" w:rsidRPr="00710792">
        <w:t xml:space="preserve">registro y seguimiento de la evolución patrimonial, </w:t>
      </w:r>
      <w:r w:rsidR="00A11957" w:rsidRPr="00710792">
        <w:t>lo que permite la existencia de un panorama de</w:t>
      </w:r>
      <w:r w:rsidR="00633913" w:rsidRPr="00710792">
        <w:t xml:space="preserve"> transparencia en la gestión pública</w:t>
      </w:r>
      <w:r w:rsidRPr="00710792">
        <w:t>. Todo esto</w:t>
      </w:r>
      <w:r w:rsidR="00633913" w:rsidRPr="00710792">
        <w:t xml:space="preserve"> </w:t>
      </w:r>
      <w:r w:rsidR="00A11957" w:rsidRPr="00710792">
        <w:t>contribuye</w:t>
      </w:r>
      <w:r w:rsidRPr="00710792">
        <w:t xml:space="preserve"> </w:t>
      </w:r>
      <w:r w:rsidR="00633913" w:rsidRPr="00710792">
        <w:t xml:space="preserve">al combate a la corrupción, eliminar la discrecionalidad de las </w:t>
      </w:r>
      <w:r w:rsidR="00633913" w:rsidRPr="00710792">
        <w:lastRenderedPageBreak/>
        <w:t xml:space="preserve">autoridades para dar a conocer la información de que disponen y que </w:t>
      </w:r>
      <w:r w:rsidR="00A11957" w:rsidRPr="00710792">
        <w:t>genera</w:t>
      </w:r>
      <w:r w:rsidR="00633913" w:rsidRPr="00710792">
        <w:t>, en suma, la confianza de la sociedad en los servidores públicos</w:t>
      </w:r>
      <w:r w:rsidR="00A11957" w:rsidRPr="00710792">
        <w:t>.</w:t>
      </w:r>
    </w:p>
    <w:p w14:paraId="0E2DFCD5" w14:textId="5A5C0347" w:rsidR="00A11957" w:rsidRPr="00710792" w:rsidRDefault="00A11957" w:rsidP="000F279B">
      <w:pPr>
        <w:pStyle w:val="parrafonormalbiolex"/>
      </w:pPr>
      <w:r w:rsidRPr="00710792">
        <w:t xml:space="preserve">Sin perjuicio de lo anterior, debe tenerse presente </w:t>
      </w:r>
      <w:r w:rsidR="0084733C" w:rsidRPr="00710792">
        <w:t>que conforme</w:t>
      </w:r>
      <w:r w:rsidRPr="00710792">
        <w:t xml:space="preserve"> al artículo 49</w:t>
      </w:r>
      <w:r w:rsidR="00235E5F" w:rsidRPr="00710792">
        <w:t>, fracción IV</w:t>
      </w:r>
      <w:r w:rsidRPr="00710792">
        <w:t xml:space="preserve"> del referido ordenamiento, e</w:t>
      </w:r>
      <w:r w:rsidR="00235E5F" w:rsidRPr="00710792">
        <w:t>l</w:t>
      </w:r>
      <w:r w:rsidRPr="00710792">
        <w:t xml:space="preserve"> incumplimiento u omisión de la presentación de las declaraciones de situación patrimonial y de intereses en los plazos que determina la ley</w:t>
      </w:r>
      <w:r w:rsidR="00F03D0D" w:rsidRPr="00710792">
        <w:t>,</w:t>
      </w:r>
      <w:r w:rsidRPr="00710792">
        <w:t xml:space="preserve"> únicamente son considerados como una falta no grave</w:t>
      </w:r>
      <w:r w:rsidR="0084733C" w:rsidRPr="00710792">
        <w:t xml:space="preserve"> y, en esa medida, se estima vulnerado el principio de proporcionalidad en la imposición de sanciones</w:t>
      </w:r>
      <w:r w:rsidR="00F03D0D" w:rsidRPr="00710792">
        <w:t xml:space="preserve">, </w:t>
      </w:r>
      <w:r w:rsidR="0084733C" w:rsidRPr="00710792">
        <w:t>pues se pasa por inadvertida la auténtica responsabilidad, circunstancias y antecedentes del servidor público, entre otros aspectos.</w:t>
      </w:r>
    </w:p>
    <w:p w14:paraId="132726DA" w14:textId="0F62BD7D" w:rsidR="0084733C" w:rsidRPr="00710792" w:rsidRDefault="0084733C" w:rsidP="000F279B">
      <w:pPr>
        <w:pStyle w:val="parrafonormalbiolex"/>
      </w:pPr>
      <w:r w:rsidRPr="00710792">
        <w:t>Lo anterior es así</w:t>
      </w:r>
      <w:r w:rsidR="00F03D0D" w:rsidRPr="00710792">
        <w:t>,</w:t>
      </w:r>
      <w:r w:rsidRPr="00710792">
        <w:t xml:space="preserve"> ya que el numer</w:t>
      </w:r>
      <w:r w:rsidR="00197A75" w:rsidRPr="00710792">
        <w:t>al</w:t>
      </w:r>
      <w:r w:rsidRPr="00710792">
        <w:t xml:space="preserve"> 33 al que se ha hecho referencia constriñe a la autoridad administrativa a imponer siempre la misma sanción, sin importar la gravedad de la responsabilidad en que se incurrió, las circunstancias socioeconómicas del servidor público, su nivel jerárquico</w:t>
      </w:r>
      <w:r w:rsidR="001F4F6E" w:rsidRPr="00710792">
        <w:t xml:space="preserve">, </w:t>
      </w:r>
      <w:r w:rsidRPr="00710792">
        <w:t xml:space="preserve"> antigüedad, condiciones exteriores, medios de ejecución y reincidencia</w:t>
      </w:r>
      <w:r w:rsidR="00F03D0D" w:rsidRPr="00710792">
        <w:t>.</w:t>
      </w:r>
      <w:r w:rsidRPr="00710792">
        <w:t xml:space="preserve"> </w:t>
      </w:r>
      <w:r w:rsidR="00F03D0D" w:rsidRPr="00710792">
        <w:t xml:space="preserve">Esto </w:t>
      </w:r>
      <w:r w:rsidR="001F4F6E" w:rsidRPr="00710792">
        <w:t xml:space="preserve">se traduce en que </w:t>
      </w:r>
      <w:r w:rsidRPr="00710792">
        <w:t>a todos los servidores públicos se les aplicará invariable e inflexiblemente la sanción especificada, lo cual impide el ejercicio de la facultad prudente del arbitrio para individualizar y cuantificar la temporalidad de la inhabilitación</w:t>
      </w:r>
      <w:r w:rsidR="00AC1D58" w:rsidRPr="00710792">
        <w:t xml:space="preserve"> e inclusive, la viabilidad y la pertinencia de imponer otra sanción de aquellas incluidas en e</w:t>
      </w:r>
      <w:r w:rsidR="00151F8E" w:rsidRPr="00710792">
        <w:t>l</w:t>
      </w:r>
      <w:r w:rsidR="00AC1D58" w:rsidRPr="00710792">
        <w:t xml:space="preserve"> catálogo para las faltas no graves</w:t>
      </w:r>
      <w:r w:rsidR="00AC1D58" w:rsidRPr="00710792">
        <w:rPr>
          <w:rStyle w:val="Refdenotaalpie"/>
        </w:rPr>
        <w:footnoteReference w:id="46"/>
      </w:r>
      <w:r w:rsidR="00AC1D58" w:rsidRPr="00710792">
        <w:t>.</w:t>
      </w:r>
    </w:p>
    <w:p w14:paraId="03FF24EC" w14:textId="0B49A290" w:rsidR="008903A9" w:rsidRPr="004B2789" w:rsidRDefault="000F279B" w:rsidP="000F279B">
      <w:pPr>
        <w:pStyle w:val="Nivel1BIOL"/>
        <w:rPr>
          <w:lang w:val="es-MX"/>
        </w:rPr>
      </w:pPr>
      <w:r w:rsidRPr="004B2789">
        <w:rPr>
          <w:lang w:val="es-MX"/>
        </w:rPr>
        <w:t>VII. COMENTARIOS FINALES</w:t>
      </w:r>
    </w:p>
    <w:p w14:paraId="788C2B72" w14:textId="1E2DE36E" w:rsidR="008903A9" w:rsidRPr="00710792" w:rsidRDefault="008903A9" w:rsidP="000F279B">
      <w:pPr>
        <w:pStyle w:val="parrafonormalbiolex"/>
      </w:pPr>
      <w:r w:rsidRPr="00710792">
        <w:t>El sistema jurídico mexicano</w:t>
      </w:r>
      <w:r w:rsidR="00587107" w:rsidRPr="00710792">
        <w:t xml:space="preserve"> se encuentra en constante cambio </w:t>
      </w:r>
      <w:r w:rsidR="00F03D0D" w:rsidRPr="00710792">
        <w:t>en busca</w:t>
      </w:r>
      <w:r w:rsidR="00587107" w:rsidRPr="00710792">
        <w:t xml:space="preserve"> de adecuarse a la realidad social, </w:t>
      </w:r>
      <w:r w:rsidR="00701114" w:rsidRPr="00710792">
        <w:t xml:space="preserve">no obstante, </w:t>
      </w:r>
      <w:r w:rsidR="00587107" w:rsidRPr="00710792">
        <w:t xml:space="preserve">se </w:t>
      </w:r>
      <w:r w:rsidR="00F03D0D" w:rsidRPr="00710792">
        <w:t xml:space="preserve">intenta </w:t>
      </w:r>
      <w:r w:rsidR="00587107" w:rsidRPr="00710792">
        <w:t xml:space="preserve">que exista una integración normativa y una interpretación jurídica dinámica, pero firme en instituciones rígidas como lo es el respeto irrestricto a los </w:t>
      </w:r>
      <w:r w:rsidR="00F03D0D" w:rsidRPr="00710792">
        <w:t xml:space="preserve">derechos humanos </w:t>
      </w:r>
      <w:r w:rsidR="00587107" w:rsidRPr="00710792">
        <w:t>de los gobernados.</w:t>
      </w:r>
    </w:p>
    <w:p w14:paraId="0C48E505" w14:textId="77777777" w:rsidR="00E12908" w:rsidRPr="00710792" w:rsidRDefault="00E12908" w:rsidP="000F279B">
      <w:pPr>
        <w:pStyle w:val="parrafonormalbiolex"/>
      </w:pPr>
      <w:r w:rsidRPr="00710792">
        <w:t xml:space="preserve">Consideramos fundamental que se promueva una reflexión profunda y se tomen acciones pertinentes para evaluar si los objetivos del derecho, en términos generales, se han cumplido dentro de la compleja sociedad que hemos estado configurando. </w:t>
      </w:r>
    </w:p>
    <w:p w14:paraId="13BBB574" w14:textId="20D20E2E" w:rsidR="00E12908" w:rsidRPr="00710792" w:rsidRDefault="00E12908" w:rsidP="000F279B">
      <w:pPr>
        <w:pStyle w:val="parrafonormalbiolex"/>
      </w:pPr>
      <w:r w:rsidRPr="00710792">
        <w:t>Este no es, bajo ningún concepto, un tema simple, especialmente teniendo en cuenta que las estrategias implementadas por los diferentes sectores gubernamentales de nuestro país no han producido, en todos los supuestos, los resultados más satisfactorios.</w:t>
      </w:r>
    </w:p>
    <w:p w14:paraId="7B7B346F" w14:textId="76495122" w:rsidR="00AC1D58" w:rsidRPr="00710792" w:rsidRDefault="00587107" w:rsidP="000F279B">
      <w:pPr>
        <w:pStyle w:val="parrafonormalbiolex"/>
      </w:pPr>
      <w:r w:rsidRPr="00710792">
        <w:t xml:space="preserve">Lo anterior se asevera en virtud del evidente </w:t>
      </w:r>
      <w:r w:rsidR="00242474" w:rsidRPr="00710792">
        <w:t>desorden</w:t>
      </w:r>
      <w:r w:rsidRPr="00710792">
        <w:t xml:space="preserve"> normativo que atraviesa el sistema jurídico, donde cada operador actúa conforme considera conveniente y</w:t>
      </w:r>
      <w:r w:rsidR="00C01E6E" w:rsidRPr="00710792">
        <w:t>,</w:t>
      </w:r>
      <w:r w:rsidRPr="00710792">
        <w:t xml:space="preserve"> en ocasiones</w:t>
      </w:r>
      <w:r w:rsidR="00C01E6E" w:rsidRPr="00710792">
        <w:t>,</w:t>
      </w:r>
      <w:r w:rsidRPr="00710792">
        <w:t xml:space="preserve"> existen diversas posturas correctas para el abordaje de los quehaceres jurídicos más cotidianos</w:t>
      </w:r>
      <w:r w:rsidR="009F2006" w:rsidRPr="00710792">
        <w:t>, lo que no necesariamente conlleva un panorama advers</w:t>
      </w:r>
      <w:r w:rsidR="00AC1D58" w:rsidRPr="00710792">
        <w:t>o</w:t>
      </w:r>
      <w:r w:rsidR="009F2006" w:rsidRPr="00710792">
        <w:t xml:space="preserve">, puesto que el derecho moderno dejó de operar con razones perentorias, con una </w:t>
      </w:r>
      <w:r w:rsidR="000D73DC" w:rsidRPr="00710792">
        <w:t xml:space="preserve">apreciación </w:t>
      </w:r>
      <w:r w:rsidR="009F2006" w:rsidRPr="00710792">
        <w:t xml:space="preserve">restrictiva de la norma que la circunscribe a un panorama </w:t>
      </w:r>
      <w:r w:rsidR="009F2006" w:rsidRPr="00710792">
        <w:lastRenderedPageBreak/>
        <w:t>de hecho y a una consecuencia jurídica en caso de actualizarse dicho supuesto</w:t>
      </w:r>
      <w:r w:rsidR="00AC1D58" w:rsidRPr="00710792">
        <w:t>;</w:t>
      </w:r>
      <w:r w:rsidR="009F2006" w:rsidRPr="00710792">
        <w:t xml:space="preserve"> </w:t>
      </w:r>
      <w:r w:rsidR="00AC1D58" w:rsidRPr="00710792">
        <w:t>debiendo</w:t>
      </w:r>
      <w:r w:rsidR="009F2006" w:rsidRPr="00710792">
        <w:t xml:space="preserve"> ser concebido necesariamente desde el ámbito de la argumentación, donde mediante un ir y venir de argumentos</w:t>
      </w:r>
      <w:r w:rsidR="009F2006" w:rsidRPr="00710792">
        <w:rPr>
          <w:rStyle w:val="Refdenotaalpie"/>
        </w:rPr>
        <w:footnoteReference w:id="47"/>
      </w:r>
      <w:r w:rsidR="009F2006" w:rsidRPr="00710792">
        <w:t xml:space="preserve">, se justifican las decisiones jurídicas a través de un proceso racional, lo que implica un continuo intercambio ideológico en aras de obtener conclusiones válidas y coherentes dentro del sistema legal. </w:t>
      </w:r>
    </w:p>
    <w:p w14:paraId="0AD5A1D0" w14:textId="039122C1" w:rsidR="006D6DA8" w:rsidRPr="00710792" w:rsidRDefault="009F2006" w:rsidP="000F279B">
      <w:pPr>
        <w:pStyle w:val="parrafonormalbiolex"/>
      </w:pPr>
      <w:r w:rsidRPr="00710792">
        <w:t xml:space="preserve">Sin perjuicio de lo anterior, </w:t>
      </w:r>
      <w:r w:rsidR="00587107" w:rsidRPr="00710792">
        <w:t xml:space="preserve">se exhorta a repensar los postulados </w:t>
      </w:r>
      <w:r w:rsidR="006D6DA8" w:rsidRPr="00710792">
        <w:t xml:space="preserve">teleológicos de la norma fundamental desde la perspectiva de que el actuar estatal debe tener como máxima garantizar el pleno goce de </w:t>
      </w:r>
      <w:r w:rsidR="00E731F0" w:rsidRPr="00710792">
        <w:t>derechos humanos</w:t>
      </w:r>
      <w:r w:rsidR="006D6DA8" w:rsidRPr="00710792">
        <w:t>, cumpliendo con las obligaciones asumidas por el Estado, propiciando así una integración y una coexistencia de las estipulaciones jurídicas nacionales con el orden jurídico supranacional.</w:t>
      </w:r>
    </w:p>
    <w:p w14:paraId="7C92E914" w14:textId="177EDACD" w:rsidR="0030419A" w:rsidRPr="00710792" w:rsidRDefault="006D6DA8" w:rsidP="000F279B">
      <w:pPr>
        <w:pStyle w:val="parrafonormalbiolex"/>
      </w:pPr>
      <w:r w:rsidRPr="00710792">
        <w:t xml:space="preserve">Al preguntarnos </w:t>
      </w:r>
      <w:r w:rsidR="00E731F0" w:rsidRPr="00710792">
        <w:t>c</w:t>
      </w:r>
      <w:r w:rsidRPr="00710792">
        <w:t>uál es el fundamento del actuar de los operadores del sistema jurídico mexicano</w:t>
      </w:r>
      <w:r w:rsidR="00E731F0" w:rsidRPr="00710792">
        <w:t>,</w:t>
      </w:r>
      <w:r w:rsidRPr="00710792">
        <w:t xml:space="preserve"> </w:t>
      </w:r>
      <w:r w:rsidR="00E731F0" w:rsidRPr="00710792">
        <w:t>n</w:t>
      </w:r>
      <w:r w:rsidRPr="00710792">
        <w:t>o debemos colocar en pugna las disposiciones legales, constitucionales y convencionales, sino por el contrario</w:t>
      </w:r>
      <w:r w:rsidR="00E731F0" w:rsidRPr="00710792">
        <w:t>,</w:t>
      </w:r>
      <w:r w:rsidRPr="00710792">
        <w:t xml:space="preserve"> buscar una integración armónica de </w:t>
      </w:r>
      <w:r w:rsidR="00E731F0" w:rsidRPr="00710792">
        <w:t>e</w:t>
      </w:r>
      <w:r w:rsidRPr="00710792">
        <w:t>stas</w:t>
      </w:r>
      <w:r w:rsidR="0030419A" w:rsidRPr="00710792">
        <w:t xml:space="preserve"> mediante ejercicios interpretativos que permitan </w:t>
      </w:r>
      <w:r w:rsidR="00E731F0" w:rsidRPr="00710792">
        <w:t>el</w:t>
      </w:r>
      <w:r w:rsidR="0030419A" w:rsidRPr="00710792">
        <w:t xml:space="preserve"> génesis de un panorama funcional que tenga como fin último propiciar el mayor beneficio a los gobernados.</w:t>
      </w:r>
    </w:p>
    <w:p w14:paraId="61EB5A3F" w14:textId="789CBACB" w:rsidR="00D576B2" w:rsidRPr="00710792" w:rsidRDefault="0030419A" w:rsidP="000F279B">
      <w:pPr>
        <w:pStyle w:val="parrafonormalbiolex"/>
      </w:pPr>
      <w:r w:rsidRPr="00710792">
        <w:t xml:space="preserve">Del mismo modo, se estima preciso generar consciencia sobre la importancia de la profesionalización de los operadores del sistema jurídico, toda vez </w:t>
      </w:r>
      <w:r w:rsidR="00016D33" w:rsidRPr="00710792">
        <w:t xml:space="preserve">que la realidad social exige una preparación amplia, un conocimiento global de los instrumentos legales, del texto constitucional y de los convenios </w:t>
      </w:r>
      <w:r w:rsidR="00346E56" w:rsidRPr="00710792">
        <w:t>internacionales</w:t>
      </w:r>
      <w:r w:rsidR="00016D33" w:rsidRPr="00710792">
        <w:t xml:space="preserve"> de los que el Estado </w:t>
      </w:r>
      <w:r w:rsidR="00E731F0" w:rsidRPr="00710792">
        <w:t>m</w:t>
      </w:r>
      <w:r w:rsidR="00016D33" w:rsidRPr="00710792">
        <w:t xml:space="preserve">exicano es parte. Bajo esta óptica, es preciso que los juristas se encuentren en una preparación constante y </w:t>
      </w:r>
      <w:r w:rsidR="005B3890" w:rsidRPr="00710792">
        <w:t>vanguardista mediante la revisión de criterios interpretativos emitidos por los órganos competentes para su expedición</w:t>
      </w:r>
      <w:r w:rsidR="00237116" w:rsidRPr="00710792">
        <w:rPr>
          <w:rStyle w:val="Refdenotaalpie"/>
        </w:rPr>
        <w:footnoteReference w:id="48"/>
      </w:r>
      <w:r w:rsidR="005B3890" w:rsidRPr="00710792">
        <w:t>.</w:t>
      </w:r>
    </w:p>
    <w:p w14:paraId="6FE54DCC" w14:textId="23326963" w:rsidR="005A0B89" w:rsidRPr="00710792" w:rsidRDefault="005A0B89">
      <w:pPr>
        <w:rPr>
          <w:rFonts w:ascii="Unna" w:hAnsi="Unna" w:cs="Arial"/>
          <w:b/>
          <w:bCs/>
          <w:sz w:val="24"/>
          <w:szCs w:val="24"/>
        </w:rPr>
      </w:pPr>
      <w:r w:rsidRPr="00710792">
        <w:rPr>
          <w:rFonts w:ascii="Unna" w:hAnsi="Unna" w:cs="Arial"/>
          <w:b/>
          <w:bCs/>
          <w:sz w:val="24"/>
          <w:szCs w:val="24"/>
        </w:rPr>
        <w:br w:type="page"/>
      </w:r>
    </w:p>
    <w:p w14:paraId="41E0433E" w14:textId="017C3B29" w:rsidR="0052235F" w:rsidRPr="000F279B" w:rsidRDefault="000F279B" w:rsidP="000F279B">
      <w:pPr>
        <w:pStyle w:val="Nivel1BIOL"/>
        <w:rPr>
          <w:lang w:val="es-MX"/>
        </w:rPr>
      </w:pPr>
      <w:bookmarkStart w:id="15" w:name="_Hlk216714510"/>
      <w:r w:rsidRPr="000F279B">
        <w:rPr>
          <w:lang w:val="es-MX"/>
        </w:rPr>
        <w:lastRenderedPageBreak/>
        <w:t xml:space="preserve">VIII. </w:t>
      </w:r>
      <w:r w:rsidR="004C40A6" w:rsidRPr="000F279B">
        <w:rPr>
          <w:lang w:val="es-MX"/>
        </w:rPr>
        <w:t>FUENTES CONSULTADAS</w:t>
      </w:r>
    </w:p>
    <w:p w14:paraId="54829058" w14:textId="13D0FD6B" w:rsidR="00BE4BCD" w:rsidRPr="00710792" w:rsidRDefault="00BE4BCD" w:rsidP="000F279B">
      <w:pPr>
        <w:pStyle w:val="BIOLRefer"/>
      </w:pPr>
      <w:r w:rsidRPr="00710792">
        <w:t xml:space="preserve">Bodin, Jean. </w:t>
      </w:r>
      <w:r w:rsidRPr="00710792">
        <w:rPr>
          <w:i/>
          <w:iCs/>
        </w:rPr>
        <w:t>Los seis libros de la República: selección, traducción y estudio preliminar de Pedro Bravo Gala</w:t>
      </w:r>
      <w:r w:rsidRPr="00710792">
        <w:t xml:space="preserve">. Madrid: Editorial Tecnos, 1997. </w:t>
      </w:r>
      <w:hyperlink r:id="rId8" w:history="1">
        <w:r w:rsidRPr="000F279B">
          <w:rPr>
            <w:rStyle w:val="Hipervnculo"/>
          </w:rPr>
          <w:t>https://esepuba.files.wordpress.com/2013/10/1er-enc-bodino-jean-los-seis-libros-de-la-republica.pdf</w:t>
        </w:r>
      </w:hyperlink>
      <w:r w:rsidRPr="00710792">
        <w:t>.</w:t>
      </w:r>
    </w:p>
    <w:p w14:paraId="2FE86739" w14:textId="77777777" w:rsidR="00BE4BCD" w:rsidRPr="00710792" w:rsidRDefault="00BE4BCD" w:rsidP="000F279B">
      <w:pPr>
        <w:pStyle w:val="BIOLRefer"/>
      </w:pPr>
      <w:r w:rsidRPr="00710792">
        <w:t xml:space="preserve">Cabrera Acevedo, Lucio. </w:t>
      </w:r>
      <w:r w:rsidRPr="00710792">
        <w:rPr>
          <w:i/>
          <w:iCs/>
        </w:rPr>
        <w:t>El Constituyente de 1917 y el Poder Judicial de la Federación: una visión del siglo XX</w:t>
      </w:r>
      <w:r w:rsidRPr="00710792">
        <w:t>. Ciudad de México: Suprema Corte de Justicia de la Nación, 2002.</w:t>
      </w:r>
    </w:p>
    <w:p w14:paraId="01CCB4BA" w14:textId="77777777" w:rsidR="00BE4BCD" w:rsidRPr="00710792" w:rsidRDefault="00BE4BCD" w:rsidP="000F279B">
      <w:pPr>
        <w:pStyle w:val="BIOLRefer"/>
      </w:pPr>
      <w:r w:rsidRPr="00710792">
        <w:t xml:space="preserve">Cervera, Ricardo C. </w:t>
      </w:r>
      <w:r w:rsidRPr="00710792">
        <w:rPr>
          <w:i/>
          <w:iCs/>
        </w:rPr>
        <w:t>Relaciones Internacionales</w:t>
      </w:r>
      <w:r w:rsidRPr="00710792">
        <w:t>. Madrid: Ciencias Sociales de la Universidad Complutense de Madrid, 1991.</w:t>
      </w:r>
    </w:p>
    <w:p w14:paraId="253DEDD5" w14:textId="6230423E" w:rsidR="00BE4BCD" w:rsidRPr="006768D9" w:rsidRDefault="00BE4BCD" w:rsidP="000F279B">
      <w:pPr>
        <w:pStyle w:val="BIOLRefer"/>
        <w:rPr>
          <w:sz w:val="22"/>
          <w:szCs w:val="22"/>
        </w:rPr>
      </w:pPr>
      <w:r w:rsidRPr="00710792">
        <w:t xml:space="preserve">Conferencia Nacional de Procuración de Justicia. "1ª sesión ordinaria 2023 zonas noreste y noroeste, minuta de acuerdos". Acceso el 24 de enero de 2024. </w:t>
      </w:r>
      <w:hyperlink r:id="rId9" w:history="1">
        <w:r w:rsidRPr="006768D9">
          <w:rPr>
            <w:rStyle w:val="Hipervnculo"/>
            <w:sz w:val="22"/>
            <w:szCs w:val="22"/>
          </w:rPr>
          <w:t>https://stastdgv2portfgr032.blob.core.windows.net/cnpj/Acuerdos/Zonas%20Noreste%20%20Noroeste/1%C2%AA%20Sesi%C3%B3n%20Ordinaria%202023%20de%20la%20Zonas%20NoresteNoroeste%20de%20la%20Conferencia%20Nacional%20de%20Procuraci%C3%B3n%20de%20Justicia.pdf</w:t>
        </w:r>
      </w:hyperlink>
    </w:p>
    <w:p w14:paraId="53D9C8F1" w14:textId="2D1495FC" w:rsidR="00BE4BCD" w:rsidRPr="00710792" w:rsidRDefault="00BE4BCD" w:rsidP="000F279B">
      <w:pPr>
        <w:pStyle w:val="BIOLRefer"/>
      </w:pPr>
      <w:r w:rsidRPr="00710792">
        <w:t xml:space="preserve">Conferencia Nacional de Procuración de Justicia. "XLIX Asamblea Plenaria de la Conferencia Nacional de Procuración de Justicia, minuta de acuerdos". Acceso el 24 de enero de 2024. </w:t>
      </w:r>
      <w:hyperlink r:id="rId10" w:history="1">
        <w:r w:rsidRPr="006768D9">
          <w:rPr>
            <w:rStyle w:val="Hipervnculo"/>
            <w:sz w:val="22"/>
            <w:szCs w:val="22"/>
          </w:rPr>
          <w:t>https://stastdgv2portfgr032.blob.core.windows.net/cnpj/Acuerdos/Asambleas%20Plenarias/XLIX%20Asamblea%20Plenaria%20de%20la%20Conferencia%20Nacional%20de%20Procuraci%C3%B3n%20de%20Justicia.pdf</w:t>
        </w:r>
      </w:hyperlink>
    </w:p>
    <w:p w14:paraId="64FE97BF" w14:textId="77777777" w:rsidR="00BE4BCD" w:rsidRPr="00710792" w:rsidRDefault="00BE4BCD" w:rsidP="000F279B">
      <w:pPr>
        <w:pStyle w:val="BIOLRefer"/>
      </w:pPr>
      <w:r w:rsidRPr="00710792">
        <w:t xml:space="preserve">Corte Interamericana de Derechos Humanos. </w:t>
      </w:r>
      <w:r w:rsidRPr="00710792">
        <w:rPr>
          <w:i/>
          <w:iCs/>
        </w:rPr>
        <w:t>ABC de la Corte Interamericana de Derechos Humanos: el qué, cómo, cuándo, dónde y porqué de la Corte Interamericana</w:t>
      </w:r>
      <w:r w:rsidRPr="00710792">
        <w:t>. San José: Corte IDH, 2018.</w:t>
      </w:r>
    </w:p>
    <w:p w14:paraId="16105E32" w14:textId="16C4B26A" w:rsidR="00BE4BCD" w:rsidRPr="00710792" w:rsidRDefault="00BE4BCD" w:rsidP="000F279B">
      <w:pPr>
        <w:pStyle w:val="BIOLRefer"/>
      </w:pPr>
      <w:r w:rsidRPr="00710792">
        <w:t xml:space="preserve">Corte Interamericana de Derechos Humanos. </w:t>
      </w:r>
      <w:hyperlink r:id="rId11" w:history="1">
        <w:r w:rsidRPr="000F279B">
          <w:rPr>
            <w:rStyle w:val="Hipervnculo"/>
          </w:rPr>
          <w:t>https://www.corteidh.or.cr/</w:t>
        </w:r>
      </w:hyperlink>
    </w:p>
    <w:p w14:paraId="0CFA558C" w14:textId="7F8B6436" w:rsidR="00BE4BCD" w:rsidRPr="00710792" w:rsidRDefault="00BE4BCD" w:rsidP="000F279B">
      <w:pPr>
        <w:pStyle w:val="BIOLRefer"/>
      </w:pPr>
      <w:r w:rsidRPr="00710792">
        <w:t xml:space="preserve">El Universal. 2021. "Aprueban el matrimonio igualitario en Guanajuato." </w:t>
      </w:r>
      <w:r w:rsidRPr="00710792">
        <w:rPr>
          <w:i/>
          <w:iCs/>
        </w:rPr>
        <w:t>El Universal</w:t>
      </w:r>
      <w:r w:rsidRPr="00710792">
        <w:t xml:space="preserve">, 21 de diciembre de 2021. </w:t>
      </w:r>
      <w:hyperlink r:id="rId12" w:history="1">
        <w:r w:rsidRPr="000F279B">
          <w:rPr>
            <w:rStyle w:val="Hipervnculo"/>
          </w:rPr>
          <w:t>https://www.eluniversal.com.mx/estados/aprueban-el-matrimonio-igualitario-en-guanajuato</w:t>
        </w:r>
      </w:hyperlink>
    </w:p>
    <w:p w14:paraId="7AB083DE" w14:textId="77777777" w:rsidR="00BE4BCD" w:rsidRPr="00710792" w:rsidRDefault="00BE4BCD" w:rsidP="000F279B">
      <w:pPr>
        <w:pStyle w:val="BIOLRefer"/>
      </w:pPr>
      <w:r w:rsidRPr="00710792">
        <w:t xml:space="preserve">Fix-Fierro, Hugo y Martínez Uriarte, Javier. </w:t>
      </w:r>
      <w:r w:rsidRPr="00710792">
        <w:rPr>
          <w:i/>
          <w:iCs/>
        </w:rPr>
        <w:t>Derechos humanos: cien años de evolución de los derechos en la Constitución mexicana</w:t>
      </w:r>
      <w:r w:rsidRPr="00710792">
        <w:t>.</w:t>
      </w:r>
      <w:r w:rsidRPr="00710792">
        <w:rPr>
          <w:i/>
          <w:iCs/>
        </w:rPr>
        <w:t xml:space="preserve"> </w:t>
      </w:r>
      <w:r w:rsidRPr="00710792">
        <w:t>Ciudad de México: Fondo de Cultura Económica, 2018.</w:t>
      </w:r>
    </w:p>
    <w:p w14:paraId="60BFDBB3" w14:textId="77777777" w:rsidR="00BE4BCD" w:rsidRPr="00710792" w:rsidRDefault="00BE4BCD" w:rsidP="000F279B">
      <w:pPr>
        <w:pStyle w:val="BIOLRefer"/>
      </w:pPr>
      <w:r w:rsidRPr="00710792">
        <w:t xml:space="preserve">Fix-Zamudio, Héctor y Fix-Fierro, Hugo. </w:t>
      </w:r>
      <w:r w:rsidRPr="00710792">
        <w:rPr>
          <w:i/>
          <w:iCs/>
        </w:rPr>
        <w:t>Constitución Política de los Estados Unidos Mexicanos, comentada y concordada. 17</w:t>
      </w:r>
      <w:r w:rsidRPr="00710792">
        <w:t>.</w:t>
      </w:r>
      <w:r w:rsidRPr="00710792">
        <w:rPr>
          <w:i/>
          <w:iCs/>
          <w:vertAlign w:val="superscript"/>
        </w:rPr>
        <w:t>a</w:t>
      </w:r>
      <w:r w:rsidRPr="00710792">
        <w:rPr>
          <w:i/>
          <w:iCs/>
        </w:rPr>
        <w:t xml:space="preserve"> ed. Tomo IV</w:t>
      </w:r>
      <w:r w:rsidRPr="00710792">
        <w:t>. Ciudad de México: Porrúa, 2018.</w:t>
      </w:r>
    </w:p>
    <w:p w14:paraId="3B5C4C34" w14:textId="08E09A2F" w:rsidR="00BE4BCD" w:rsidRPr="00710792" w:rsidRDefault="00BE4BCD" w:rsidP="000F279B">
      <w:pPr>
        <w:pStyle w:val="BIOLRefer"/>
        <w:rPr>
          <w:iCs/>
        </w:rPr>
      </w:pPr>
      <w:r w:rsidRPr="00710792">
        <w:t>Gobernación. Secretaría de Gobernación. “Diario Oficial de la Federación”. Acceso el 6 de marzo de 2024.</w:t>
      </w:r>
      <w:r w:rsidR="000F279B">
        <w:t> </w:t>
      </w:r>
      <w:hyperlink r:id="rId13" w:anchor="gsc.tab=0" w:history="1">
        <w:r w:rsidR="000F279B" w:rsidRPr="004E1383">
          <w:rPr>
            <w:rStyle w:val="Hipervnculo"/>
            <w:iCs/>
          </w:rPr>
          <w:t>https://www.dof.gob.mx/index_113.php?year=2011&amp;month=06&amp;day=10#gsc.tab=0</w:t>
        </w:r>
      </w:hyperlink>
    </w:p>
    <w:p w14:paraId="5EE42920" w14:textId="5E3CB0E6" w:rsidR="00BE4BCD" w:rsidRPr="00710792" w:rsidRDefault="00BE4BCD" w:rsidP="000F279B">
      <w:pPr>
        <w:pStyle w:val="BIOLRefer"/>
        <w:jc w:val="left"/>
      </w:pPr>
      <w:r w:rsidRPr="00710792">
        <w:t xml:space="preserve">Gordillo Pérez, Luis I. "¿Por qué surge el Estado? Una metodología holística para entender el origen, la función y los retos del poder público". </w:t>
      </w:r>
      <w:r w:rsidRPr="00710792">
        <w:rPr>
          <w:i/>
          <w:iCs/>
        </w:rPr>
        <w:t>Pensamiento. Revista de Investigación e Información Filosófica</w:t>
      </w:r>
      <w:r w:rsidRPr="00710792">
        <w:t xml:space="preserve"> 72, n.</w:t>
      </w:r>
      <w:r w:rsidRPr="00710792">
        <w:rPr>
          <w:vertAlign w:val="superscript"/>
        </w:rPr>
        <w:t>o</w:t>
      </w:r>
      <w:r w:rsidRPr="00710792">
        <w:t xml:space="preserve"> extra 272 (2016): 563-591. </w:t>
      </w:r>
      <w:hyperlink r:id="rId14" w:history="1">
        <w:r w:rsidRPr="000F279B">
          <w:rPr>
            <w:rStyle w:val="Hipervnculo"/>
          </w:rPr>
          <w:t>https://dialnet.unirioja.es/servlet/articulo?codigo=5809671</w:t>
        </w:r>
      </w:hyperlink>
    </w:p>
    <w:p w14:paraId="720AA057" w14:textId="77777777" w:rsidR="00BE4BCD" w:rsidRPr="00710792" w:rsidRDefault="00BE4BCD" w:rsidP="000F279B">
      <w:pPr>
        <w:pStyle w:val="BIOLRefer"/>
      </w:pPr>
      <w:r w:rsidRPr="00710792">
        <w:t xml:space="preserve">Hernández, Carlos. </w:t>
      </w:r>
      <w:r w:rsidRPr="00710792">
        <w:rPr>
          <w:i/>
          <w:iCs/>
        </w:rPr>
        <w:t>Principios, ponderación y pretensión de corrección en el constitucionalismo discursivo de Robert Alexy</w:t>
      </w:r>
      <w:r w:rsidRPr="00710792">
        <w:t>.</w:t>
      </w:r>
      <w:r w:rsidRPr="00710792">
        <w:rPr>
          <w:i/>
          <w:iCs/>
        </w:rPr>
        <w:t xml:space="preserve"> </w:t>
      </w:r>
      <w:r w:rsidRPr="00710792">
        <w:t>Bogotá: Universidad Libre, 2017.</w:t>
      </w:r>
    </w:p>
    <w:p w14:paraId="126EE789" w14:textId="77777777" w:rsidR="00BE4BCD" w:rsidRPr="00710792" w:rsidRDefault="00BE4BCD" w:rsidP="000F279B">
      <w:pPr>
        <w:pStyle w:val="BIOLRefer"/>
      </w:pPr>
      <w:r w:rsidRPr="00710792">
        <w:lastRenderedPageBreak/>
        <w:t xml:space="preserve">México. </w:t>
      </w:r>
      <w:r w:rsidRPr="00710792">
        <w:rPr>
          <w:i/>
          <w:iCs/>
        </w:rPr>
        <w:t>Constitución Política de los Estados Unidos Mexicanos</w:t>
      </w:r>
      <w:r w:rsidRPr="00710792">
        <w:t>. Diario Oficial de la Federación.</w:t>
      </w:r>
    </w:p>
    <w:p w14:paraId="75AA29F8" w14:textId="6895000A" w:rsidR="00710792" w:rsidRPr="004B2789" w:rsidRDefault="00710792" w:rsidP="000F279B">
      <w:pPr>
        <w:pStyle w:val="BIOLRefer"/>
        <w:rPr>
          <w:rFonts w:eastAsia="Times New Roman" w:cs="Times New Roman"/>
          <w:lang w:eastAsia="zh-CN"/>
        </w:rPr>
      </w:pPr>
      <w:r w:rsidRPr="00710792">
        <w:rPr>
          <w:rFonts w:eastAsia="Times New Roman" w:cs="Times New Roman"/>
          <w:lang w:eastAsia="zh-CN"/>
        </w:rPr>
        <w:t xml:space="preserve">Ortega García, Ramón. “El enfoque restrictivo de los derechos humanos: comentarios a la contradicción de tesis 293/2011.” </w:t>
      </w:r>
      <w:r w:rsidRPr="00710792">
        <w:rPr>
          <w:rFonts w:eastAsia="Times New Roman" w:cs="Times New Roman"/>
          <w:i/>
          <w:iCs/>
          <w:lang w:eastAsia="zh-CN"/>
        </w:rPr>
        <w:t>Cuestiones Constitucionales. Revista Mexicana de Derecho Constitucional</w:t>
      </w:r>
      <w:r w:rsidRPr="00710792">
        <w:rPr>
          <w:rFonts w:eastAsia="Times New Roman" w:cs="Times New Roman"/>
          <w:lang w:eastAsia="zh-CN"/>
        </w:rPr>
        <w:t>, núm. 32 (2015): 91–102</w:t>
      </w:r>
      <w:r w:rsidRPr="006768D9">
        <w:rPr>
          <w:rFonts w:eastAsia="Times New Roman" w:cs="Times New Roman"/>
          <w:color w:val="074F6A" w:themeColor="accent4" w:themeShade="80"/>
          <w:lang w:eastAsia="zh-CN"/>
        </w:rPr>
        <w:t xml:space="preserve">. </w:t>
      </w:r>
      <w:hyperlink r:id="rId15" w:history="1">
        <w:r w:rsidRPr="004B2789">
          <w:rPr>
            <w:rFonts w:eastAsia="Times New Roman" w:cs="Times New Roman"/>
            <w:color w:val="074F6A" w:themeColor="accent4" w:themeShade="80"/>
            <w:u w:val="single"/>
            <w:lang w:eastAsia="zh-CN"/>
          </w:rPr>
          <w:t>https://www.scielo.org.mx/scielo.php?pid=S1405-91932015000100009&amp;script=sci_arttext</w:t>
        </w:r>
      </w:hyperlink>
      <w:r w:rsidRPr="004B2789">
        <w:rPr>
          <w:rFonts w:eastAsia="Times New Roman" w:cs="Times New Roman"/>
          <w:color w:val="0070C0"/>
          <w:lang w:eastAsia="zh-CN"/>
        </w:rPr>
        <w:t>.</w:t>
      </w:r>
    </w:p>
    <w:p w14:paraId="1707B662" w14:textId="77777777" w:rsidR="00BE4BCD" w:rsidRPr="00710792" w:rsidRDefault="00BE4BCD" w:rsidP="000F279B">
      <w:pPr>
        <w:pStyle w:val="BIOLRefer"/>
      </w:pPr>
      <w:r w:rsidRPr="00710792">
        <w:t xml:space="preserve">Porrúa Pérez, Francisco. </w:t>
      </w:r>
      <w:r w:rsidRPr="00710792">
        <w:rPr>
          <w:i/>
          <w:iCs/>
        </w:rPr>
        <w:t>Teoría del Estado. Teoría política</w:t>
      </w:r>
      <w:r w:rsidRPr="00710792">
        <w:t>. Ciudad de México: Porrúa, 2005.</w:t>
      </w:r>
    </w:p>
    <w:p w14:paraId="584C7064" w14:textId="77777777" w:rsidR="006768D9" w:rsidRDefault="00BE4BCD" w:rsidP="000F279B">
      <w:pPr>
        <w:pStyle w:val="BIOLRefer"/>
      </w:pPr>
      <w:r w:rsidRPr="00710792">
        <w:t xml:space="preserve">Puppo, Alberto. "De Kelsen a la contradicción de tesis 293/2011: los conflictos normativos entre jerarquías formales y decisionismo". </w:t>
      </w:r>
      <w:r w:rsidRPr="00710792">
        <w:rPr>
          <w:i/>
          <w:iCs/>
        </w:rPr>
        <w:t xml:space="preserve">Boletín Mexicano de Derecho Comparado </w:t>
      </w:r>
      <w:r w:rsidRPr="00710792">
        <w:t>147, n.</w:t>
      </w:r>
      <w:r w:rsidRPr="00710792">
        <w:rPr>
          <w:vertAlign w:val="superscript"/>
        </w:rPr>
        <w:t>o</w:t>
      </w:r>
      <w:r w:rsidRPr="00710792">
        <w:t xml:space="preserve"> 1 (2016): 173-213.</w:t>
      </w:r>
    </w:p>
    <w:p w14:paraId="5654874A" w14:textId="1F6B470F" w:rsidR="006768D9" w:rsidRPr="006768D9" w:rsidRDefault="006768D9" w:rsidP="006768D9">
      <w:pPr>
        <w:pStyle w:val="BIOLRefer"/>
        <w:ind w:firstLine="0"/>
        <w:rPr>
          <w:color w:val="0070C0"/>
        </w:rPr>
      </w:pPr>
      <w:hyperlink r:id="rId16" w:history="1">
        <w:r w:rsidRPr="006768D9">
          <w:rPr>
            <w:rStyle w:val="Hipervnculo"/>
          </w:rPr>
          <w:t>https://revistas.juridicas.unam.mx/index.php/derecho-comparado/article/view/10643</w:t>
        </w:r>
      </w:hyperlink>
    </w:p>
    <w:p w14:paraId="141B19B6" w14:textId="3BE588C3" w:rsidR="00BE4BCD" w:rsidRPr="00710792" w:rsidRDefault="00BE4BCD" w:rsidP="000F279B">
      <w:pPr>
        <w:pStyle w:val="BIOLRefer"/>
      </w:pPr>
      <w:r w:rsidRPr="00710792">
        <w:t>Semanario Judicial de la Federación y su Gaceta. https://sjf.scjn.gob.mx/SJFHome/Index.html</w:t>
      </w:r>
    </w:p>
    <w:p w14:paraId="6EB60586" w14:textId="77777777" w:rsidR="00BE4BCD" w:rsidRPr="00710792" w:rsidRDefault="00BE4BCD" w:rsidP="000F279B">
      <w:pPr>
        <w:pStyle w:val="BIOLRefer"/>
      </w:pPr>
      <w:r w:rsidRPr="00710792">
        <w:t>Suprema Corte de Justicia de la Nación, Contradicción de Tesis 293/2011, Pleno, Min. Arturo Zaldívar Lelo de Larrea, sentencia de 3 de septiembre de 2013, México.</w:t>
      </w:r>
    </w:p>
    <w:p w14:paraId="57FEDE8A" w14:textId="77777777" w:rsidR="00BE4BCD" w:rsidRPr="00710792" w:rsidRDefault="00BE4BCD" w:rsidP="000F279B">
      <w:pPr>
        <w:pStyle w:val="BIOLRefer"/>
      </w:pPr>
      <w:r w:rsidRPr="00710792">
        <w:t>Suprema Corte de Justicia de la Nación. “El Control de Convencionalidad y la Jurisprudencia Interamericana”. Acceso el 23 de agosto de 2025. https://www.scjn.gob.mx/derechos-humanos/control-convencionalidad</w:t>
      </w:r>
    </w:p>
    <w:p w14:paraId="67AC2D85" w14:textId="77777777" w:rsidR="00BE4BCD" w:rsidRPr="00710792" w:rsidRDefault="00BE4BCD" w:rsidP="000F279B">
      <w:pPr>
        <w:pStyle w:val="BIOLRefer"/>
      </w:pPr>
      <w:r w:rsidRPr="00710792">
        <w:t xml:space="preserve">Suprema Corte de Justicia de la Nación. “Fundamento del Matrimonio Igualitario y No Discriminación”. Acceso el 23 de agosto de 2025. </w:t>
      </w:r>
      <w:hyperlink r:id="rId17" w:history="1">
        <w:r w:rsidRPr="00710792">
          <w:rPr>
            <w:rStyle w:val="Hipervnculo"/>
          </w:rPr>
          <w:t>https://www.scjn.gob.mx/derechos-humanos/matrimonio-igualitario</w:t>
        </w:r>
      </w:hyperlink>
    </w:p>
    <w:p w14:paraId="1F66BA8C" w14:textId="33B26C1F" w:rsidR="006768D9" w:rsidRPr="006768D9" w:rsidRDefault="00BE4BCD" w:rsidP="006768D9">
      <w:pPr>
        <w:pStyle w:val="BIOLRefer"/>
      </w:pPr>
      <w:r w:rsidRPr="00710792">
        <w:t xml:space="preserve">Suprema Corte de Justicia de la Nación. </w:t>
      </w:r>
      <w:r w:rsidRPr="00710792">
        <w:rPr>
          <w:i/>
          <w:iCs/>
        </w:rPr>
        <w:t xml:space="preserve">Historia del amparo en México </w:t>
      </w:r>
      <w:r w:rsidRPr="00710792">
        <w:t>(Ciudad de México: SCJN, 2000).</w:t>
      </w:r>
    </w:p>
    <w:p w14:paraId="5CE5C83F" w14:textId="77777777" w:rsidR="00BE4BCD" w:rsidRPr="00710792" w:rsidRDefault="00BE4BCD" w:rsidP="006768D9">
      <w:pPr>
        <w:pStyle w:val="BIOLRefer"/>
        <w:spacing w:before="240" w:line="240" w:lineRule="auto"/>
        <w:contextualSpacing w:val="0"/>
        <w:rPr>
          <w:b/>
          <w:bCs/>
        </w:rPr>
      </w:pPr>
      <w:r w:rsidRPr="00710792">
        <w:rPr>
          <w:b/>
          <w:bCs/>
        </w:rPr>
        <w:t>Documentos legales</w:t>
      </w:r>
    </w:p>
    <w:p w14:paraId="763FF9EA" w14:textId="77777777" w:rsidR="00BE4BCD" w:rsidRPr="00710792" w:rsidRDefault="00BE4BCD" w:rsidP="000F279B">
      <w:pPr>
        <w:pStyle w:val="BIOLRefer"/>
      </w:pPr>
      <w:r w:rsidRPr="00710792">
        <w:t>Corte Interamericana de Derechos Humanos. 2022. Caso Tzompaxtle Tecpile y otros vs. México. Sentencia de 7 de noviembre de 2022. Serie C No. 470.</w:t>
      </w:r>
    </w:p>
    <w:p w14:paraId="3D5769F4" w14:textId="6701514B" w:rsidR="006768D9" w:rsidRPr="006768D9" w:rsidRDefault="00BE4BCD" w:rsidP="006768D9">
      <w:pPr>
        <w:pStyle w:val="BIOLRefer"/>
      </w:pPr>
      <w:r w:rsidRPr="00710792">
        <w:t xml:space="preserve">Corte Interamericana de Derechos Humanos. Caso García Rodríguez y Reyes Alpízar vs. México. </w:t>
      </w:r>
      <w:hyperlink r:id="rId18" w:history="1">
        <w:r w:rsidRPr="006768D9">
          <w:rPr>
            <w:rStyle w:val="Hipervnculo"/>
          </w:rPr>
          <w:t>https://www.corteidh.or.cr/docs/casos/articulos/seriec_482_esp.pdf</w:t>
        </w:r>
      </w:hyperlink>
    </w:p>
    <w:p w14:paraId="1F001C71" w14:textId="19D97CF5" w:rsidR="00BE4BCD" w:rsidRPr="00710792" w:rsidRDefault="00BE4BCD" w:rsidP="006768D9">
      <w:pPr>
        <w:pStyle w:val="BIOLRefer"/>
        <w:spacing w:before="240" w:line="240" w:lineRule="auto"/>
        <w:contextualSpacing w:val="0"/>
        <w:rPr>
          <w:b/>
          <w:bCs/>
        </w:rPr>
      </w:pPr>
      <w:r w:rsidRPr="00710792">
        <w:rPr>
          <w:b/>
          <w:bCs/>
        </w:rPr>
        <w:t>Legislación nacional</w:t>
      </w:r>
    </w:p>
    <w:p w14:paraId="624FE5E7" w14:textId="77777777" w:rsidR="00BE4BCD" w:rsidRPr="00710792" w:rsidRDefault="00BE4BCD" w:rsidP="000F279B">
      <w:pPr>
        <w:pStyle w:val="BIOLRefer"/>
      </w:pPr>
      <w:r w:rsidRPr="00710792">
        <w:t>Ley de Amparo, Reglamentaria de los artículos 103 y 107 de la Constitución Política de los Estados Unidos Mexicanos.</w:t>
      </w:r>
    </w:p>
    <w:p w14:paraId="2E33BA5E" w14:textId="77777777" w:rsidR="00BE4BCD" w:rsidRPr="00710792" w:rsidRDefault="00BE4BCD" w:rsidP="000F279B">
      <w:pPr>
        <w:pStyle w:val="BIOLRefer"/>
      </w:pPr>
      <w:r w:rsidRPr="00710792">
        <w:t>Código Nacional de Procedimientos Penales.</w:t>
      </w:r>
    </w:p>
    <w:p w14:paraId="11816DC3" w14:textId="77777777" w:rsidR="00BE4BCD" w:rsidRPr="00710792" w:rsidRDefault="00BE4BCD" w:rsidP="000F279B">
      <w:pPr>
        <w:pStyle w:val="BIOLRefer"/>
      </w:pPr>
      <w:r w:rsidRPr="00710792">
        <w:t>Código Federal de Procedimientos Civiles.</w:t>
      </w:r>
    </w:p>
    <w:p w14:paraId="2D5C7B80" w14:textId="77777777" w:rsidR="00BE4BCD" w:rsidRPr="00710792" w:rsidRDefault="00BE4BCD" w:rsidP="000F279B">
      <w:pPr>
        <w:pStyle w:val="BIOLRefer"/>
      </w:pPr>
      <w:r w:rsidRPr="00710792">
        <w:t>Código Nacional de Procedimientos Civiles y Familiares.</w:t>
      </w:r>
    </w:p>
    <w:p w14:paraId="4FFAB70A" w14:textId="77777777" w:rsidR="00BE4BCD" w:rsidRPr="00710792" w:rsidRDefault="00BE4BCD" w:rsidP="000F279B">
      <w:pPr>
        <w:pStyle w:val="BIOLRefer"/>
      </w:pPr>
      <w:r w:rsidRPr="00710792">
        <w:t>Código Civil para el Estado de Guanajuato.</w:t>
      </w:r>
    </w:p>
    <w:p w14:paraId="604CD6CB" w14:textId="77777777" w:rsidR="00BE4BCD" w:rsidRDefault="00BE4BCD" w:rsidP="000F279B">
      <w:pPr>
        <w:pStyle w:val="BIOLRefer"/>
      </w:pPr>
    </w:p>
    <w:p w14:paraId="4F9C50DE" w14:textId="77777777" w:rsidR="006768D9" w:rsidRPr="00710792" w:rsidRDefault="006768D9" w:rsidP="000F279B">
      <w:pPr>
        <w:pStyle w:val="BIOLRefer"/>
      </w:pPr>
    </w:p>
    <w:p w14:paraId="7ED9139E" w14:textId="77777777" w:rsidR="00BE4BCD" w:rsidRPr="00710792" w:rsidRDefault="00BE4BCD" w:rsidP="000F279B">
      <w:pPr>
        <w:pStyle w:val="BIOLRefer"/>
        <w:rPr>
          <w:b/>
          <w:bCs/>
        </w:rPr>
      </w:pPr>
      <w:r w:rsidRPr="00710792">
        <w:rPr>
          <w:b/>
          <w:bCs/>
        </w:rPr>
        <w:lastRenderedPageBreak/>
        <w:t>Instrumentos internacionales</w:t>
      </w:r>
    </w:p>
    <w:p w14:paraId="68D2877C" w14:textId="77777777" w:rsidR="00BE4BCD" w:rsidRPr="00710792" w:rsidRDefault="00BE4BCD" w:rsidP="000F279B">
      <w:pPr>
        <w:pStyle w:val="BIOLRefer"/>
      </w:pPr>
      <w:r w:rsidRPr="00710792">
        <w:t>Convención Americana sobre Derechos Humanos.</w:t>
      </w:r>
    </w:p>
    <w:p w14:paraId="6FA4A03F" w14:textId="77777777" w:rsidR="00BE4BCD" w:rsidRPr="00710792" w:rsidRDefault="00BE4BCD" w:rsidP="000F279B">
      <w:pPr>
        <w:pStyle w:val="BIOLRefer"/>
      </w:pPr>
      <w:r w:rsidRPr="00710792">
        <w:t>Convención de Viena sobre el Derecho de los Tratados.</w:t>
      </w:r>
    </w:p>
    <w:p w14:paraId="19A488ED" w14:textId="77777777" w:rsidR="00BE4BCD" w:rsidRPr="00710792" w:rsidRDefault="00BE4BCD" w:rsidP="00BE4BCD">
      <w:pPr>
        <w:pStyle w:val="Textonotapie"/>
        <w:spacing w:line="360" w:lineRule="auto"/>
        <w:jc w:val="both"/>
        <w:rPr>
          <w:rFonts w:ascii="Unna" w:hAnsi="Unna" w:cs="Arial"/>
          <w:sz w:val="24"/>
          <w:szCs w:val="24"/>
        </w:rPr>
      </w:pPr>
    </w:p>
    <w:p w14:paraId="7F19E7E6" w14:textId="77777777" w:rsidR="00BE4BCD" w:rsidRPr="00710792" w:rsidRDefault="00BE4BCD" w:rsidP="00710792">
      <w:pPr>
        <w:spacing w:line="360" w:lineRule="auto"/>
        <w:jc w:val="both"/>
        <w:rPr>
          <w:rFonts w:ascii="Unna" w:hAnsi="Unna" w:cs="Arial"/>
          <w:b/>
          <w:bCs/>
          <w:sz w:val="24"/>
          <w:szCs w:val="24"/>
        </w:rPr>
      </w:pPr>
    </w:p>
    <w:bookmarkEnd w:id="15"/>
    <w:p w14:paraId="6732334C" w14:textId="1CB0C70C" w:rsidR="00023136" w:rsidRPr="00710792" w:rsidRDefault="00023136" w:rsidP="00710792">
      <w:pPr>
        <w:pStyle w:val="Textonotapie"/>
        <w:spacing w:before="240" w:line="360" w:lineRule="auto"/>
        <w:jc w:val="both"/>
        <w:rPr>
          <w:rFonts w:ascii="Unna" w:hAnsi="Unna" w:cs="Arial"/>
          <w:sz w:val="24"/>
          <w:szCs w:val="24"/>
        </w:rPr>
      </w:pPr>
    </w:p>
    <w:sectPr w:rsidR="00023136" w:rsidRPr="00710792" w:rsidSect="006768D9">
      <w:headerReference w:type="even" r:id="rId19"/>
      <w:headerReference w:type="default" r:id="rId20"/>
      <w:footerReference w:type="even" r:id="rId21"/>
      <w:footerReference w:type="default" r:id="rId22"/>
      <w:headerReference w:type="first" r:id="rId23"/>
      <w:footerReference w:type="first" r:id="rId24"/>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EAA55" w14:textId="77777777" w:rsidR="0029289C" w:rsidRDefault="0029289C" w:rsidP="00B23109">
      <w:pPr>
        <w:spacing w:after="0" w:line="240" w:lineRule="auto"/>
      </w:pPr>
      <w:r>
        <w:separator/>
      </w:r>
    </w:p>
  </w:endnote>
  <w:endnote w:type="continuationSeparator" w:id="0">
    <w:p w14:paraId="25963E58" w14:textId="77777777" w:rsidR="0029289C" w:rsidRDefault="0029289C" w:rsidP="00B23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Arial">
    <w:panose1 w:val="020B0604020202020204"/>
    <w:charset w:val="00"/>
    <w:family w:val="swiss"/>
    <w:pitch w:val="variable"/>
    <w:sig w:usb0="E0002EFF" w:usb1="C000785B" w:usb2="00000009" w:usb3="00000000" w:csb0="000001FF" w:csb1="00000000"/>
  </w:font>
  <w:font w:name="Unna">
    <w:panose1 w:val="00000500000000000000"/>
    <w:charset w:val="00"/>
    <w:family w:val="modern"/>
    <w:notTrueType/>
    <w:pitch w:val="variable"/>
    <w:sig w:usb0="2000000F" w:usb1="00000001" w:usb2="00000000" w:usb3="00000000" w:csb0="00000193"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175E" w14:textId="7679DE47" w:rsidR="006768D9" w:rsidRPr="006768D9" w:rsidRDefault="006768D9" w:rsidP="006768D9">
    <w:pPr>
      <w:tabs>
        <w:tab w:val="center" w:pos="4419"/>
        <w:tab w:val="right" w:pos="8838"/>
      </w:tabs>
      <w:spacing w:after="0" w:line="240" w:lineRule="auto"/>
      <w:rPr>
        <w:rFonts w:ascii="Unna" w:eastAsia="Aptos" w:hAnsi="Unna" w:cs="Times New Roman"/>
        <w:kern w:val="2"/>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F122" w14:textId="653AC631" w:rsidR="009F0169" w:rsidRPr="006768D9" w:rsidRDefault="009F0169" w:rsidP="006768D9">
    <w:pPr>
      <w:tabs>
        <w:tab w:val="center" w:pos="4419"/>
        <w:tab w:val="right" w:pos="8838"/>
      </w:tabs>
      <w:spacing w:after="0" w:line="240" w:lineRule="auto"/>
      <w:rPr>
        <w:rFonts w:ascii="Unna" w:eastAsia="Aptos" w:hAnsi="Unna" w:cs="Times New Roman"/>
        <w:b/>
        <w:bCs/>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517D" w14:textId="401F968E" w:rsidR="006768D9" w:rsidRPr="006768D9" w:rsidRDefault="006768D9" w:rsidP="006768D9">
    <w:pPr>
      <w:tabs>
        <w:tab w:val="center" w:pos="4419"/>
        <w:tab w:val="right" w:pos="8838"/>
      </w:tabs>
      <w:spacing w:after="0" w:line="240" w:lineRule="auto"/>
      <w:rPr>
        <w:rFonts w:ascii="Unna" w:eastAsia="Aptos" w:hAnsi="Unna" w:cs="Times New Roman"/>
        <w:b/>
        <w:bCs/>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F70DC" w14:textId="77777777" w:rsidR="0029289C" w:rsidRDefault="0029289C" w:rsidP="00B23109">
      <w:pPr>
        <w:spacing w:after="0" w:line="240" w:lineRule="auto"/>
      </w:pPr>
      <w:r>
        <w:separator/>
      </w:r>
    </w:p>
  </w:footnote>
  <w:footnote w:type="continuationSeparator" w:id="0">
    <w:p w14:paraId="7B1448EE" w14:textId="77777777" w:rsidR="0029289C" w:rsidRDefault="0029289C" w:rsidP="00B23109">
      <w:pPr>
        <w:spacing w:after="0" w:line="240" w:lineRule="auto"/>
      </w:pPr>
      <w:r>
        <w:continuationSeparator/>
      </w:r>
    </w:p>
  </w:footnote>
  <w:footnote w:id="1">
    <w:p w14:paraId="7D6563FD" w14:textId="2FD0ED93" w:rsidR="00710792" w:rsidRPr="000F279B" w:rsidRDefault="00710792"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Recibido: 12/09/2025                                                                                                                                   </w:t>
      </w:r>
      <w:r w:rsidR="000F279B" w:rsidRPr="000F279B">
        <w:rPr>
          <w:rFonts w:asciiTheme="minorHAnsi" w:hAnsiTheme="minorHAnsi"/>
          <w:sz w:val="18"/>
          <w:szCs w:val="18"/>
        </w:rPr>
        <w:t xml:space="preserve">                             </w:t>
      </w:r>
      <w:r w:rsidRPr="000F279B">
        <w:rPr>
          <w:rFonts w:asciiTheme="minorHAnsi" w:hAnsiTheme="minorHAnsi"/>
          <w:sz w:val="18"/>
          <w:szCs w:val="18"/>
        </w:rPr>
        <w:t xml:space="preserve"> Aceptado: </w:t>
      </w:r>
      <w:r w:rsidR="005823DB" w:rsidRPr="000F279B">
        <w:rPr>
          <w:rFonts w:asciiTheme="minorHAnsi" w:hAnsiTheme="minorHAnsi"/>
          <w:sz w:val="18"/>
          <w:szCs w:val="18"/>
        </w:rPr>
        <w:t>08/12/2025</w:t>
      </w:r>
    </w:p>
  </w:footnote>
  <w:footnote w:id="2">
    <w:p w14:paraId="1AA68D01" w14:textId="03B59D8A" w:rsidR="005823DB" w:rsidRPr="000F279B" w:rsidRDefault="005823DB"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Doctor en Derecho Penal por el Centro de Estudios de Posgrado, campus Mexicali. Maestro en Justicia Constitucional por la Universidad de Guanajuato (UG). Licenciado en Derecho por la misma Universidad. Ocupación: Titular del Órgano Interno de Control de la UG y profesor del Departamento de Derecho de la División de Derecho, Política y Gobierno. Presidente del Consejo Directivo de la Asociación Mexicana de Órganos de Control y Vigilancia en Instituciones de Educación Superior A.C.  (AMOCVIES, A.C.). Autor de textos académicos y de artículos en revistas jurídicas. Líneas de investigación: Derechos Humanos, Derecho Administrativo y Derecho Penal. </w:t>
      </w:r>
      <w:hyperlink r:id="rId1" w:history="1">
        <w:r w:rsidRPr="000F279B">
          <w:rPr>
            <w:rStyle w:val="Hipervnculo"/>
            <w:rFonts w:asciiTheme="minorHAnsi" w:hAnsiTheme="minorHAnsi"/>
            <w:sz w:val="18"/>
            <w:szCs w:val="18"/>
          </w:rPr>
          <w:t>https://orcid.org/0009-0001-3386-7933</w:t>
        </w:r>
      </w:hyperlink>
    </w:p>
  </w:footnote>
  <w:footnote w:id="3">
    <w:p w14:paraId="027C1025" w14:textId="57518F12" w:rsidR="005823DB" w:rsidRPr="000F279B" w:rsidRDefault="005823DB" w:rsidP="000F279B">
      <w:pPr>
        <w:pStyle w:val="BIOLpie"/>
        <w:rPr>
          <w:rFonts w:asciiTheme="minorHAnsi" w:hAnsiTheme="minorHAnsi" w:cs="Times New Roman"/>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Licenciado en Derecho por la Universidad de Guanajuato. Ocupación: Asistente Coordinador del Departamento de Gestión Estratégica del Órgano Interno de Control de la Universidad de Guanajuato. Líneas de investigación: Derecho Constitucional. Contacto: </w:t>
      </w:r>
      <w:hyperlink r:id="rId2" w:history="1">
        <w:r w:rsidRPr="000F279B">
          <w:rPr>
            <w:rStyle w:val="Hipervnculo"/>
            <w:rFonts w:asciiTheme="minorHAnsi" w:hAnsiTheme="minorHAnsi"/>
            <w:sz w:val="18"/>
            <w:szCs w:val="18"/>
          </w:rPr>
          <w:t>ce.orozco@ugto.mx</w:t>
        </w:r>
      </w:hyperlink>
      <w:r w:rsidRPr="000F279B">
        <w:rPr>
          <w:rFonts w:asciiTheme="minorHAnsi" w:hAnsiTheme="minorHAnsi"/>
          <w:sz w:val="18"/>
          <w:szCs w:val="18"/>
        </w:rPr>
        <w:t xml:space="preserve"> </w:t>
      </w:r>
      <w:hyperlink r:id="rId3" w:history="1">
        <w:r w:rsidRPr="000F279B">
          <w:rPr>
            <w:rStyle w:val="Hipervnculo"/>
            <w:rFonts w:asciiTheme="minorHAnsi" w:hAnsiTheme="minorHAnsi"/>
            <w:sz w:val="18"/>
            <w:szCs w:val="18"/>
          </w:rPr>
          <w:t>https://orcid.org/0009-0004-8692-9474</w:t>
        </w:r>
      </w:hyperlink>
    </w:p>
  </w:footnote>
  <w:footnote w:id="4">
    <w:p w14:paraId="27F734ED" w14:textId="0830EC64"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bookmarkStart w:id="2" w:name="_Hlk167808797"/>
      <w:r w:rsidR="008E2FC1" w:rsidRPr="000F279B">
        <w:rPr>
          <w:rFonts w:asciiTheme="minorHAnsi" w:hAnsiTheme="minorHAnsi"/>
          <w:sz w:val="18"/>
          <w:szCs w:val="18"/>
        </w:rPr>
        <w:t xml:space="preserve">México. </w:t>
      </w:r>
      <w:r w:rsidRPr="000F279B">
        <w:rPr>
          <w:rFonts w:asciiTheme="minorHAnsi" w:hAnsiTheme="minorHAnsi"/>
          <w:sz w:val="18"/>
          <w:szCs w:val="18"/>
        </w:rPr>
        <w:t>Constitución Política de los Estados Unidos Mexicanos. (1917). Artículo reformado DOF 18-01-1934, 29-01-2016</w:t>
      </w:r>
      <w:bookmarkEnd w:id="2"/>
    </w:p>
  </w:footnote>
  <w:footnote w:id="5">
    <w:p w14:paraId="4B8CD5D2" w14:textId="308C4FF4"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8E2FC1" w:rsidRPr="000F279B">
        <w:rPr>
          <w:rFonts w:asciiTheme="minorHAnsi" w:hAnsiTheme="minorHAnsi"/>
          <w:sz w:val="18"/>
          <w:szCs w:val="18"/>
        </w:rPr>
        <w:t xml:space="preserve">México. </w:t>
      </w:r>
      <w:r w:rsidRPr="000F279B">
        <w:rPr>
          <w:rFonts w:asciiTheme="minorHAnsi" w:hAnsiTheme="minorHAnsi"/>
          <w:sz w:val="18"/>
          <w:szCs w:val="18"/>
        </w:rPr>
        <w:t>Constitución Política de los Estados Unidos Mexicanos. (1917). Artículo reformado DOF 18-01-1934, 29-01-2016</w:t>
      </w:r>
    </w:p>
  </w:footnote>
  <w:footnote w:id="6">
    <w:p w14:paraId="3A6DFE8B" w14:textId="71B3B4BE"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“Decreto por el que se modifica la denominación del Capítulo 1 del Título Primero y reforma diversos artículos de la Constitución Política de los Estados Unidos Mexicanos”, Gobernación. Secretaría de Gobernación, acceso el 18 de enero de 2025, </w:t>
      </w:r>
      <w:hyperlink r:id="rId4" w:history="1">
        <w:r w:rsidRPr="000F279B">
          <w:rPr>
            <w:rStyle w:val="Hipervnculo"/>
            <w:rFonts w:asciiTheme="minorHAnsi" w:hAnsiTheme="minorHAnsi"/>
            <w:sz w:val="18"/>
            <w:szCs w:val="18"/>
          </w:rPr>
          <w:t>https://www.dof.gob.mx/nota_detalle.php?codigo=5194486&amp;fecha=10/06/2011</w:t>
        </w:r>
      </w:hyperlink>
      <w:r w:rsidRPr="000F279B">
        <w:rPr>
          <w:rFonts w:asciiTheme="minorHAnsi" w:hAnsiTheme="minorHAnsi"/>
          <w:sz w:val="18"/>
          <w:szCs w:val="18"/>
        </w:rPr>
        <w:t>.</w:t>
      </w:r>
    </w:p>
  </w:footnote>
  <w:footnote w:id="7">
    <w:p w14:paraId="1689768D" w14:textId="4314C5E5"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Hugo Fix-Fierro y Javier Martínez Uriarte, </w:t>
      </w:r>
      <w:r w:rsidRPr="000F279B">
        <w:rPr>
          <w:rFonts w:asciiTheme="minorHAnsi" w:hAnsiTheme="minorHAnsi"/>
          <w:i/>
          <w:sz w:val="18"/>
          <w:szCs w:val="18"/>
        </w:rPr>
        <w:t>Derechos humanos: cien años de evolución de los derechos en la Constitución mexicana</w:t>
      </w:r>
      <w:r w:rsidRPr="000F279B">
        <w:rPr>
          <w:rFonts w:asciiTheme="minorHAnsi" w:hAnsiTheme="minorHAnsi"/>
          <w:sz w:val="18"/>
          <w:szCs w:val="18"/>
        </w:rPr>
        <w:t xml:space="preserve"> (Ciudad de México: Fondo de Cultura Económica, 2018).</w:t>
      </w:r>
    </w:p>
  </w:footnote>
  <w:footnote w:id="8">
    <w:p w14:paraId="6F004AA0" w14:textId="547F9041"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bookmarkStart w:id="3" w:name="_Hlk167885353"/>
      <w:r w:rsidRPr="000F279B">
        <w:rPr>
          <w:rFonts w:asciiTheme="minorHAnsi" w:hAnsiTheme="minorHAnsi"/>
          <w:sz w:val="18"/>
          <w:szCs w:val="18"/>
        </w:rPr>
        <w:t xml:space="preserve">Corte Interamericana de Derechos Humanos, </w:t>
      </w:r>
      <w:r w:rsidRPr="000F279B">
        <w:rPr>
          <w:rFonts w:asciiTheme="minorHAnsi" w:hAnsiTheme="minorHAnsi"/>
          <w:i/>
          <w:sz w:val="18"/>
          <w:szCs w:val="18"/>
        </w:rPr>
        <w:t xml:space="preserve">ABC de la Corte Interamericana de Derechos Humanos: el qué, cómo, cuándo, dónde y porqué de la Corte Interamericana </w:t>
      </w:r>
      <w:r w:rsidRPr="000F279B">
        <w:rPr>
          <w:rFonts w:asciiTheme="minorHAnsi" w:hAnsiTheme="minorHAnsi"/>
          <w:sz w:val="18"/>
          <w:szCs w:val="18"/>
        </w:rPr>
        <w:t>(San José: Corte IDH, 2018), 25</w:t>
      </w:r>
      <w:bookmarkEnd w:id="3"/>
      <w:r w:rsidRPr="000F279B">
        <w:rPr>
          <w:rFonts w:asciiTheme="minorHAnsi" w:hAnsiTheme="minorHAnsi"/>
          <w:sz w:val="18"/>
          <w:szCs w:val="18"/>
        </w:rPr>
        <w:t>.</w:t>
      </w:r>
    </w:p>
  </w:footnote>
  <w:footnote w:id="9">
    <w:p w14:paraId="61F81050" w14:textId="010C1F51" w:rsidR="009F0169" w:rsidRPr="000F279B" w:rsidRDefault="009F0169" w:rsidP="000F279B">
      <w:pPr>
        <w:pStyle w:val="BIOLpie"/>
        <w:rPr>
          <w:rFonts w:asciiTheme="minorHAnsi" w:hAnsiTheme="minorHAnsi"/>
          <w:sz w:val="18"/>
          <w:szCs w:val="18"/>
        </w:rPr>
      </w:pPr>
      <w:bookmarkStart w:id="5" w:name="_Hlk167885430"/>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bookmarkEnd w:id="5"/>
      <w:r w:rsidRPr="000F279B">
        <w:rPr>
          <w:rFonts w:asciiTheme="minorHAnsi" w:hAnsiTheme="minorHAnsi"/>
          <w:sz w:val="18"/>
          <w:szCs w:val="18"/>
        </w:rPr>
        <w:t xml:space="preserve">Carlos Hernández, </w:t>
      </w:r>
      <w:r w:rsidRPr="000F279B">
        <w:rPr>
          <w:rFonts w:asciiTheme="minorHAnsi" w:hAnsiTheme="minorHAnsi"/>
          <w:i/>
          <w:sz w:val="18"/>
          <w:szCs w:val="18"/>
        </w:rPr>
        <w:t>Principios, ponderación y pretensión de corrección en el constitucionalismo discursivo de Robert Alexy</w:t>
      </w:r>
      <w:r w:rsidRPr="000F279B">
        <w:rPr>
          <w:rFonts w:asciiTheme="minorHAnsi" w:hAnsiTheme="minorHAnsi"/>
          <w:sz w:val="18"/>
          <w:szCs w:val="18"/>
        </w:rPr>
        <w:t xml:space="preserve"> (Bogotá: Universidad Libre, 2017). </w:t>
      </w:r>
    </w:p>
  </w:footnote>
  <w:footnote w:id="10">
    <w:p w14:paraId="69D82779" w14:textId="77308D86"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bookmarkStart w:id="6" w:name="_Hlk167891630"/>
      <w:r w:rsidRPr="000F279B">
        <w:rPr>
          <w:rFonts w:asciiTheme="minorHAnsi" w:hAnsiTheme="minorHAnsi"/>
          <w:sz w:val="18"/>
          <w:szCs w:val="18"/>
        </w:rPr>
        <w:t xml:space="preserve">Ximena Medellín Urquiaga, </w:t>
      </w:r>
      <w:r w:rsidRPr="000F279B">
        <w:rPr>
          <w:rFonts w:asciiTheme="minorHAnsi" w:hAnsiTheme="minorHAnsi"/>
          <w:i/>
          <w:sz w:val="18"/>
          <w:szCs w:val="18"/>
        </w:rPr>
        <w:t>Principio pro persona</w:t>
      </w:r>
      <w:r w:rsidRPr="000F279B">
        <w:rPr>
          <w:rFonts w:asciiTheme="minorHAnsi" w:hAnsiTheme="minorHAnsi"/>
          <w:sz w:val="18"/>
          <w:szCs w:val="18"/>
        </w:rPr>
        <w:t xml:space="preserve"> (México: Suprema Corte de Justicia de la Nación; Comisión de Derechos Humanos del Distrito Federal; Oficina en México del Alto Comisionado de las Naciones Unidas para los Derechos Humanos, 2013).</w:t>
      </w:r>
      <w:bookmarkEnd w:id="6"/>
    </w:p>
  </w:footnote>
  <w:footnote w:id="11">
    <w:p w14:paraId="36DCBC23" w14:textId="0073BCA4"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México. </w:t>
      </w:r>
      <w:r w:rsidRPr="000F279B">
        <w:rPr>
          <w:rFonts w:asciiTheme="minorHAnsi" w:hAnsiTheme="minorHAnsi"/>
          <w:i/>
          <w:sz w:val="18"/>
          <w:szCs w:val="18"/>
        </w:rPr>
        <w:t>Constitución Política de los Estados Unidos Mexicanos</w:t>
      </w:r>
      <w:r w:rsidRPr="000F279B">
        <w:rPr>
          <w:rFonts w:asciiTheme="minorHAnsi" w:hAnsiTheme="minorHAnsi"/>
          <w:sz w:val="18"/>
          <w:szCs w:val="18"/>
        </w:rPr>
        <w:t>. Promulgada el 5 de febrero de 1917. Publicada en el Diario Oficial de la Federación. (México).</w:t>
      </w:r>
    </w:p>
  </w:footnote>
  <w:footnote w:id="12">
    <w:p w14:paraId="06CE67A4" w14:textId="731898AC"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México. </w:t>
      </w:r>
      <w:r w:rsidRPr="000F279B">
        <w:rPr>
          <w:rFonts w:asciiTheme="minorHAnsi" w:hAnsiTheme="minorHAnsi"/>
          <w:i/>
          <w:sz w:val="18"/>
          <w:szCs w:val="18"/>
        </w:rPr>
        <w:t>Constitución Política de los Estados Unidos Mexicanos</w:t>
      </w:r>
      <w:r w:rsidRPr="000F279B">
        <w:rPr>
          <w:rFonts w:asciiTheme="minorHAnsi" w:hAnsiTheme="minorHAnsi"/>
          <w:sz w:val="18"/>
          <w:szCs w:val="18"/>
        </w:rPr>
        <w:t>…</w:t>
      </w:r>
    </w:p>
  </w:footnote>
  <w:footnote w:id="13">
    <w:p w14:paraId="660F1EC2" w14:textId="194DB927"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0F279B" w:rsidRPr="000F279B">
        <w:rPr>
          <w:rFonts w:asciiTheme="minorHAnsi" w:hAnsiTheme="minorHAnsi"/>
          <w:i/>
          <w:iCs/>
          <w:sz w:val="18"/>
          <w:szCs w:val="18"/>
        </w:rPr>
        <w:t>I</w:t>
      </w:r>
      <w:r w:rsidRPr="000F279B">
        <w:rPr>
          <w:rFonts w:asciiTheme="minorHAnsi" w:hAnsiTheme="minorHAnsi"/>
          <w:i/>
          <w:iCs/>
          <w:sz w:val="18"/>
          <w:szCs w:val="18"/>
        </w:rPr>
        <w:t>b</w:t>
      </w:r>
      <w:r w:rsidR="000F279B" w:rsidRPr="000F279B">
        <w:rPr>
          <w:rFonts w:asciiTheme="minorHAnsi" w:hAnsiTheme="minorHAnsi"/>
          <w:i/>
          <w:iCs/>
          <w:sz w:val="18"/>
          <w:szCs w:val="18"/>
        </w:rPr>
        <w:t>i</w:t>
      </w:r>
      <w:r w:rsidRPr="000F279B">
        <w:rPr>
          <w:rFonts w:asciiTheme="minorHAnsi" w:hAnsiTheme="minorHAnsi"/>
          <w:i/>
          <w:iCs/>
          <w:sz w:val="18"/>
          <w:szCs w:val="18"/>
        </w:rPr>
        <w:t>d</w:t>
      </w:r>
      <w:r w:rsidRPr="000F279B">
        <w:rPr>
          <w:rFonts w:asciiTheme="minorHAnsi" w:hAnsiTheme="minorHAnsi"/>
          <w:sz w:val="18"/>
          <w:szCs w:val="18"/>
        </w:rPr>
        <w:t>.</w:t>
      </w:r>
    </w:p>
  </w:footnote>
  <w:footnote w:id="14">
    <w:p w14:paraId="1D8102C6" w14:textId="78DFE2F2"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0F279B" w:rsidRPr="000F279B">
        <w:rPr>
          <w:rFonts w:asciiTheme="minorHAnsi" w:hAnsiTheme="minorHAnsi"/>
          <w:i/>
          <w:iCs/>
          <w:sz w:val="18"/>
          <w:szCs w:val="18"/>
        </w:rPr>
        <w:t>Ibi</w:t>
      </w:r>
      <w:r w:rsidRPr="000F279B">
        <w:rPr>
          <w:rFonts w:asciiTheme="minorHAnsi" w:hAnsiTheme="minorHAnsi"/>
          <w:i/>
          <w:iCs/>
          <w:sz w:val="18"/>
          <w:szCs w:val="18"/>
        </w:rPr>
        <w:t>d</w:t>
      </w:r>
      <w:r w:rsidRPr="000F279B">
        <w:rPr>
          <w:rFonts w:asciiTheme="minorHAnsi" w:hAnsiTheme="minorHAnsi"/>
          <w:sz w:val="18"/>
          <w:szCs w:val="18"/>
        </w:rPr>
        <w:t>.</w:t>
      </w:r>
    </w:p>
  </w:footnote>
  <w:footnote w:id="15">
    <w:p w14:paraId="243BE958" w14:textId="1A7DE469"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0F279B" w:rsidRPr="000F279B">
        <w:rPr>
          <w:rFonts w:asciiTheme="minorHAnsi" w:hAnsiTheme="minorHAnsi"/>
          <w:i/>
          <w:iCs/>
          <w:sz w:val="18"/>
          <w:szCs w:val="18"/>
        </w:rPr>
        <w:t>I</w:t>
      </w:r>
      <w:r w:rsidRPr="000F279B">
        <w:rPr>
          <w:rFonts w:asciiTheme="minorHAnsi" w:hAnsiTheme="minorHAnsi"/>
          <w:i/>
          <w:iCs/>
          <w:sz w:val="18"/>
          <w:szCs w:val="18"/>
        </w:rPr>
        <w:t>b</w:t>
      </w:r>
      <w:r w:rsidR="000F279B" w:rsidRPr="000F279B">
        <w:rPr>
          <w:rFonts w:asciiTheme="minorHAnsi" w:hAnsiTheme="minorHAnsi"/>
          <w:i/>
          <w:iCs/>
          <w:sz w:val="18"/>
          <w:szCs w:val="18"/>
        </w:rPr>
        <w:t>i</w:t>
      </w:r>
      <w:r w:rsidRPr="000F279B">
        <w:rPr>
          <w:rFonts w:asciiTheme="minorHAnsi" w:hAnsiTheme="minorHAnsi"/>
          <w:i/>
          <w:iCs/>
          <w:sz w:val="18"/>
          <w:szCs w:val="18"/>
        </w:rPr>
        <w:t>d</w:t>
      </w:r>
      <w:r w:rsidRPr="000F279B">
        <w:rPr>
          <w:rFonts w:asciiTheme="minorHAnsi" w:hAnsiTheme="minorHAnsi"/>
          <w:sz w:val="18"/>
          <w:szCs w:val="18"/>
        </w:rPr>
        <w:t>.</w:t>
      </w:r>
    </w:p>
  </w:footnote>
  <w:footnote w:id="16">
    <w:p w14:paraId="1ECB2ABA" w14:textId="43EFE13F"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0F279B" w:rsidRPr="000F279B">
        <w:rPr>
          <w:rFonts w:asciiTheme="minorHAnsi" w:hAnsiTheme="minorHAnsi"/>
          <w:i/>
          <w:iCs/>
          <w:sz w:val="18"/>
          <w:szCs w:val="18"/>
        </w:rPr>
        <w:t>I</w:t>
      </w:r>
      <w:r w:rsidRPr="000F279B">
        <w:rPr>
          <w:rFonts w:asciiTheme="minorHAnsi" w:hAnsiTheme="minorHAnsi"/>
          <w:i/>
          <w:iCs/>
          <w:sz w:val="18"/>
          <w:szCs w:val="18"/>
        </w:rPr>
        <w:t>b</w:t>
      </w:r>
      <w:r w:rsidR="000F279B" w:rsidRPr="000F279B">
        <w:rPr>
          <w:rFonts w:asciiTheme="minorHAnsi" w:hAnsiTheme="minorHAnsi"/>
          <w:i/>
          <w:iCs/>
          <w:sz w:val="18"/>
          <w:szCs w:val="18"/>
        </w:rPr>
        <w:t>i</w:t>
      </w:r>
      <w:r w:rsidRPr="000F279B">
        <w:rPr>
          <w:rFonts w:asciiTheme="minorHAnsi" w:hAnsiTheme="minorHAnsi"/>
          <w:i/>
          <w:iCs/>
          <w:sz w:val="18"/>
          <w:szCs w:val="18"/>
        </w:rPr>
        <w:t>d</w:t>
      </w:r>
      <w:r w:rsidRPr="000F279B">
        <w:rPr>
          <w:rFonts w:asciiTheme="minorHAnsi" w:hAnsiTheme="minorHAnsi"/>
          <w:sz w:val="18"/>
          <w:szCs w:val="18"/>
        </w:rPr>
        <w:t>.</w:t>
      </w:r>
    </w:p>
  </w:footnote>
  <w:footnote w:id="17">
    <w:p w14:paraId="3774E1C7" w14:textId="75A5A7A8" w:rsidR="009F0169" w:rsidRPr="000F279B" w:rsidRDefault="009F0169" w:rsidP="000F279B">
      <w:pPr>
        <w:pStyle w:val="BIOLpie"/>
        <w:rPr>
          <w:rFonts w:asciiTheme="minorHAnsi" w:hAnsiTheme="minorHAnsi"/>
          <w:sz w:val="18"/>
          <w:szCs w:val="18"/>
        </w:rPr>
      </w:pPr>
      <w:r w:rsidRPr="000F279B">
        <w:rPr>
          <w:rFonts w:asciiTheme="minorHAnsi" w:hAnsiTheme="minorHAnsi"/>
          <w:sz w:val="18"/>
          <w:szCs w:val="18"/>
          <w:vertAlign w:val="superscript"/>
        </w:rPr>
        <w:footnoteRef/>
      </w:r>
      <w:r w:rsidRPr="000F279B">
        <w:rPr>
          <w:rFonts w:asciiTheme="minorHAnsi" w:hAnsiTheme="minorHAnsi"/>
          <w:sz w:val="18"/>
          <w:szCs w:val="18"/>
        </w:rPr>
        <w:t xml:space="preserve"> México. </w:t>
      </w:r>
      <w:r w:rsidRPr="000F279B">
        <w:rPr>
          <w:rFonts w:asciiTheme="minorHAnsi" w:hAnsiTheme="minorHAnsi"/>
          <w:i/>
          <w:sz w:val="18"/>
          <w:szCs w:val="18"/>
        </w:rPr>
        <w:t>Constitución Política de los Estados Unidos Mexicanos</w:t>
      </w:r>
      <w:r w:rsidRPr="000F279B">
        <w:rPr>
          <w:rFonts w:asciiTheme="minorHAnsi" w:hAnsiTheme="minorHAnsi"/>
          <w:sz w:val="18"/>
          <w:szCs w:val="18"/>
        </w:rPr>
        <w:t xml:space="preserve">…, artículo 110. </w:t>
      </w:r>
    </w:p>
  </w:footnote>
  <w:footnote w:id="18">
    <w:p w14:paraId="6A3CE119" w14:textId="6F1DBBE8"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México. </w:t>
      </w:r>
      <w:r w:rsidRPr="000F279B">
        <w:rPr>
          <w:rFonts w:asciiTheme="minorHAnsi" w:hAnsiTheme="minorHAnsi"/>
          <w:i/>
          <w:sz w:val="18"/>
          <w:szCs w:val="18"/>
        </w:rPr>
        <w:t>Constitución Política de los Estados Unidos Mexicanos</w:t>
      </w:r>
      <w:r w:rsidRPr="000F279B">
        <w:rPr>
          <w:rFonts w:asciiTheme="minorHAnsi" w:hAnsiTheme="minorHAnsi"/>
          <w:sz w:val="18"/>
          <w:szCs w:val="18"/>
        </w:rPr>
        <w:t>…</w:t>
      </w:r>
    </w:p>
  </w:footnote>
  <w:footnote w:id="19">
    <w:p w14:paraId="294F7689" w14:textId="5042DECF"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0F279B" w:rsidRPr="000F279B">
        <w:rPr>
          <w:rFonts w:asciiTheme="minorHAnsi" w:hAnsiTheme="minorHAnsi"/>
          <w:i/>
          <w:iCs/>
          <w:sz w:val="18"/>
          <w:szCs w:val="18"/>
        </w:rPr>
        <w:t>I</w:t>
      </w:r>
      <w:r w:rsidRPr="000F279B">
        <w:rPr>
          <w:rFonts w:asciiTheme="minorHAnsi" w:hAnsiTheme="minorHAnsi"/>
          <w:i/>
          <w:iCs/>
          <w:sz w:val="18"/>
          <w:szCs w:val="18"/>
        </w:rPr>
        <w:t>b</w:t>
      </w:r>
      <w:r w:rsidR="000F279B" w:rsidRPr="000F279B">
        <w:rPr>
          <w:rFonts w:asciiTheme="minorHAnsi" w:hAnsiTheme="minorHAnsi"/>
          <w:i/>
          <w:iCs/>
          <w:sz w:val="18"/>
          <w:szCs w:val="18"/>
        </w:rPr>
        <w:t>i</w:t>
      </w:r>
      <w:r w:rsidRPr="000F279B">
        <w:rPr>
          <w:rFonts w:asciiTheme="minorHAnsi" w:hAnsiTheme="minorHAnsi"/>
          <w:i/>
          <w:iCs/>
          <w:sz w:val="18"/>
          <w:szCs w:val="18"/>
        </w:rPr>
        <w:t>d</w:t>
      </w:r>
      <w:r w:rsidRPr="000F279B">
        <w:rPr>
          <w:rFonts w:asciiTheme="minorHAnsi" w:hAnsiTheme="minorHAnsi"/>
          <w:sz w:val="18"/>
          <w:szCs w:val="18"/>
        </w:rPr>
        <w:t>.</w:t>
      </w:r>
    </w:p>
  </w:footnote>
  <w:footnote w:id="20">
    <w:p w14:paraId="2B15CF65" w14:textId="04397020"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0F279B" w:rsidRPr="000F279B">
        <w:rPr>
          <w:rFonts w:asciiTheme="minorHAnsi" w:hAnsiTheme="minorHAnsi"/>
          <w:i/>
          <w:iCs/>
          <w:sz w:val="18"/>
          <w:szCs w:val="18"/>
        </w:rPr>
        <w:t>I</w:t>
      </w:r>
      <w:r w:rsidRPr="000F279B">
        <w:rPr>
          <w:rFonts w:asciiTheme="minorHAnsi" w:hAnsiTheme="minorHAnsi"/>
          <w:i/>
          <w:iCs/>
          <w:sz w:val="18"/>
          <w:szCs w:val="18"/>
        </w:rPr>
        <w:t>b</w:t>
      </w:r>
      <w:r w:rsidR="000F279B" w:rsidRPr="000F279B">
        <w:rPr>
          <w:rFonts w:asciiTheme="minorHAnsi" w:hAnsiTheme="minorHAnsi"/>
          <w:i/>
          <w:iCs/>
          <w:sz w:val="18"/>
          <w:szCs w:val="18"/>
        </w:rPr>
        <w:t>i</w:t>
      </w:r>
      <w:r w:rsidRPr="000F279B">
        <w:rPr>
          <w:rFonts w:asciiTheme="minorHAnsi" w:hAnsiTheme="minorHAnsi"/>
          <w:i/>
          <w:iCs/>
          <w:sz w:val="18"/>
          <w:szCs w:val="18"/>
        </w:rPr>
        <w:t>d</w:t>
      </w:r>
      <w:r w:rsidRPr="000F279B">
        <w:rPr>
          <w:rFonts w:asciiTheme="minorHAnsi" w:hAnsiTheme="minorHAnsi"/>
          <w:sz w:val="18"/>
          <w:szCs w:val="18"/>
        </w:rPr>
        <w:t>.</w:t>
      </w:r>
    </w:p>
  </w:footnote>
  <w:footnote w:id="21">
    <w:p w14:paraId="13558A7F" w14:textId="299459B1" w:rsidR="009F0169" w:rsidRPr="000F279B" w:rsidRDefault="009F0169" w:rsidP="000F279B">
      <w:pPr>
        <w:pStyle w:val="BIOLpie"/>
        <w:jc w:val="left"/>
        <w:rPr>
          <w:rFonts w:asciiTheme="minorHAnsi" w:hAnsiTheme="minorHAnsi"/>
          <w:sz w:val="18"/>
          <w:szCs w:val="18"/>
        </w:rPr>
      </w:pPr>
      <w:r w:rsidRPr="000F279B">
        <w:rPr>
          <w:rStyle w:val="Refdenotaalpie"/>
          <w:rFonts w:asciiTheme="minorHAnsi" w:hAnsiTheme="minorHAnsi"/>
          <w:sz w:val="18"/>
          <w:szCs w:val="18"/>
        </w:rPr>
        <w:footnoteRef/>
      </w:r>
      <w:r w:rsidR="000F279B" w:rsidRPr="000F279B">
        <w:rPr>
          <w:rFonts w:asciiTheme="minorHAnsi" w:hAnsiTheme="minorHAnsi"/>
          <w:sz w:val="18"/>
          <w:szCs w:val="18"/>
        </w:rPr>
        <w:t xml:space="preserve"> </w:t>
      </w:r>
      <w:r w:rsidRPr="000F279B">
        <w:rPr>
          <w:rFonts w:asciiTheme="minorHAnsi" w:hAnsiTheme="minorHAnsi"/>
          <w:i/>
          <w:sz w:val="18"/>
          <w:szCs w:val="18"/>
        </w:rPr>
        <w:t>Código Federal de Procesamientos Civiles</w:t>
      </w:r>
      <w:r w:rsidRPr="000F279B">
        <w:rPr>
          <w:rFonts w:asciiTheme="minorHAnsi" w:hAnsiTheme="minorHAnsi"/>
          <w:sz w:val="18"/>
          <w:szCs w:val="18"/>
        </w:rPr>
        <w:t xml:space="preserve">, </w:t>
      </w:r>
      <w:r w:rsidR="000F279B" w:rsidRPr="000F279B">
        <w:rPr>
          <w:rFonts w:asciiTheme="minorHAnsi" w:hAnsiTheme="minorHAnsi"/>
          <w:sz w:val="18"/>
          <w:szCs w:val="18"/>
        </w:rPr>
        <w:t>artículos 580</w:t>
      </w:r>
      <w:r w:rsidRPr="000F279B">
        <w:rPr>
          <w:rFonts w:asciiTheme="minorHAnsi" w:hAnsiTheme="minorHAnsi"/>
          <w:sz w:val="18"/>
          <w:szCs w:val="18"/>
        </w:rPr>
        <w:t xml:space="preserve">, 581, 582, 604 y 605, publicado en el </w:t>
      </w:r>
      <w:r w:rsidRPr="000F279B">
        <w:rPr>
          <w:rFonts w:asciiTheme="minorHAnsi" w:hAnsiTheme="minorHAnsi"/>
          <w:i/>
          <w:sz w:val="18"/>
          <w:szCs w:val="18"/>
        </w:rPr>
        <w:t>Diario Oficial de la Federación</w:t>
      </w:r>
      <w:r w:rsidRPr="000F279B">
        <w:rPr>
          <w:rFonts w:asciiTheme="minorHAnsi" w:hAnsiTheme="minorHAnsi"/>
          <w:sz w:val="18"/>
          <w:szCs w:val="18"/>
        </w:rPr>
        <w:t xml:space="preserve"> el 24 de febrero de 1943. Última reforma publicada DOF 07-06-2021, H. Congreso de la Unión. (Última reforma publicada DOF 07-06-2023).</w:t>
      </w:r>
    </w:p>
  </w:footnote>
  <w:footnote w:id="22">
    <w:p w14:paraId="1EFA6127" w14:textId="3F698FAD"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Pr="000F279B">
        <w:rPr>
          <w:rFonts w:asciiTheme="minorHAnsi" w:hAnsiTheme="minorHAnsi"/>
          <w:i/>
          <w:sz w:val="18"/>
          <w:szCs w:val="18"/>
        </w:rPr>
        <w:t xml:space="preserve">Código Nacional de Procedimientos Civiles y Familiares, </w:t>
      </w:r>
      <w:r w:rsidRPr="000F279B">
        <w:rPr>
          <w:rFonts w:asciiTheme="minorHAnsi" w:hAnsiTheme="minorHAnsi"/>
          <w:sz w:val="18"/>
          <w:szCs w:val="18"/>
        </w:rPr>
        <w:t xml:space="preserve">artículos 856, 857, 858, 881 y 882 del </w:t>
      </w:r>
      <w:r w:rsidRPr="000F279B">
        <w:rPr>
          <w:rFonts w:asciiTheme="minorHAnsi" w:hAnsiTheme="minorHAnsi"/>
          <w:i/>
          <w:sz w:val="18"/>
          <w:szCs w:val="18"/>
        </w:rPr>
        <w:t>Diario Oficial de la Federación</w:t>
      </w:r>
      <w:r w:rsidRPr="000F279B">
        <w:rPr>
          <w:rFonts w:asciiTheme="minorHAnsi" w:hAnsiTheme="minorHAnsi"/>
          <w:sz w:val="18"/>
          <w:szCs w:val="18"/>
        </w:rPr>
        <w:t xml:space="preserve"> el 7 de junio de 2023. H. Congreso de la Unión. (Última reforma publicada DOF 07-06-2023).</w:t>
      </w:r>
    </w:p>
  </w:footnote>
  <w:footnote w:id="23">
    <w:p w14:paraId="07986719" w14:textId="21A78B78"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“La Acción Colectiva”, Suprema Corte de Justicia de la Nación, acceso el 22 de agosto de 2025, </w:t>
      </w:r>
      <w:hyperlink r:id="rId5" w:history="1">
        <w:r w:rsidRPr="000F279B">
          <w:rPr>
            <w:rStyle w:val="Hipervnculo"/>
            <w:rFonts w:asciiTheme="minorHAnsi" w:hAnsiTheme="minorHAnsi"/>
            <w:sz w:val="18"/>
            <w:szCs w:val="18"/>
          </w:rPr>
          <w:t>https://www.scjn.gob.mx/derechos-humanos/accion-colectiva</w:t>
        </w:r>
      </w:hyperlink>
    </w:p>
  </w:footnote>
  <w:footnote w:id="24">
    <w:p w14:paraId="11939F4C" w14:textId="72F85BD0"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bookmarkStart w:id="8" w:name="_Hlk216717514"/>
      <w:r w:rsidRPr="000F279B">
        <w:rPr>
          <w:rFonts w:asciiTheme="minorHAnsi" w:hAnsiTheme="minorHAnsi"/>
          <w:sz w:val="18"/>
          <w:szCs w:val="18"/>
        </w:rPr>
        <w:t xml:space="preserve">“Diario Oficial de la Federación”, Gobernación. Secretaría de Gobernación, acceso el 6 de marzo de 2024, </w:t>
      </w:r>
      <w:hyperlink r:id="rId6" w:history="1">
        <w:r w:rsidRPr="000F279B">
          <w:rPr>
            <w:rStyle w:val="Hipervnculo"/>
            <w:rFonts w:asciiTheme="minorHAnsi" w:hAnsiTheme="minorHAnsi"/>
            <w:iCs/>
            <w:sz w:val="18"/>
            <w:szCs w:val="18"/>
          </w:rPr>
          <w:t>https://www.dof.gob.mx/index_113.php?year=2011&amp;month=06&amp;day=10#gsc.tab=0</w:t>
        </w:r>
      </w:hyperlink>
    </w:p>
    <w:bookmarkEnd w:id="8"/>
  </w:footnote>
  <w:footnote w:id="25">
    <w:p w14:paraId="6CA36DBA" w14:textId="627C5DDB"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bookmarkStart w:id="9" w:name="_Hlk216716794"/>
      <w:r w:rsidRPr="000F279B">
        <w:rPr>
          <w:rFonts w:asciiTheme="minorHAnsi" w:hAnsiTheme="minorHAnsi"/>
          <w:sz w:val="18"/>
          <w:szCs w:val="18"/>
        </w:rPr>
        <w:t>Suprema Corte de Justicia de la Nación, Contradicción de Tesis 293/2011, Pleno, Min. Arturo Zaldívar Lelo de Larrea, sentencia de 3 de septiembre de 2013, México.</w:t>
      </w:r>
    </w:p>
    <w:bookmarkEnd w:id="9"/>
  </w:footnote>
  <w:footnote w:id="26">
    <w:p w14:paraId="1224D7A6" w14:textId="283F2239"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00972064" w:rsidRPr="000F279B">
        <w:rPr>
          <w:rFonts w:asciiTheme="minorHAnsi" w:hAnsiTheme="minorHAnsi"/>
          <w:sz w:val="18"/>
          <w:szCs w:val="18"/>
        </w:rPr>
        <w:t xml:space="preserve"> “</w:t>
      </w:r>
      <w:r w:rsidRPr="000F279B">
        <w:rPr>
          <w:rFonts w:asciiTheme="minorHAnsi" w:hAnsiTheme="minorHAnsi"/>
          <w:sz w:val="18"/>
          <w:szCs w:val="18"/>
        </w:rPr>
        <w:t>El Control de Convencionalidad y la Jurisprudencia Interamericana</w:t>
      </w:r>
      <w:r w:rsidR="00972064" w:rsidRPr="000F279B">
        <w:rPr>
          <w:rFonts w:asciiTheme="minorHAnsi" w:hAnsiTheme="minorHAnsi"/>
          <w:sz w:val="18"/>
          <w:szCs w:val="18"/>
        </w:rPr>
        <w:t>”</w:t>
      </w:r>
      <w:r w:rsidRPr="000F279B">
        <w:rPr>
          <w:rFonts w:asciiTheme="minorHAnsi" w:hAnsiTheme="minorHAnsi"/>
          <w:sz w:val="18"/>
          <w:szCs w:val="18"/>
        </w:rPr>
        <w:t xml:space="preserve">, Suprema Corte de Justicia de la Nación, </w:t>
      </w:r>
      <w:r w:rsidR="00102E44" w:rsidRPr="000F279B">
        <w:rPr>
          <w:rFonts w:asciiTheme="minorHAnsi" w:hAnsiTheme="minorHAnsi"/>
          <w:sz w:val="18"/>
          <w:szCs w:val="18"/>
        </w:rPr>
        <w:t xml:space="preserve">acceso </w:t>
      </w:r>
      <w:r w:rsidRPr="000F279B">
        <w:rPr>
          <w:rFonts w:asciiTheme="minorHAnsi" w:hAnsiTheme="minorHAnsi"/>
          <w:sz w:val="18"/>
          <w:szCs w:val="18"/>
        </w:rPr>
        <w:t>el 23 de agosto de 2025, https://www.scjn.gob.mx/derechos-humanos/control-convencionalidad</w:t>
      </w:r>
    </w:p>
  </w:footnote>
  <w:footnote w:id="27">
    <w:p w14:paraId="07FD66E6" w14:textId="0215812D"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bookmarkStart w:id="10" w:name="OLE_LINK63"/>
      <w:r w:rsidR="00710792" w:rsidRPr="000F279B">
        <w:rPr>
          <w:rFonts w:asciiTheme="minorHAnsi" w:hAnsiTheme="minorHAnsi"/>
          <w:sz w:val="18"/>
          <w:szCs w:val="18"/>
        </w:rPr>
        <w:t xml:space="preserve">Ramón Ortega García, “El enfoque restrictivo de los derechos humanos: comentarios a la contradicción de tesis 293/2011”, </w:t>
      </w:r>
      <w:r w:rsidR="00710792" w:rsidRPr="000F279B">
        <w:rPr>
          <w:rFonts w:asciiTheme="minorHAnsi" w:hAnsiTheme="minorHAnsi"/>
          <w:i/>
          <w:iCs/>
          <w:sz w:val="18"/>
          <w:szCs w:val="18"/>
        </w:rPr>
        <w:t>Cuestiones Constitucionales. Revista Mexicana de Derecho Constitucional</w:t>
      </w:r>
      <w:r w:rsidR="00710792" w:rsidRPr="000F279B">
        <w:rPr>
          <w:rFonts w:asciiTheme="minorHAnsi" w:hAnsiTheme="minorHAnsi"/>
          <w:sz w:val="18"/>
          <w:szCs w:val="18"/>
        </w:rPr>
        <w:t xml:space="preserve">, núm. 32 (2015): 91–102, </w:t>
      </w:r>
      <w:hyperlink r:id="rId7" w:history="1">
        <w:r w:rsidR="00710792" w:rsidRPr="000F279B">
          <w:rPr>
            <w:rStyle w:val="Hipervnculo"/>
            <w:rFonts w:asciiTheme="minorHAnsi" w:hAnsiTheme="minorHAnsi"/>
            <w:sz w:val="18"/>
            <w:szCs w:val="18"/>
          </w:rPr>
          <w:t>https://www.scielo.org.mx/scielo.php?pid=S1405-91932015000100009&amp;script=sci_arttext</w:t>
        </w:r>
      </w:hyperlink>
      <w:r w:rsidR="00710792" w:rsidRPr="000F279B">
        <w:rPr>
          <w:rFonts w:asciiTheme="minorHAnsi" w:hAnsiTheme="minorHAnsi"/>
          <w:sz w:val="18"/>
          <w:szCs w:val="18"/>
        </w:rPr>
        <w:t>.</w:t>
      </w:r>
      <w:bookmarkEnd w:id="10"/>
    </w:p>
  </w:footnote>
  <w:footnote w:id="28">
    <w:p w14:paraId="04FE29D1" w14:textId="72E2DA36" w:rsidR="009F0169" w:rsidRPr="000F279B" w:rsidRDefault="009F0169" w:rsidP="000F279B">
      <w:pPr>
        <w:pStyle w:val="BIOLpie"/>
        <w:jc w:val="left"/>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bookmarkStart w:id="11" w:name="_Hlk216716410"/>
      <w:r w:rsidR="00102E44" w:rsidRPr="000F279B">
        <w:rPr>
          <w:rFonts w:asciiTheme="minorHAnsi" w:hAnsiTheme="minorHAnsi"/>
          <w:sz w:val="18"/>
          <w:szCs w:val="18"/>
        </w:rPr>
        <w:t>Alberto</w:t>
      </w:r>
      <w:r w:rsidR="00972064" w:rsidRPr="000F279B">
        <w:rPr>
          <w:rFonts w:asciiTheme="minorHAnsi" w:hAnsiTheme="minorHAnsi"/>
          <w:sz w:val="18"/>
          <w:szCs w:val="18"/>
        </w:rPr>
        <w:t xml:space="preserve"> </w:t>
      </w:r>
      <w:r w:rsidRPr="000F279B">
        <w:rPr>
          <w:rFonts w:asciiTheme="minorHAnsi" w:hAnsiTheme="minorHAnsi"/>
          <w:sz w:val="18"/>
          <w:szCs w:val="18"/>
        </w:rPr>
        <w:t xml:space="preserve">Puppo, "De Kelsen a la contradicción de tesis 293/2011: </w:t>
      </w:r>
      <w:r w:rsidR="00972064" w:rsidRPr="000F279B">
        <w:rPr>
          <w:rFonts w:asciiTheme="minorHAnsi" w:hAnsiTheme="minorHAnsi"/>
          <w:sz w:val="18"/>
          <w:szCs w:val="18"/>
        </w:rPr>
        <w:t>l</w:t>
      </w:r>
      <w:r w:rsidRPr="000F279B">
        <w:rPr>
          <w:rFonts w:asciiTheme="minorHAnsi" w:hAnsiTheme="minorHAnsi"/>
          <w:sz w:val="18"/>
          <w:szCs w:val="18"/>
        </w:rPr>
        <w:t>os conflictos normativos entre jerarquías formales y decisionismo"</w:t>
      </w:r>
      <w:r w:rsidR="00972064" w:rsidRPr="000F279B">
        <w:rPr>
          <w:rFonts w:asciiTheme="minorHAnsi" w:hAnsiTheme="minorHAnsi"/>
          <w:sz w:val="18"/>
          <w:szCs w:val="18"/>
        </w:rPr>
        <w:t>,</w:t>
      </w:r>
      <w:r w:rsidRPr="000F279B">
        <w:rPr>
          <w:rFonts w:asciiTheme="minorHAnsi" w:hAnsiTheme="minorHAnsi"/>
          <w:sz w:val="18"/>
          <w:szCs w:val="18"/>
        </w:rPr>
        <w:t xml:space="preserve"> </w:t>
      </w:r>
      <w:r w:rsidRPr="000F279B">
        <w:rPr>
          <w:rFonts w:asciiTheme="minorHAnsi" w:hAnsiTheme="minorHAnsi"/>
          <w:i/>
          <w:sz w:val="18"/>
          <w:szCs w:val="18"/>
        </w:rPr>
        <w:t>Boletín Mexicano de Derecho Comparado</w:t>
      </w:r>
      <w:r w:rsidR="00102E44" w:rsidRPr="000F279B">
        <w:rPr>
          <w:rFonts w:asciiTheme="minorHAnsi" w:hAnsiTheme="minorHAnsi"/>
          <w:iCs/>
          <w:sz w:val="18"/>
          <w:szCs w:val="18"/>
        </w:rPr>
        <w:t xml:space="preserve"> 147,</w:t>
      </w:r>
      <w:r w:rsidRPr="000F279B">
        <w:rPr>
          <w:rFonts w:asciiTheme="minorHAnsi" w:hAnsiTheme="minorHAnsi"/>
          <w:sz w:val="18"/>
          <w:szCs w:val="18"/>
        </w:rPr>
        <w:t xml:space="preserve"> </w:t>
      </w:r>
      <w:r w:rsidR="00972064" w:rsidRPr="000F279B">
        <w:rPr>
          <w:rFonts w:asciiTheme="minorHAnsi" w:hAnsiTheme="minorHAnsi"/>
          <w:sz w:val="18"/>
          <w:szCs w:val="18"/>
        </w:rPr>
        <w:t>n.</w:t>
      </w:r>
      <w:r w:rsidR="00F565C2" w:rsidRPr="000F279B">
        <w:rPr>
          <w:rFonts w:asciiTheme="minorHAnsi" w:hAnsiTheme="minorHAnsi"/>
          <w:sz w:val="18"/>
          <w:szCs w:val="18"/>
          <w:vertAlign w:val="superscript"/>
        </w:rPr>
        <w:t xml:space="preserve">o </w:t>
      </w:r>
      <w:r w:rsidR="00972064" w:rsidRPr="000F279B">
        <w:rPr>
          <w:rFonts w:asciiTheme="minorHAnsi" w:hAnsiTheme="minorHAnsi"/>
          <w:sz w:val="18"/>
          <w:szCs w:val="18"/>
        </w:rPr>
        <w:t>1</w:t>
      </w:r>
      <w:r w:rsidR="00F565C2" w:rsidRPr="000F279B">
        <w:rPr>
          <w:rFonts w:asciiTheme="minorHAnsi" w:hAnsiTheme="minorHAnsi"/>
          <w:sz w:val="18"/>
          <w:szCs w:val="18"/>
        </w:rPr>
        <w:t xml:space="preserve"> (2016)</w:t>
      </w:r>
      <w:r w:rsidR="00972064" w:rsidRPr="000F279B">
        <w:rPr>
          <w:rFonts w:asciiTheme="minorHAnsi" w:hAnsiTheme="minorHAnsi"/>
          <w:sz w:val="18"/>
          <w:szCs w:val="18"/>
        </w:rPr>
        <w:t xml:space="preserve"> </w:t>
      </w:r>
      <w:r w:rsidRPr="000F279B">
        <w:rPr>
          <w:rFonts w:asciiTheme="minorHAnsi" w:hAnsiTheme="minorHAnsi"/>
          <w:sz w:val="18"/>
          <w:szCs w:val="18"/>
        </w:rPr>
        <w:t>173-213</w:t>
      </w:r>
      <w:r w:rsidR="00F565C2" w:rsidRPr="000F279B">
        <w:rPr>
          <w:rFonts w:asciiTheme="minorHAnsi" w:hAnsiTheme="minorHAnsi"/>
          <w:sz w:val="18"/>
          <w:szCs w:val="18"/>
        </w:rPr>
        <w:t xml:space="preserve">, </w:t>
      </w:r>
      <w:hyperlink r:id="rId8" w:history="1">
        <w:r w:rsidR="00F565C2" w:rsidRPr="000F279B">
          <w:rPr>
            <w:rStyle w:val="Hipervnculo"/>
            <w:rFonts w:asciiTheme="minorHAnsi" w:hAnsiTheme="minorHAnsi"/>
            <w:sz w:val="18"/>
            <w:szCs w:val="18"/>
          </w:rPr>
          <w:t>https://revistas.juridicas.unam.mx/index.php/derecho-comparado/article/view/10643</w:t>
        </w:r>
      </w:hyperlink>
    </w:p>
    <w:bookmarkEnd w:id="11"/>
  </w:footnote>
  <w:footnote w:id="29">
    <w:p w14:paraId="20BA260F" w14:textId="5E722707"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El Universal</w:t>
      </w:r>
      <w:r w:rsidR="00DD271A" w:rsidRPr="000F279B">
        <w:rPr>
          <w:rFonts w:asciiTheme="minorHAnsi" w:hAnsiTheme="minorHAnsi"/>
          <w:sz w:val="18"/>
          <w:szCs w:val="18"/>
        </w:rPr>
        <w:t xml:space="preserve">, </w:t>
      </w:r>
      <w:r w:rsidRPr="000F279B">
        <w:rPr>
          <w:rFonts w:asciiTheme="minorHAnsi" w:hAnsiTheme="minorHAnsi"/>
          <w:sz w:val="18"/>
          <w:szCs w:val="18"/>
        </w:rPr>
        <w:t>"Aprueban el matrimonio igualitario en Guanajuato".</w:t>
      </w:r>
      <w:r w:rsidR="00DD271A" w:rsidRPr="000F279B">
        <w:rPr>
          <w:rFonts w:asciiTheme="minorHAnsi" w:hAnsiTheme="minorHAnsi"/>
          <w:i/>
          <w:sz w:val="18"/>
          <w:szCs w:val="18"/>
        </w:rPr>
        <w:t xml:space="preserve"> El Universal</w:t>
      </w:r>
      <w:r w:rsidR="00DD271A" w:rsidRPr="000F279B">
        <w:rPr>
          <w:rFonts w:asciiTheme="minorHAnsi" w:hAnsiTheme="minorHAnsi"/>
          <w:sz w:val="18"/>
          <w:szCs w:val="18"/>
        </w:rPr>
        <w:t xml:space="preserve">, </w:t>
      </w:r>
      <w:r w:rsidRPr="000F279B">
        <w:rPr>
          <w:rFonts w:asciiTheme="minorHAnsi" w:hAnsiTheme="minorHAnsi"/>
          <w:sz w:val="18"/>
          <w:szCs w:val="18"/>
        </w:rPr>
        <w:t>21 de diciembre de 2021</w:t>
      </w:r>
      <w:r w:rsidR="00DD271A" w:rsidRPr="000F279B">
        <w:rPr>
          <w:rFonts w:asciiTheme="minorHAnsi" w:hAnsiTheme="minorHAnsi"/>
          <w:sz w:val="18"/>
          <w:szCs w:val="18"/>
        </w:rPr>
        <w:t>, acceso el 23 de enero de 2024,</w:t>
      </w:r>
      <w:r w:rsidRPr="000F279B">
        <w:rPr>
          <w:rFonts w:asciiTheme="minorHAnsi" w:hAnsiTheme="minorHAnsi"/>
          <w:sz w:val="18"/>
          <w:szCs w:val="18"/>
        </w:rPr>
        <w:t xml:space="preserve"> </w:t>
      </w:r>
      <w:hyperlink r:id="rId9" w:history="1">
        <w:r w:rsidRPr="000F279B">
          <w:rPr>
            <w:rStyle w:val="Hipervnculo"/>
            <w:rFonts w:asciiTheme="minorHAnsi" w:hAnsiTheme="minorHAnsi"/>
            <w:sz w:val="18"/>
            <w:szCs w:val="18"/>
          </w:rPr>
          <w:t>https://www.eluniversal.com.mx/estados/aprueban-el-matrimonio-igualitario-en-guanajuato</w:t>
        </w:r>
      </w:hyperlink>
    </w:p>
  </w:footnote>
  <w:footnote w:id="30">
    <w:p w14:paraId="5CAC8DF4" w14:textId="2FD38D62" w:rsidR="009F0169" w:rsidRPr="000F279B" w:rsidRDefault="009F0169" w:rsidP="000F279B">
      <w:pPr>
        <w:pStyle w:val="BIOLpie"/>
        <w:jc w:val="left"/>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Suprema Corte de Justicia de la Nación [SCJN]. 2012. Amparo en revisión 581/2012. Ministro ponente: Arturo Zaldívar Lelo de Larrea. Acuerdo del 5 de diciembre de 2012. </w:t>
      </w:r>
      <w:hyperlink r:id="rId10" w:history="1">
        <w:r w:rsidRPr="000F279B">
          <w:rPr>
            <w:rStyle w:val="Hipervnculo"/>
            <w:rFonts w:asciiTheme="minorHAnsi" w:hAnsiTheme="minorHAnsi"/>
            <w:sz w:val="18"/>
            <w:szCs w:val="18"/>
          </w:rPr>
          <w:t>https://www.scjn.gob.mx/derechos-humanos/sites/default/files/sentencias-emblematicas/sentencia/2022-02/AR%20581-2012.pdf</w:t>
        </w:r>
      </w:hyperlink>
    </w:p>
  </w:footnote>
  <w:footnote w:id="31">
    <w:p w14:paraId="59D9218A" w14:textId="0791BF1E" w:rsidR="009F0169" w:rsidRPr="000F279B" w:rsidRDefault="009F0169" w:rsidP="000F279B">
      <w:pPr>
        <w:pStyle w:val="BIOLpie"/>
        <w:jc w:val="left"/>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Corte Interamericana de Derechos Humanos</w:t>
      </w:r>
      <w:r w:rsidR="005C28F7" w:rsidRPr="000F279B">
        <w:rPr>
          <w:rFonts w:asciiTheme="minorHAnsi" w:hAnsiTheme="minorHAnsi"/>
          <w:sz w:val="18"/>
          <w:szCs w:val="18"/>
        </w:rPr>
        <w:t xml:space="preserve">, “Cuadernillo de jurisprudencia de la Corte Interamericana de Derechos Humanos No. 19: Derechos de las personas LGTBI” (San José: Corte IDH, </w:t>
      </w:r>
      <w:r w:rsidRPr="000F279B">
        <w:rPr>
          <w:rFonts w:asciiTheme="minorHAnsi" w:hAnsiTheme="minorHAnsi"/>
          <w:sz w:val="18"/>
          <w:szCs w:val="18"/>
        </w:rPr>
        <w:t xml:space="preserve"> 2017</w:t>
      </w:r>
      <w:r w:rsidR="005C28F7" w:rsidRPr="000F279B">
        <w:rPr>
          <w:rFonts w:asciiTheme="minorHAnsi" w:hAnsiTheme="minorHAnsi"/>
          <w:sz w:val="18"/>
          <w:szCs w:val="18"/>
        </w:rPr>
        <w:t>)</w:t>
      </w:r>
      <w:r w:rsidRPr="000F279B">
        <w:rPr>
          <w:rFonts w:asciiTheme="minorHAnsi" w:hAnsiTheme="minorHAnsi"/>
          <w:sz w:val="18"/>
          <w:szCs w:val="18"/>
        </w:rPr>
        <w:t xml:space="preserve">.  </w:t>
      </w:r>
      <w:hyperlink r:id="rId11" w:history="1">
        <w:r w:rsidRPr="000F279B">
          <w:rPr>
            <w:rStyle w:val="Hipervnculo"/>
            <w:rFonts w:asciiTheme="minorHAnsi" w:hAnsiTheme="minorHAnsi"/>
            <w:sz w:val="18"/>
            <w:szCs w:val="18"/>
          </w:rPr>
          <w:t>https://www.corteidh.or.cr/sitios/libros/todos/docs/cuadernillo19.pdf</w:t>
        </w:r>
      </w:hyperlink>
    </w:p>
  </w:footnote>
  <w:footnote w:id="32">
    <w:p w14:paraId="5708844C" w14:textId="51AF0E01"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bookmarkStart w:id="12" w:name="OLE_LINK65"/>
      <w:r w:rsidR="00562E9B" w:rsidRPr="000F279B">
        <w:rPr>
          <w:rFonts w:asciiTheme="minorHAnsi" w:hAnsiTheme="minorHAnsi"/>
          <w:sz w:val="18"/>
          <w:szCs w:val="18"/>
        </w:rPr>
        <w:t>“</w:t>
      </w:r>
      <w:r w:rsidRPr="000F279B">
        <w:rPr>
          <w:rFonts w:asciiTheme="minorHAnsi" w:hAnsiTheme="minorHAnsi"/>
          <w:sz w:val="18"/>
          <w:szCs w:val="18"/>
        </w:rPr>
        <w:t xml:space="preserve">Fundamento del </w:t>
      </w:r>
      <w:r w:rsidR="00562E9B" w:rsidRPr="000F279B">
        <w:rPr>
          <w:rFonts w:asciiTheme="minorHAnsi" w:hAnsiTheme="minorHAnsi"/>
          <w:sz w:val="18"/>
          <w:szCs w:val="18"/>
        </w:rPr>
        <w:t>m</w:t>
      </w:r>
      <w:r w:rsidRPr="000F279B">
        <w:rPr>
          <w:rFonts w:asciiTheme="minorHAnsi" w:hAnsiTheme="minorHAnsi"/>
          <w:sz w:val="18"/>
          <w:szCs w:val="18"/>
        </w:rPr>
        <w:t xml:space="preserve">atrimonio </w:t>
      </w:r>
      <w:r w:rsidR="00562E9B" w:rsidRPr="000F279B">
        <w:rPr>
          <w:rFonts w:asciiTheme="minorHAnsi" w:hAnsiTheme="minorHAnsi"/>
          <w:sz w:val="18"/>
          <w:szCs w:val="18"/>
        </w:rPr>
        <w:t>i</w:t>
      </w:r>
      <w:r w:rsidRPr="000F279B">
        <w:rPr>
          <w:rFonts w:asciiTheme="minorHAnsi" w:hAnsiTheme="minorHAnsi"/>
          <w:sz w:val="18"/>
          <w:szCs w:val="18"/>
        </w:rPr>
        <w:t xml:space="preserve">gualitario y </w:t>
      </w:r>
      <w:r w:rsidR="00562E9B" w:rsidRPr="000F279B">
        <w:rPr>
          <w:rFonts w:asciiTheme="minorHAnsi" w:hAnsiTheme="minorHAnsi"/>
          <w:sz w:val="18"/>
          <w:szCs w:val="18"/>
        </w:rPr>
        <w:t>n</w:t>
      </w:r>
      <w:r w:rsidRPr="000F279B">
        <w:rPr>
          <w:rFonts w:asciiTheme="minorHAnsi" w:hAnsiTheme="minorHAnsi"/>
          <w:sz w:val="18"/>
          <w:szCs w:val="18"/>
        </w:rPr>
        <w:t xml:space="preserve">o </w:t>
      </w:r>
      <w:r w:rsidR="00562E9B" w:rsidRPr="000F279B">
        <w:rPr>
          <w:rFonts w:asciiTheme="minorHAnsi" w:hAnsiTheme="minorHAnsi"/>
          <w:sz w:val="18"/>
          <w:szCs w:val="18"/>
        </w:rPr>
        <w:t>d</w:t>
      </w:r>
      <w:r w:rsidRPr="000F279B">
        <w:rPr>
          <w:rFonts w:asciiTheme="minorHAnsi" w:hAnsiTheme="minorHAnsi"/>
          <w:sz w:val="18"/>
          <w:szCs w:val="18"/>
        </w:rPr>
        <w:t>iscriminación</w:t>
      </w:r>
      <w:r w:rsidR="00562E9B" w:rsidRPr="000F279B">
        <w:rPr>
          <w:rFonts w:asciiTheme="minorHAnsi" w:hAnsiTheme="minorHAnsi"/>
          <w:sz w:val="18"/>
          <w:szCs w:val="18"/>
        </w:rPr>
        <w:t>”</w:t>
      </w:r>
      <w:r w:rsidRPr="000F279B">
        <w:rPr>
          <w:rFonts w:asciiTheme="minorHAnsi" w:hAnsiTheme="minorHAnsi"/>
          <w:sz w:val="18"/>
          <w:szCs w:val="18"/>
        </w:rPr>
        <w:t xml:space="preserve">, Suprema Corte de Justicia de la Nación, </w:t>
      </w:r>
      <w:r w:rsidR="008E2FC1" w:rsidRPr="000F279B">
        <w:rPr>
          <w:rFonts w:asciiTheme="minorHAnsi" w:hAnsiTheme="minorHAnsi"/>
          <w:sz w:val="18"/>
          <w:szCs w:val="18"/>
        </w:rPr>
        <w:t xml:space="preserve">acceso </w:t>
      </w:r>
      <w:r w:rsidRPr="000F279B">
        <w:rPr>
          <w:rFonts w:asciiTheme="minorHAnsi" w:hAnsiTheme="minorHAnsi"/>
          <w:sz w:val="18"/>
          <w:szCs w:val="18"/>
        </w:rPr>
        <w:t xml:space="preserve">el 23 de agosto de 2025, </w:t>
      </w:r>
      <w:bookmarkStart w:id="13" w:name="OLE_LINK66"/>
      <w:r w:rsidR="000F279B" w:rsidRPr="000F279B">
        <w:rPr>
          <w:rFonts w:asciiTheme="minorHAnsi" w:hAnsiTheme="minorHAnsi"/>
          <w:sz w:val="18"/>
          <w:szCs w:val="18"/>
        </w:rPr>
        <w:fldChar w:fldCharType="begin"/>
      </w:r>
      <w:r w:rsidR="000F279B" w:rsidRPr="000F279B">
        <w:rPr>
          <w:rFonts w:asciiTheme="minorHAnsi" w:hAnsiTheme="minorHAnsi"/>
          <w:sz w:val="18"/>
          <w:szCs w:val="18"/>
        </w:rPr>
        <w:instrText>HYPERLINK "https://www.scjn.gob.mx/derechos-humanos/matrimonio-igualitario"</w:instrText>
      </w:r>
      <w:r w:rsidR="000F279B" w:rsidRPr="000F279B">
        <w:rPr>
          <w:rFonts w:asciiTheme="minorHAnsi" w:hAnsiTheme="minorHAnsi"/>
          <w:sz w:val="18"/>
          <w:szCs w:val="18"/>
        </w:rPr>
      </w:r>
      <w:r w:rsidR="000F279B" w:rsidRPr="000F279B">
        <w:rPr>
          <w:rFonts w:asciiTheme="minorHAnsi" w:hAnsiTheme="minorHAnsi"/>
          <w:sz w:val="18"/>
          <w:szCs w:val="18"/>
        </w:rPr>
        <w:fldChar w:fldCharType="separate"/>
      </w:r>
      <w:r w:rsidRPr="000F279B">
        <w:rPr>
          <w:rStyle w:val="Hipervnculo"/>
          <w:rFonts w:asciiTheme="minorHAnsi" w:hAnsiTheme="minorHAnsi"/>
          <w:sz w:val="18"/>
          <w:szCs w:val="18"/>
        </w:rPr>
        <w:t>https://www.scjn.gob.mx/derechos-humanos/matrimonio-igualitario</w:t>
      </w:r>
      <w:bookmarkEnd w:id="12"/>
      <w:r w:rsidR="000F279B" w:rsidRPr="000F279B">
        <w:rPr>
          <w:rFonts w:asciiTheme="minorHAnsi" w:hAnsiTheme="minorHAnsi"/>
          <w:sz w:val="18"/>
          <w:szCs w:val="18"/>
        </w:rPr>
        <w:fldChar w:fldCharType="end"/>
      </w:r>
    </w:p>
    <w:bookmarkEnd w:id="13"/>
  </w:footnote>
  <w:footnote w:id="33">
    <w:p w14:paraId="76E50860" w14:textId="6AF2FEFA"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Véase la tesis 1ª/J.43/2015(10a.), publicada en la Gaceta del Semanario Judicial de la Federación. Libro 19, Noviembre de 2015, Tomo I, página 536, de rubro: MATRIMONIO. LA LEY DE CUALQUIER ENTIDAD FEDERATIVA QUE, POR UN LADO, CONSIDERE QUE LA FINALIDAD DE AQUÉL ES LA PROCREACIÓN Y/O QUE LO DEFINA COMO EL QUE SE CELEBRA ENTRE UN HOMBRE Y UNA MUJER, ES INCONSTITUCIONAL”.</w:t>
      </w:r>
    </w:p>
  </w:footnote>
  <w:footnote w:id="34">
    <w:p w14:paraId="3461EBCC" w14:textId="6D6CDD24"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8F0D85" w:rsidRPr="000F279B">
        <w:rPr>
          <w:rFonts w:asciiTheme="minorHAnsi" w:hAnsiTheme="minorHAnsi"/>
          <w:sz w:val="18"/>
          <w:szCs w:val="18"/>
        </w:rPr>
        <w:t xml:space="preserve">“Caso García Rodríguez y Reyes Alpízar vs. México”, </w:t>
      </w:r>
      <w:r w:rsidRPr="000F279B">
        <w:rPr>
          <w:rFonts w:asciiTheme="minorHAnsi" w:hAnsiTheme="minorHAnsi"/>
          <w:sz w:val="18"/>
          <w:szCs w:val="18"/>
        </w:rPr>
        <w:t>Corte Interamericana de Derechos Humanos</w:t>
      </w:r>
      <w:r w:rsidR="008F0D85" w:rsidRPr="000F279B">
        <w:rPr>
          <w:rFonts w:asciiTheme="minorHAnsi" w:hAnsiTheme="minorHAnsi"/>
          <w:sz w:val="18"/>
          <w:szCs w:val="18"/>
        </w:rPr>
        <w:t xml:space="preserve">, </w:t>
      </w:r>
      <w:r w:rsidR="008E2FC1" w:rsidRPr="000F279B">
        <w:rPr>
          <w:rFonts w:asciiTheme="minorHAnsi" w:hAnsiTheme="minorHAnsi"/>
          <w:sz w:val="18"/>
          <w:szCs w:val="18"/>
        </w:rPr>
        <w:t>acceso</w:t>
      </w:r>
      <w:r w:rsidR="008F0D85" w:rsidRPr="000F279B">
        <w:rPr>
          <w:rFonts w:asciiTheme="minorHAnsi" w:hAnsiTheme="minorHAnsi"/>
          <w:sz w:val="18"/>
          <w:szCs w:val="18"/>
        </w:rPr>
        <w:t xml:space="preserve"> el 18 de enero de 2024,</w:t>
      </w:r>
      <w:r w:rsidRPr="000F279B">
        <w:rPr>
          <w:rFonts w:asciiTheme="minorHAnsi" w:hAnsiTheme="minorHAnsi"/>
          <w:sz w:val="18"/>
          <w:szCs w:val="18"/>
        </w:rPr>
        <w:t xml:space="preserve"> </w:t>
      </w:r>
      <w:hyperlink r:id="rId12" w:history="1">
        <w:r w:rsidRPr="000F279B">
          <w:rPr>
            <w:rStyle w:val="Hipervnculo"/>
            <w:rFonts w:asciiTheme="minorHAnsi" w:hAnsiTheme="minorHAnsi"/>
            <w:sz w:val="18"/>
            <w:szCs w:val="18"/>
          </w:rPr>
          <w:t>https://www.corteidh.or.cr/docs/casos/articulos/seriec_482_esp.pdf</w:t>
        </w:r>
      </w:hyperlink>
    </w:p>
  </w:footnote>
  <w:footnote w:id="35">
    <w:p w14:paraId="1E8107EA" w14:textId="5D7B6D9F"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Corte Interamericana de Derechos Humanos. 2022. Caso Tzompaxtle Tecpile y otros </w:t>
      </w:r>
      <w:r w:rsidR="008F0D85" w:rsidRPr="000F279B">
        <w:rPr>
          <w:rFonts w:asciiTheme="minorHAnsi" w:hAnsiTheme="minorHAnsi"/>
          <w:sz w:val="18"/>
          <w:szCs w:val="18"/>
        </w:rPr>
        <w:t>v</w:t>
      </w:r>
      <w:r w:rsidRPr="000F279B">
        <w:rPr>
          <w:rFonts w:asciiTheme="minorHAnsi" w:hAnsiTheme="minorHAnsi"/>
          <w:sz w:val="18"/>
          <w:szCs w:val="18"/>
        </w:rPr>
        <w:t>s. México. Sentencia de 7 de noviembre de 2022. Serie C No. 470.</w:t>
      </w:r>
    </w:p>
  </w:footnote>
  <w:footnote w:id="36">
    <w:p w14:paraId="4303C720" w14:textId="4249CAD3" w:rsidR="009F0169" w:rsidRPr="000F279B" w:rsidRDefault="009F0169" w:rsidP="000F279B">
      <w:pPr>
        <w:pStyle w:val="BIOLpie"/>
        <w:rPr>
          <w:rFonts w:asciiTheme="minorHAnsi" w:hAnsiTheme="minorHAnsi"/>
          <w:sz w:val="18"/>
          <w:szCs w:val="18"/>
          <w:lang w:val="pt-BR"/>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8F0D85" w:rsidRPr="000F279B">
        <w:rPr>
          <w:rFonts w:asciiTheme="minorHAnsi" w:hAnsiTheme="minorHAnsi"/>
          <w:sz w:val="18"/>
          <w:szCs w:val="18"/>
        </w:rPr>
        <w:t>E</w:t>
      </w:r>
      <w:r w:rsidRPr="000F279B">
        <w:rPr>
          <w:rFonts w:asciiTheme="minorHAnsi" w:hAnsiTheme="minorHAnsi"/>
          <w:sz w:val="18"/>
          <w:szCs w:val="18"/>
        </w:rPr>
        <w:t xml:space="preserve">jecutoria del Amparo en Revisión 630/2023 resuelto por la Primera Sala de la Suprema Corte de Justicia de la Nación. </w:t>
      </w:r>
      <w:r w:rsidRPr="000F279B">
        <w:rPr>
          <w:rFonts w:asciiTheme="minorHAnsi" w:hAnsiTheme="minorHAnsi"/>
          <w:sz w:val="18"/>
          <w:szCs w:val="18"/>
          <w:lang w:val="pt-BR"/>
        </w:rPr>
        <w:t>Ministro Ponente: Jorge Mario Pardo Rebolledo. Secretaria: Nínive Ileana Penagos Robles</w:t>
      </w:r>
    </w:p>
  </w:footnote>
  <w:footnote w:id="37">
    <w:p w14:paraId="70BBF1EF" w14:textId="6C9A2F85"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8F0D85" w:rsidRPr="000F279B">
        <w:rPr>
          <w:rFonts w:asciiTheme="minorHAnsi" w:hAnsiTheme="minorHAnsi"/>
          <w:sz w:val="18"/>
          <w:szCs w:val="18"/>
        </w:rPr>
        <w:t>T</w:t>
      </w:r>
      <w:r w:rsidRPr="000F279B">
        <w:rPr>
          <w:rFonts w:asciiTheme="minorHAnsi" w:hAnsiTheme="minorHAnsi"/>
          <w:sz w:val="18"/>
          <w:szCs w:val="18"/>
        </w:rPr>
        <w:t>esis X.P.J/1 P</w:t>
      </w:r>
      <w:r w:rsidR="003154AB" w:rsidRPr="000F279B">
        <w:rPr>
          <w:rFonts w:asciiTheme="minorHAnsi" w:hAnsiTheme="minorHAnsi"/>
          <w:sz w:val="18"/>
          <w:szCs w:val="18"/>
        </w:rPr>
        <w:t xml:space="preserve"> </w:t>
      </w:r>
      <w:r w:rsidRPr="000F279B">
        <w:rPr>
          <w:rFonts w:asciiTheme="minorHAnsi" w:hAnsiTheme="minorHAnsi"/>
          <w:sz w:val="18"/>
          <w:szCs w:val="18"/>
        </w:rPr>
        <w:t xml:space="preserve">(11a.), publicada en la Gaceta del Semanario Judicial de la Federación. Libro 30, </w:t>
      </w:r>
      <w:r w:rsidR="008F0D85" w:rsidRPr="000F279B">
        <w:rPr>
          <w:rFonts w:asciiTheme="minorHAnsi" w:hAnsiTheme="minorHAnsi"/>
          <w:sz w:val="18"/>
          <w:szCs w:val="18"/>
        </w:rPr>
        <w:t>o</w:t>
      </w:r>
      <w:r w:rsidRPr="000F279B">
        <w:rPr>
          <w:rFonts w:asciiTheme="minorHAnsi" w:hAnsiTheme="minorHAnsi"/>
          <w:sz w:val="18"/>
          <w:szCs w:val="18"/>
        </w:rPr>
        <w:t xml:space="preserve">ctubre de 2023, Tomo V, página 4694, de rubro: </w:t>
      </w:r>
      <w:r w:rsidR="008F0D85" w:rsidRPr="000F279B">
        <w:rPr>
          <w:rFonts w:asciiTheme="minorHAnsi" w:hAnsiTheme="minorHAnsi"/>
          <w:sz w:val="18"/>
          <w:szCs w:val="18"/>
        </w:rPr>
        <w:t>Prisión preventiva oficiosa. El artículo 167 del código nacional de procedimientos penales en la porción que la regula es inconvencional, de conformidad con la sentencia emitida por la Corte Interamericana de Derechos Humanos en el caso García Rodríguez y otro vs. México</w:t>
      </w:r>
    </w:p>
  </w:footnote>
  <w:footnote w:id="38">
    <w:p w14:paraId="771A7824" w14:textId="7BA3564B" w:rsidR="009F0169" w:rsidRPr="000F279B" w:rsidRDefault="009F0169" w:rsidP="000F279B">
      <w:pPr>
        <w:pStyle w:val="BIOLpie"/>
        <w:rPr>
          <w:rFonts w:asciiTheme="minorHAnsi" w:eastAsia="Book Antiqua" w:hAnsiTheme="minorHAnsi"/>
          <w:color w:val="000000"/>
          <w:sz w:val="18"/>
          <w:szCs w:val="18"/>
          <w:lang w:val="es-ES" w:eastAsia="es-ES" w:bidi="es-ES"/>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Ley de Amparo, </w:t>
      </w:r>
      <w:r w:rsidR="008F0D85" w:rsidRPr="000F279B">
        <w:rPr>
          <w:rFonts w:asciiTheme="minorHAnsi" w:hAnsiTheme="minorHAnsi"/>
          <w:sz w:val="18"/>
          <w:szCs w:val="18"/>
        </w:rPr>
        <w:t>R</w:t>
      </w:r>
      <w:r w:rsidRPr="000F279B">
        <w:rPr>
          <w:rFonts w:asciiTheme="minorHAnsi" w:hAnsiTheme="minorHAnsi"/>
          <w:sz w:val="18"/>
          <w:szCs w:val="18"/>
        </w:rPr>
        <w:t xml:space="preserve">eglamentaria de los </w:t>
      </w:r>
      <w:r w:rsidR="008F0D85" w:rsidRPr="000F279B">
        <w:rPr>
          <w:rFonts w:asciiTheme="minorHAnsi" w:hAnsiTheme="minorHAnsi"/>
          <w:sz w:val="18"/>
          <w:szCs w:val="18"/>
        </w:rPr>
        <w:t>A</w:t>
      </w:r>
      <w:r w:rsidRPr="000F279B">
        <w:rPr>
          <w:rFonts w:asciiTheme="minorHAnsi" w:hAnsiTheme="minorHAnsi"/>
          <w:sz w:val="18"/>
          <w:szCs w:val="18"/>
        </w:rPr>
        <w:t>rtículos 103 y 107 de la Constitución Política de los Estados Unidos Mexicanos</w:t>
      </w:r>
      <w:r w:rsidR="008F0D85" w:rsidRPr="000F279B">
        <w:rPr>
          <w:rFonts w:asciiTheme="minorHAnsi" w:hAnsiTheme="minorHAnsi"/>
          <w:sz w:val="18"/>
          <w:szCs w:val="18"/>
        </w:rPr>
        <w:t xml:space="preserve">, artículos 192 y 193, publicada en el </w:t>
      </w:r>
      <w:r w:rsidR="008F0D85" w:rsidRPr="000F279B">
        <w:rPr>
          <w:rFonts w:asciiTheme="minorHAnsi" w:hAnsiTheme="minorHAnsi"/>
          <w:i/>
          <w:sz w:val="18"/>
          <w:szCs w:val="18"/>
        </w:rPr>
        <w:t>Diario Oficial de la Federación</w:t>
      </w:r>
      <w:r w:rsidR="008F0D85" w:rsidRPr="000F279B">
        <w:rPr>
          <w:rFonts w:asciiTheme="minorHAnsi" w:hAnsiTheme="minorHAnsi"/>
          <w:sz w:val="18"/>
          <w:szCs w:val="18"/>
        </w:rPr>
        <w:t>.</w:t>
      </w:r>
    </w:p>
  </w:footnote>
  <w:footnote w:id="39">
    <w:p w14:paraId="19B18D75" w14:textId="6A18CCB4"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8F0D85" w:rsidRPr="000F279B">
        <w:rPr>
          <w:rFonts w:asciiTheme="minorHAnsi" w:hAnsiTheme="minorHAnsi"/>
          <w:i/>
          <w:sz w:val="18"/>
          <w:szCs w:val="18"/>
        </w:rPr>
        <w:t>T</w:t>
      </w:r>
      <w:r w:rsidRPr="000F279B">
        <w:rPr>
          <w:rFonts w:asciiTheme="minorHAnsi" w:hAnsiTheme="minorHAnsi"/>
          <w:i/>
          <w:sz w:val="18"/>
          <w:szCs w:val="18"/>
        </w:rPr>
        <w:t>esis 2a./J. 38/2002</w:t>
      </w:r>
      <w:r w:rsidRPr="000F279B">
        <w:rPr>
          <w:rFonts w:asciiTheme="minorHAnsi" w:hAnsiTheme="minorHAnsi"/>
          <w:sz w:val="18"/>
          <w:szCs w:val="18"/>
        </w:rPr>
        <w:t xml:space="preserve">, </w:t>
      </w:r>
      <w:r w:rsidR="003154AB" w:rsidRPr="000F279B">
        <w:rPr>
          <w:rFonts w:asciiTheme="minorHAnsi" w:hAnsiTheme="minorHAnsi"/>
          <w:sz w:val="18"/>
          <w:szCs w:val="18"/>
        </w:rPr>
        <w:t xml:space="preserve">“Jurisprudencia sobre inconstitucionalidad de leyes. Las autoridades administrativas no están obligadas a aplicarla al cumplir con la garantía de fundar y motivar sus actos”, </w:t>
      </w:r>
      <w:r w:rsidRPr="000F279B">
        <w:rPr>
          <w:rFonts w:asciiTheme="minorHAnsi" w:hAnsiTheme="minorHAnsi"/>
          <w:sz w:val="18"/>
          <w:szCs w:val="18"/>
        </w:rPr>
        <w:t>Semanario Judicial de la Federación y su Gaceta</w:t>
      </w:r>
      <w:r w:rsidR="003154AB" w:rsidRPr="000F279B">
        <w:rPr>
          <w:rFonts w:asciiTheme="minorHAnsi" w:hAnsiTheme="minorHAnsi"/>
          <w:sz w:val="18"/>
          <w:szCs w:val="18"/>
        </w:rPr>
        <w:t>,</w:t>
      </w:r>
      <w:r w:rsidRPr="000F279B">
        <w:rPr>
          <w:rFonts w:asciiTheme="minorHAnsi" w:hAnsiTheme="minorHAnsi"/>
          <w:sz w:val="18"/>
          <w:szCs w:val="18"/>
        </w:rPr>
        <w:t xml:space="preserve"> 2002, 175</w:t>
      </w:r>
      <w:r w:rsidR="003154AB" w:rsidRPr="000F279B">
        <w:rPr>
          <w:rFonts w:asciiTheme="minorHAnsi" w:hAnsiTheme="minorHAnsi"/>
          <w:sz w:val="18"/>
          <w:szCs w:val="18"/>
        </w:rPr>
        <w:t>.</w:t>
      </w:r>
    </w:p>
  </w:footnote>
  <w:footnote w:id="40">
    <w:p w14:paraId="3DB94805" w14:textId="54720868"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Artículo 158 del Código Nacional de Procedimientos Penales. Nuevo Código publicado en el Diario Oficial de la Federación el 5 de marzo de 2014. Última reforma publicada DOF 26-01-2024</w:t>
      </w:r>
    </w:p>
  </w:footnote>
  <w:footnote w:id="41">
    <w:p w14:paraId="0B817838" w14:textId="7646DCBC" w:rsidR="009F0169" w:rsidRPr="000F279B" w:rsidRDefault="009F0169" w:rsidP="000F279B">
      <w:pPr>
        <w:pStyle w:val="BIOLpie"/>
        <w:jc w:val="left"/>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C13E80" w:rsidRPr="000F279B">
        <w:rPr>
          <w:rFonts w:asciiTheme="minorHAnsi" w:hAnsiTheme="minorHAnsi"/>
          <w:sz w:val="18"/>
          <w:szCs w:val="18"/>
        </w:rPr>
        <w:t xml:space="preserve">"1ª sesión ordinaria 2023 zonas noreste y noroeste, minuta de acuerdos", </w:t>
      </w:r>
      <w:r w:rsidRPr="000F279B">
        <w:rPr>
          <w:rFonts w:asciiTheme="minorHAnsi" w:hAnsiTheme="minorHAnsi"/>
          <w:sz w:val="18"/>
          <w:szCs w:val="18"/>
        </w:rPr>
        <w:t>Conferencia Nacional de Procuración de Justicia</w:t>
      </w:r>
      <w:r w:rsidR="00C13E80" w:rsidRPr="000F279B">
        <w:rPr>
          <w:rFonts w:asciiTheme="minorHAnsi" w:hAnsiTheme="minorHAnsi"/>
          <w:sz w:val="18"/>
          <w:szCs w:val="18"/>
        </w:rPr>
        <w:t>, acceso el</w:t>
      </w:r>
      <w:r w:rsidRPr="000F279B">
        <w:rPr>
          <w:rFonts w:asciiTheme="minorHAnsi" w:hAnsiTheme="minorHAnsi"/>
          <w:sz w:val="18"/>
          <w:szCs w:val="18"/>
        </w:rPr>
        <w:t xml:space="preserve"> </w:t>
      </w:r>
      <w:r w:rsidR="00C13E80" w:rsidRPr="000F279B">
        <w:rPr>
          <w:rFonts w:asciiTheme="minorHAnsi" w:hAnsiTheme="minorHAnsi"/>
          <w:sz w:val="18"/>
          <w:szCs w:val="18"/>
        </w:rPr>
        <w:t>24 de enero de 2024,</w:t>
      </w:r>
      <w:r w:rsidRPr="000F279B">
        <w:rPr>
          <w:rFonts w:asciiTheme="minorHAnsi" w:hAnsiTheme="minorHAnsi"/>
          <w:sz w:val="18"/>
          <w:szCs w:val="18"/>
        </w:rPr>
        <w:t xml:space="preserve"> </w:t>
      </w:r>
      <w:hyperlink r:id="rId13" w:history="1">
        <w:r w:rsidRPr="000F279B">
          <w:rPr>
            <w:rStyle w:val="Hipervnculo"/>
            <w:rFonts w:asciiTheme="minorHAnsi" w:hAnsiTheme="minorHAnsi"/>
            <w:sz w:val="18"/>
            <w:szCs w:val="18"/>
          </w:rPr>
          <w:t>https://stastdgv2portfgr032.blob.core.windows.net/cnpj/Acuerdos/Zonas%20Noreste%20%20Noroeste/1%C2%AA%20Sesi%C3%B3n%20Ordinaria%202023%20de%20la%20Zonas%20NoresteNoroeste%20de%20la%20Conferencia%20Nacional%20de%20Procuraci%C3%B3n%20de%20Justicia.pdf</w:t>
        </w:r>
      </w:hyperlink>
    </w:p>
  </w:footnote>
  <w:footnote w:id="42">
    <w:p w14:paraId="34520D0C" w14:textId="34687D76" w:rsidR="009F0169" w:rsidRPr="000F279B" w:rsidRDefault="009F0169" w:rsidP="000F279B">
      <w:pPr>
        <w:pStyle w:val="BIOLpie"/>
        <w:jc w:val="left"/>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C13E80" w:rsidRPr="000F279B">
        <w:rPr>
          <w:rFonts w:asciiTheme="minorHAnsi" w:hAnsiTheme="minorHAnsi"/>
          <w:sz w:val="18"/>
          <w:szCs w:val="18"/>
        </w:rPr>
        <w:t xml:space="preserve">"XLIX Asamblea Plenaria de la Conferencia Nacional de Procuración de Justicia, minuta de acuerdos", </w:t>
      </w:r>
      <w:r w:rsidRPr="000F279B">
        <w:rPr>
          <w:rFonts w:asciiTheme="minorHAnsi" w:hAnsiTheme="minorHAnsi"/>
          <w:sz w:val="18"/>
          <w:szCs w:val="18"/>
        </w:rPr>
        <w:t>Conferencia Nacional de Procuración de Justicia</w:t>
      </w:r>
      <w:r w:rsidR="00C13E80" w:rsidRPr="000F279B">
        <w:rPr>
          <w:rFonts w:asciiTheme="minorHAnsi" w:hAnsiTheme="minorHAnsi"/>
          <w:sz w:val="18"/>
          <w:szCs w:val="18"/>
        </w:rPr>
        <w:t xml:space="preserve">, acceso el </w:t>
      </w:r>
      <w:r w:rsidRPr="000F279B">
        <w:rPr>
          <w:rFonts w:asciiTheme="minorHAnsi" w:hAnsiTheme="minorHAnsi"/>
          <w:sz w:val="18"/>
          <w:szCs w:val="18"/>
        </w:rPr>
        <w:t xml:space="preserve">24 de </w:t>
      </w:r>
      <w:r w:rsidR="00C13E80" w:rsidRPr="000F279B">
        <w:rPr>
          <w:rFonts w:asciiTheme="minorHAnsi" w:hAnsiTheme="minorHAnsi"/>
          <w:sz w:val="18"/>
          <w:szCs w:val="18"/>
        </w:rPr>
        <w:t xml:space="preserve">enero </w:t>
      </w:r>
      <w:r w:rsidRPr="000F279B">
        <w:rPr>
          <w:rFonts w:asciiTheme="minorHAnsi" w:hAnsiTheme="minorHAnsi"/>
          <w:sz w:val="18"/>
          <w:szCs w:val="18"/>
        </w:rPr>
        <w:t>de 202</w:t>
      </w:r>
      <w:r w:rsidR="00C13E80" w:rsidRPr="000F279B">
        <w:rPr>
          <w:rFonts w:asciiTheme="minorHAnsi" w:hAnsiTheme="minorHAnsi"/>
          <w:sz w:val="18"/>
          <w:szCs w:val="18"/>
        </w:rPr>
        <w:t xml:space="preserve">4, </w:t>
      </w:r>
      <w:hyperlink r:id="rId14" w:history="1">
        <w:r w:rsidRPr="000F279B">
          <w:rPr>
            <w:rStyle w:val="Hipervnculo"/>
            <w:rFonts w:asciiTheme="minorHAnsi" w:hAnsiTheme="minorHAnsi"/>
            <w:sz w:val="18"/>
            <w:szCs w:val="18"/>
          </w:rPr>
          <w:t>https://stastdgv2portfgr032.blob.core.windows.net/cnpj/Acuerdos/Asambleas%20Plenarias/XLIX%20Asamblea%20Plenaria%20de%20la%20Conferencia%20Nacional%20de%20Procuraci%C3%B3n%20de%20Justicia.pdf</w:t>
        </w:r>
      </w:hyperlink>
    </w:p>
  </w:footnote>
  <w:footnote w:id="43">
    <w:p w14:paraId="706CE5EB" w14:textId="2349BC4A" w:rsidR="009F0169" w:rsidRPr="000F279B" w:rsidRDefault="009F0169" w:rsidP="000F279B">
      <w:pPr>
        <w:pStyle w:val="BIOLpie"/>
        <w:jc w:val="left"/>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Naciones Unidas</w:t>
      </w:r>
      <w:r w:rsidR="00847EC1" w:rsidRPr="000F279B">
        <w:rPr>
          <w:rFonts w:asciiTheme="minorHAnsi" w:hAnsiTheme="minorHAnsi"/>
          <w:sz w:val="18"/>
          <w:szCs w:val="18"/>
        </w:rPr>
        <w:t>,</w:t>
      </w:r>
      <w:r w:rsidRPr="000F279B">
        <w:rPr>
          <w:rFonts w:asciiTheme="minorHAnsi" w:hAnsiTheme="minorHAnsi"/>
          <w:sz w:val="18"/>
          <w:szCs w:val="18"/>
        </w:rPr>
        <w:t xml:space="preserve"> </w:t>
      </w:r>
      <w:r w:rsidR="00847EC1" w:rsidRPr="000F279B">
        <w:rPr>
          <w:rFonts w:asciiTheme="minorHAnsi" w:hAnsiTheme="minorHAnsi"/>
          <w:i/>
          <w:sz w:val="18"/>
          <w:szCs w:val="18"/>
        </w:rPr>
        <w:t>Convención de Viena sobre el Derecho de los Tratados</w:t>
      </w:r>
      <w:r w:rsidR="00AF747C" w:rsidRPr="000F279B">
        <w:rPr>
          <w:rFonts w:asciiTheme="minorHAnsi" w:hAnsiTheme="minorHAnsi"/>
          <w:sz w:val="18"/>
          <w:szCs w:val="18"/>
        </w:rPr>
        <w:t>, Viena,</w:t>
      </w:r>
      <w:r w:rsidR="00847EC1" w:rsidRPr="000F279B">
        <w:rPr>
          <w:rFonts w:asciiTheme="minorHAnsi" w:hAnsiTheme="minorHAnsi"/>
          <w:i/>
          <w:sz w:val="18"/>
          <w:szCs w:val="18"/>
        </w:rPr>
        <w:t xml:space="preserve"> </w:t>
      </w:r>
      <w:r w:rsidRPr="000F279B">
        <w:rPr>
          <w:rFonts w:asciiTheme="minorHAnsi" w:hAnsiTheme="minorHAnsi"/>
          <w:sz w:val="18"/>
          <w:szCs w:val="18"/>
        </w:rPr>
        <w:t xml:space="preserve">23 de mayo de 1969. </w:t>
      </w:r>
      <w:hyperlink r:id="rId15" w:history="1">
        <w:r w:rsidRPr="000F279B">
          <w:rPr>
            <w:rStyle w:val="Hipervnculo"/>
            <w:rFonts w:asciiTheme="minorHAnsi" w:hAnsiTheme="minorHAnsi"/>
            <w:sz w:val="18"/>
            <w:szCs w:val="18"/>
          </w:rPr>
          <w:t>https://www.oas.org/36ag/espanol/doc_referencia/convencion_viena.pdf</w:t>
        </w:r>
      </w:hyperlink>
    </w:p>
  </w:footnote>
  <w:footnote w:id="44">
    <w:p w14:paraId="4EAF856C" w14:textId="3A1E8BAB"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F03D0D" w:rsidRPr="000F279B">
        <w:rPr>
          <w:rFonts w:asciiTheme="minorHAnsi" w:hAnsiTheme="minorHAnsi"/>
          <w:sz w:val="18"/>
          <w:szCs w:val="18"/>
        </w:rPr>
        <w:t>Esta aseveración c</w:t>
      </w:r>
      <w:r w:rsidRPr="000F279B">
        <w:rPr>
          <w:rFonts w:asciiTheme="minorHAnsi" w:hAnsiTheme="minorHAnsi"/>
          <w:sz w:val="18"/>
          <w:szCs w:val="18"/>
        </w:rPr>
        <w:t xml:space="preserve">orrobora el hecho de que se encuentren pendientes de resolver los expedientes </w:t>
      </w:r>
      <w:r w:rsidR="00AF747C" w:rsidRPr="000F279B">
        <w:rPr>
          <w:rFonts w:asciiTheme="minorHAnsi" w:hAnsiTheme="minorHAnsi"/>
          <w:sz w:val="18"/>
          <w:szCs w:val="18"/>
        </w:rPr>
        <w:t>v</w:t>
      </w:r>
      <w:r w:rsidRPr="000F279B">
        <w:rPr>
          <w:rFonts w:asciiTheme="minorHAnsi" w:hAnsiTheme="minorHAnsi"/>
          <w:sz w:val="18"/>
          <w:szCs w:val="18"/>
        </w:rPr>
        <w:t xml:space="preserve">arios 1/2023, 3/2023, el Amparo en Revisión 284/2022 y la acción de </w:t>
      </w:r>
      <w:r w:rsidR="00AF747C" w:rsidRPr="000F279B">
        <w:rPr>
          <w:rFonts w:asciiTheme="minorHAnsi" w:hAnsiTheme="minorHAnsi"/>
          <w:sz w:val="18"/>
          <w:szCs w:val="18"/>
        </w:rPr>
        <w:t>i</w:t>
      </w:r>
      <w:r w:rsidRPr="000F279B">
        <w:rPr>
          <w:rFonts w:asciiTheme="minorHAnsi" w:hAnsiTheme="minorHAnsi"/>
          <w:sz w:val="18"/>
          <w:szCs w:val="18"/>
        </w:rPr>
        <w:t>nconstitucionalidad 49/202</w:t>
      </w:r>
      <w:r w:rsidR="00AF747C" w:rsidRPr="000F279B">
        <w:rPr>
          <w:rFonts w:asciiTheme="minorHAnsi" w:hAnsiTheme="minorHAnsi"/>
          <w:sz w:val="18"/>
          <w:szCs w:val="18"/>
        </w:rPr>
        <w:t>.</w:t>
      </w:r>
      <w:r w:rsidRPr="000F279B">
        <w:rPr>
          <w:rFonts w:asciiTheme="minorHAnsi" w:hAnsiTheme="minorHAnsi"/>
          <w:sz w:val="18"/>
          <w:szCs w:val="18"/>
        </w:rPr>
        <w:t xml:space="preserve"> </w:t>
      </w:r>
      <w:r w:rsidR="00AF747C" w:rsidRPr="000F279B">
        <w:rPr>
          <w:rFonts w:asciiTheme="minorHAnsi" w:hAnsiTheme="minorHAnsi"/>
          <w:sz w:val="18"/>
          <w:szCs w:val="18"/>
        </w:rPr>
        <w:t>To</w:t>
      </w:r>
      <w:r w:rsidRPr="000F279B">
        <w:rPr>
          <w:rFonts w:asciiTheme="minorHAnsi" w:hAnsiTheme="minorHAnsi"/>
          <w:sz w:val="18"/>
          <w:szCs w:val="18"/>
        </w:rPr>
        <w:t>do</w:t>
      </w:r>
      <w:r w:rsidR="00AF747C" w:rsidRPr="000F279B">
        <w:rPr>
          <w:rFonts w:asciiTheme="minorHAnsi" w:hAnsiTheme="minorHAnsi"/>
          <w:sz w:val="18"/>
          <w:szCs w:val="18"/>
        </w:rPr>
        <w:t>s</w:t>
      </w:r>
      <w:r w:rsidRPr="000F279B">
        <w:rPr>
          <w:rFonts w:asciiTheme="minorHAnsi" w:hAnsiTheme="minorHAnsi"/>
          <w:sz w:val="18"/>
          <w:szCs w:val="18"/>
        </w:rPr>
        <w:t xml:space="preserve"> ellos por parte de la Suprema Corte de Justicia de la Nación.</w:t>
      </w:r>
    </w:p>
  </w:footnote>
  <w:footnote w:id="45">
    <w:p w14:paraId="6705B67D" w14:textId="13767320"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AF747C" w:rsidRPr="000F279B">
        <w:rPr>
          <w:rFonts w:asciiTheme="minorHAnsi" w:hAnsiTheme="minorHAnsi"/>
          <w:sz w:val="18"/>
          <w:szCs w:val="18"/>
        </w:rPr>
        <w:t xml:space="preserve">México. </w:t>
      </w:r>
      <w:r w:rsidRPr="000F279B">
        <w:rPr>
          <w:rFonts w:asciiTheme="minorHAnsi" w:hAnsiTheme="minorHAnsi"/>
          <w:i/>
          <w:sz w:val="18"/>
          <w:szCs w:val="18"/>
        </w:rPr>
        <w:t>Constitución Política de los Estados Unidos Mexicanos</w:t>
      </w:r>
      <w:r w:rsidR="00AF747C" w:rsidRPr="000F279B">
        <w:rPr>
          <w:rFonts w:asciiTheme="minorHAnsi" w:hAnsiTheme="minorHAnsi"/>
          <w:sz w:val="18"/>
          <w:szCs w:val="18"/>
        </w:rPr>
        <w:t>…</w:t>
      </w:r>
    </w:p>
  </w:footnote>
  <w:footnote w:id="46">
    <w:p w14:paraId="4C228642" w14:textId="5F2F5856"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Artículo 75 de la Ley General de Responsabilidades Administrativas. Nueva </w:t>
      </w:r>
      <w:r w:rsidR="00F03D0D" w:rsidRPr="000F279B">
        <w:rPr>
          <w:rFonts w:asciiTheme="minorHAnsi" w:hAnsiTheme="minorHAnsi"/>
          <w:sz w:val="18"/>
          <w:szCs w:val="18"/>
        </w:rPr>
        <w:t>l</w:t>
      </w:r>
      <w:r w:rsidRPr="000F279B">
        <w:rPr>
          <w:rFonts w:asciiTheme="minorHAnsi" w:hAnsiTheme="minorHAnsi"/>
          <w:sz w:val="18"/>
          <w:szCs w:val="18"/>
        </w:rPr>
        <w:t xml:space="preserve">ey publicada en el Diario Oficial de la Federación el 18 de julio de 2016. Última reforma </w:t>
      </w:r>
      <w:r w:rsidR="00F03D0D" w:rsidRPr="000F279B">
        <w:rPr>
          <w:rFonts w:asciiTheme="minorHAnsi" w:hAnsiTheme="minorHAnsi"/>
          <w:sz w:val="18"/>
          <w:szCs w:val="18"/>
        </w:rPr>
        <w:t xml:space="preserve">publicada en el </w:t>
      </w:r>
      <w:r w:rsidRPr="000F279B">
        <w:rPr>
          <w:rFonts w:asciiTheme="minorHAnsi" w:hAnsiTheme="minorHAnsi"/>
          <w:sz w:val="18"/>
          <w:szCs w:val="18"/>
        </w:rPr>
        <w:t xml:space="preserve">Diario Oficial de la Federación 27-12-2022. Sentencia de la SCJN con declaratoria de invalidez del </w:t>
      </w:r>
      <w:r w:rsidR="00F03D0D" w:rsidRPr="000F279B">
        <w:rPr>
          <w:rFonts w:asciiTheme="minorHAnsi" w:hAnsiTheme="minorHAnsi"/>
          <w:sz w:val="18"/>
          <w:szCs w:val="18"/>
        </w:rPr>
        <w:t>d</w:t>
      </w:r>
      <w:r w:rsidRPr="000F279B">
        <w:rPr>
          <w:rFonts w:asciiTheme="minorHAnsi" w:hAnsiTheme="minorHAnsi"/>
          <w:sz w:val="18"/>
          <w:szCs w:val="18"/>
        </w:rPr>
        <w:t>ecreto de reforma Diario Oficial de la Federación 27-12-2022, publicada en el Diario Oficial de la Federación el 24 de noviembre de 2023</w:t>
      </w:r>
      <w:r w:rsidR="00F03D0D" w:rsidRPr="000F279B">
        <w:rPr>
          <w:rFonts w:asciiTheme="minorHAnsi" w:hAnsiTheme="minorHAnsi"/>
          <w:sz w:val="18"/>
          <w:szCs w:val="18"/>
        </w:rPr>
        <w:t>.</w:t>
      </w:r>
    </w:p>
  </w:footnote>
  <w:footnote w:id="47">
    <w:p w14:paraId="5BB052D3" w14:textId="4392AC60" w:rsidR="009F0169" w:rsidRPr="000F279B" w:rsidRDefault="009F0169" w:rsidP="000F279B">
      <w:pPr>
        <w:pStyle w:val="BIOLpie"/>
        <w:rPr>
          <w:rFonts w:asciiTheme="minorHAnsi" w:hAnsiTheme="minorHAnsi"/>
          <w:sz w:val="18"/>
          <w:szCs w:val="18"/>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E731F0" w:rsidRPr="000F279B">
        <w:rPr>
          <w:rFonts w:asciiTheme="minorHAnsi" w:hAnsiTheme="minorHAnsi"/>
          <w:sz w:val="18"/>
          <w:szCs w:val="18"/>
        </w:rPr>
        <w:t xml:space="preserve">José </w:t>
      </w:r>
      <w:r w:rsidRPr="000F279B">
        <w:rPr>
          <w:rFonts w:asciiTheme="minorHAnsi" w:hAnsiTheme="minorHAnsi"/>
          <w:sz w:val="18"/>
          <w:szCs w:val="18"/>
        </w:rPr>
        <w:t xml:space="preserve">Ibarra Cárdenas, </w:t>
      </w:r>
      <w:r w:rsidR="00353901" w:rsidRPr="000F279B">
        <w:rPr>
          <w:rFonts w:asciiTheme="minorHAnsi" w:hAnsiTheme="minorHAnsi"/>
          <w:sz w:val="18"/>
          <w:szCs w:val="18"/>
        </w:rPr>
        <w:t xml:space="preserve">“La dimensión política de ‘El Derecho como argumentación’ de Manuel Atienza’”, </w:t>
      </w:r>
      <w:r w:rsidRPr="000F279B">
        <w:rPr>
          <w:rFonts w:asciiTheme="minorHAnsi" w:hAnsiTheme="minorHAnsi"/>
          <w:i/>
          <w:iCs/>
          <w:sz w:val="18"/>
          <w:szCs w:val="18"/>
        </w:rPr>
        <w:t>Doxa. Cuadernos de Filosofía del Derecho</w:t>
      </w:r>
      <w:r w:rsidRPr="000F279B">
        <w:rPr>
          <w:rFonts w:asciiTheme="minorHAnsi" w:hAnsiTheme="minorHAnsi"/>
          <w:sz w:val="18"/>
          <w:szCs w:val="18"/>
        </w:rPr>
        <w:t>,</w:t>
      </w:r>
      <w:r w:rsidR="00353901" w:rsidRPr="000F279B">
        <w:rPr>
          <w:rFonts w:asciiTheme="minorHAnsi" w:hAnsiTheme="minorHAnsi"/>
          <w:sz w:val="18"/>
          <w:szCs w:val="18"/>
        </w:rPr>
        <w:t xml:space="preserve"> 46, (2022):</w:t>
      </w:r>
      <w:r w:rsidRPr="000F279B">
        <w:rPr>
          <w:rFonts w:asciiTheme="minorHAnsi" w:hAnsiTheme="minorHAnsi"/>
          <w:sz w:val="18"/>
          <w:szCs w:val="18"/>
        </w:rPr>
        <w:t xml:space="preserve"> 6-8. </w:t>
      </w:r>
      <w:hyperlink r:id="rId16" w:history="1">
        <w:r w:rsidRPr="000F279B">
          <w:rPr>
            <w:rStyle w:val="Hipervnculo"/>
            <w:rFonts w:asciiTheme="minorHAnsi" w:hAnsiTheme="minorHAnsi"/>
            <w:sz w:val="18"/>
            <w:szCs w:val="18"/>
          </w:rPr>
          <w:t>https://rua.ua.es/dspace/bitstream/10045/133367/1/Doxa_46_12.pdf</w:t>
        </w:r>
      </w:hyperlink>
    </w:p>
  </w:footnote>
  <w:footnote w:id="48">
    <w:p w14:paraId="369D8B8A" w14:textId="5A2B0059" w:rsidR="009F0169" w:rsidRPr="000F279B" w:rsidRDefault="009F0169" w:rsidP="000F279B">
      <w:pPr>
        <w:pStyle w:val="BIOLpie"/>
        <w:rPr>
          <w:rFonts w:asciiTheme="minorHAnsi" w:hAnsiTheme="minorHAnsi"/>
          <w:sz w:val="18"/>
          <w:szCs w:val="18"/>
          <w:u w:val="single"/>
        </w:rPr>
      </w:pPr>
      <w:r w:rsidRPr="000F279B">
        <w:rPr>
          <w:rStyle w:val="Refdenotaalpie"/>
          <w:rFonts w:asciiTheme="minorHAnsi" w:hAnsiTheme="minorHAnsi"/>
          <w:sz w:val="18"/>
          <w:szCs w:val="18"/>
        </w:rPr>
        <w:footnoteRef/>
      </w:r>
      <w:r w:rsidRPr="000F279B">
        <w:rPr>
          <w:rFonts w:asciiTheme="minorHAnsi" w:hAnsiTheme="minorHAnsi"/>
          <w:sz w:val="18"/>
          <w:szCs w:val="18"/>
        </w:rPr>
        <w:t xml:space="preserve"> </w:t>
      </w:r>
      <w:r w:rsidR="00353901" w:rsidRPr="000F279B">
        <w:rPr>
          <w:rFonts w:asciiTheme="minorHAnsi" w:hAnsiTheme="minorHAnsi"/>
          <w:sz w:val="18"/>
          <w:szCs w:val="18"/>
        </w:rPr>
        <w:t xml:space="preserve">Jesús Jaime </w:t>
      </w:r>
      <w:r w:rsidRPr="000F279B">
        <w:rPr>
          <w:rFonts w:asciiTheme="minorHAnsi" w:hAnsiTheme="minorHAnsi"/>
          <w:sz w:val="18"/>
          <w:szCs w:val="18"/>
        </w:rPr>
        <w:t xml:space="preserve">Garza Onofre, </w:t>
      </w:r>
      <w:r w:rsidR="00353901" w:rsidRPr="000F279B">
        <w:rPr>
          <w:rFonts w:asciiTheme="minorHAnsi" w:hAnsiTheme="minorHAnsi"/>
          <w:i/>
          <w:iCs/>
          <w:sz w:val="18"/>
          <w:szCs w:val="18"/>
        </w:rPr>
        <w:t>No estudies Derecho. Una revisión a la función social de los abogados</w:t>
      </w:r>
      <w:r w:rsidR="00353901" w:rsidRPr="000F279B">
        <w:rPr>
          <w:rFonts w:asciiTheme="minorHAnsi" w:hAnsiTheme="minorHAnsi"/>
          <w:sz w:val="18"/>
          <w:szCs w:val="18"/>
        </w:rPr>
        <w:t xml:space="preserve"> (</w:t>
      </w:r>
      <w:r w:rsidRPr="000F279B">
        <w:rPr>
          <w:rFonts w:asciiTheme="minorHAnsi" w:hAnsiTheme="minorHAnsi"/>
          <w:sz w:val="18"/>
          <w:szCs w:val="18"/>
        </w:rPr>
        <w:t>Ciudad de México: Taurus/Penguin Random House Grupo Editorial</w:t>
      </w:r>
      <w:r w:rsidR="00353901" w:rsidRPr="000F279B">
        <w:rPr>
          <w:rFonts w:asciiTheme="minorHAnsi" w:hAnsiTheme="minorHAnsi"/>
          <w:sz w:val="18"/>
          <w:szCs w:val="18"/>
        </w:rPr>
        <w:t xml:space="preserve">, 2022), </w:t>
      </w:r>
      <w:r w:rsidRPr="000F279B">
        <w:rPr>
          <w:rFonts w:asciiTheme="minorHAnsi" w:hAnsiTheme="minorHAnsi"/>
          <w:sz w:val="18"/>
          <w:szCs w:val="18"/>
        </w:rPr>
        <w:t>145-148</w:t>
      </w:r>
      <w:r w:rsidR="00353901" w:rsidRPr="000F279B">
        <w:rPr>
          <w:rFonts w:asciiTheme="minorHAnsi" w:hAnsiTheme="minorHAnsi"/>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96A0" w14:textId="1D4CDAC1" w:rsidR="006768D9" w:rsidRPr="006473AE" w:rsidRDefault="006768D9" w:rsidP="006473A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87D8A" w14:textId="0A5E7853" w:rsidR="006768D9" w:rsidRDefault="006768D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8ACB" w14:textId="1EC7648C" w:rsidR="006768D9" w:rsidRPr="006768D9" w:rsidRDefault="006768D9" w:rsidP="006768D9">
    <w:pPr>
      <w:tabs>
        <w:tab w:val="center" w:pos="4419"/>
        <w:tab w:val="right" w:pos="8838"/>
      </w:tabs>
      <w:spacing w:after="0" w:line="240" w:lineRule="auto"/>
      <w:rPr>
        <w:rFonts w:ascii="Aptos" w:eastAsia="Aptos" w:hAnsi="Aptos" w:cs="Times New Roman"/>
        <w:b/>
        <w:kern w:val="2"/>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4FA2"/>
    <w:multiLevelType w:val="hybridMultilevel"/>
    <w:tmpl w:val="D7766B20"/>
    <w:lvl w:ilvl="0" w:tplc="D5F497B0">
      <w:start w:val="1"/>
      <w:numFmt w:val="upp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 w15:restartNumberingAfterBreak="0">
    <w:nsid w:val="1A84714A"/>
    <w:multiLevelType w:val="hybridMultilevel"/>
    <w:tmpl w:val="8028E0DE"/>
    <w:lvl w:ilvl="0" w:tplc="DF241770">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5CBB4586"/>
    <w:multiLevelType w:val="hybridMultilevel"/>
    <w:tmpl w:val="B63C8B02"/>
    <w:lvl w:ilvl="0" w:tplc="540A0013">
      <w:start w:val="1"/>
      <w:numFmt w:val="upperRoman"/>
      <w:lvlText w:val="%1."/>
      <w:lvlJc w:val="righ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5E407A41"/>
    <w:multiLevelType w:val="hybridMultilevel"/>
    <w:tmpl w:val="6D70C316"/>
    <w:lvl w:ilvl="0" w:tplc="540A0013">
      <w:start w:val="1"/>
      <w:numFmt w:val="upperRoman"/>
      <w:lvlText w:val="%1."/>
      <w:lvlJc w:val="righ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764C1B5A"/>
    <w:multiLevelType w:val="hybridMultilevel"/>
    <w:tmpl w:val="323469A8"/>
    <w:lvl w:ilvl="0" w:tplc="11BA4DFC">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8AD4FDD"/>
    <w:multiLevelType w:val="hybridMultilevel"/>
    <w:tmpl w:val="A9EE9F98"/>
    <w:lvl w:ilvl="0" w:tplc="FA624E34">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928343559">
    <w:abstractNumId w:val="1"/>
  </w:num>
  <w:num w:numId="2" w16cid:durableId="1087002717">
    <w:abstractNumId w:val="5"/>
  </w:num>
  <w:num w:numId="3" w16cid:durableId="723676141">
    <w:abstractNumId w:val="0"/>
  </w:num>
  <w:num w:numId="4" w16cid:durableId="962923271">
    <w:abstractNumId w:val="4"/>
  </w:num>
  <w:num w:numId="5" w16cid:durableId="1406952829">
    <w:abstractNumId w:val="3"/>
  </w:num>
  <w:num w:numId="6" w16cid:durableId="1341588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7E2"/>
    <w:rsid w:val="0000222A"/>
    <w:rsid w:val="00007CAB"/>
    <w:rsid w:val="00016D33"/>
    <w:rsid w:val="00023136"/>
    <w:rsid w:val="0003056F"/>
    <w:rsid w:val="00055AFF"/>
    <w:rsid w:val="00092248"/>
    <w:rsid w:val="000B1BC3"/>
    <w:rsid w:val="000D73DC"/>
    <w:rsid w:val="000E2A84"/>
    <w:rsid w:val="000E3906"/>
    <w:rsid w:val="000E75A5"/>
    <w:rsid w:val="000F279B"/>
    <w:rsid w:val="00102E44"/>
    <w:rsid w:val="00115B5F"/>
    <w:rsid w:val="0012313F"/>
    <w:rsid w:val="00124E35"/>
    <w:rsid w:val="0012680D"/>
    <w:rsid w:val="00142345"/>
    <w:rsid w:val="00151F8E"/>
    <w:rsid w:val="001521DF"/>
    <w:rsid w:val="001552B5"/>
    <w:rsid w:val="0016123D"/>
    <w:rsid w:val="00163D64"/>
    <w:rsid w:val="00170A1B"/>
    <w:rsid w:val="001735D4"/>
    <w:rsid w:val="00183B62"/>
    <w:rsid w:val="00197A75"/>
    <w:rsid w:val="001A2A96"/>
    <w:rsid w:val="001A562E"/>
    <w:rsid w:val="001A5BD5"/>
    <w:rsid w:val="001B03E1"/>
    <w:rsid w:val="001B334D"/>
    <w:rsid w:val="001B51CB"/>
    <w:rsid w:val="001D16B2"/>
    <w:rsid w:val="001D247E"/>
    <w:rsid w:val="001D7CA0"/>
    <w:rsid w:val="001F4F6E"/>
    <w:rsid w:val="00204F33"/>
    <w:rsid w:val="0021000D"/>
    <w:rsid w:val="00216599"/>
    <w:rsid w:val="00224A79"/>
    <w:rsid w:val="00235E5F"/>
    <w:rsid w:val="00236293"/>
    <w:rsid w:val="00237116"/>
    <w:rsid w:val="00242474"/>
    <w:rsid w:val="00256535"/>
    <w:rsid w:val="00270B05"/>
    <w:rsid w:val="00275258"/>
    <w:rsid w:val="0029289C"/>
    <w:rsid w:val="00293D0B"/>
    <w:rsid w:val="002A286C"/>
    <w:rsid w:val="002B04AF"/>
    <w:rsid w:val="002D2A4E"/>
    <w:rsid w:val="002D5E67"/>
    <w:rsid w:val="002E0593"/>
    <w:rsid w:val="002F6EAA"/>
    <w:rsid w:val="002F7415"/>
    <w:rsid w:val="00300D9F"/>
    <w:rsid w:val="0030419A"/>
    <w:rsid w:val="0030497B"/>
    <w:rsid w:val="003154AB"/>
    <w:rsid w:val="00316E2E"/>
    <w:rsid w:val="00322969"/>
    <w:rsid w:val="00325FF8"/>
    <w:rsid w:val="00340040"/>
    <w:rsid w:val="0034386D"/>
    <w:rsid w:val="00346E56"/>
    <w:rsid w:val="00353901"/>
    <w:rsid w:val="0035775D"/>
    <w:rsid w:val="0036516C"/>
    <w:rsid w:val="0039187C"/>
    <w:rsid w:val="00392FCD"/>
    <w:rsid w:val="00396FBC"/>
    <w:rsid w:val="0039749C"/>
    <w:rsid w:val="003A0376"/>
    <w:rsid w:val="003A0A1E"/>
    <w:rsid w:val="003B7225"/>
    <w:rsid w:val="003C51EA"/>
    <w:rsid w:val="003E1E48"/>
    <w:rsid w:val="003E35A4"/>
    <w:rsid w:val="003E6F2C"/>
    <w:rsid w:val="003F01C8"/>
    <w:rsid w:val="00421438"/>
    <w:rsid w:val="00427056"/>
    <w:rsid w:val="004320AA"/>
    <w:rsid w:val="004377B1"/>
    <w:rsid w:val="00441E29"/>
    <w:rsid w:val="00444EB1"/>
    <w:rsid w:val="00463437"/>
    <w:rsid w:val="0048776F"/>
    <w:rsid w:val="004919D5"/>
    <w:rsid w:val="004A2A65"/>
    <w:rsid w:val="004B2789"/>
    <w:rsid w:val="004C031A"/>
    <w:rsid w:val="004C3EA9"/>
    <w:rsid w:val="004C40A6"/>
    <w:rsid w:val="004E437E"/>
    <w:rsid w:val="004E6AD3"/>
    <w:rsid w:val="004F7033"/>
    <w:rsid w:val="00506A1F"/>
    <w:rsid w:val="00507867"/>
    <w:rsid w:val="0052235F"/>
    <w:rsid w:val="00562E9B"/>
    <w:rsid w:val="00574707"/>
    <w:rsid w:val="005823DB"/>
    <w:rsid w:val="00582940"/>
    <w:rsid w:val="00584D59"/>
    <w:rsid w:val="00587107"/>
    <w:rsid w:val="005A0B89"/>
    <w:rsid w:val="005A5DCF"/>
    <w:rsid w:val="005B3890"/>
    <w:rsid w:val="005C28F7"/>
    <w:rsid w:val="005E7425"/>
    <w:rsid w:val="005E7FCF"/>
    <w:rsid w:val="00601A89"/>
    <w:rsid w:val="00605691"/>
    <w:rsid w:val="00615616"/>
    <w:rsid w:val="0061684C"/>
    <w:rsid w:val="00633913"/>
    <w:rsid w:val="006473AE"/>
    <w:rsid w:val="00650209"/>
    <w:rsid w:val="00662161"/>
    <w:rsid w:val="006663D7"/>
    <w:rsid w:val="00671327"/>
    <w:rsid w:val="006767EE"/>
    <w:rsid w:val="006768D9"/>
    <w:rsid w:val="0068573C"/>
    <w:rsid w:val="00691DF7"/>
    <w:rsid w:val="006965E0"/>
    <w:rsid w:val="006A4854"/>
    <w:rsid w:val="006A6BDC"/>
    <w:rsid w:val="006C5418"/>
    <w:rsid w:val="006D1A68"/>
    <w:rsid w:val="006D5BB5"/>
    <w:rsid w:val="006D6DA8"/>
    <w:rsid w:val="006E526E"/>
    <w:rsid w:val="006E73D6"/>
    <w:rsid w:val="00701114"/>
    <w:rsid w:val="007050C3"/>
    <w:rsid w:val="00710792"/>
    <w:rsid w:val="007117C2"/>
    <w:rsid w:val="0073009E"/>
    <w:rsid w:val="0073018C"/>
    <w:rsid w:val="00733CE8"/>
    <w:rsid w:val="00741535"/>
    <w:rsid w:val="00747835"/>
    <w:rsid w:val="00756492"/>
    <w:rsid w:val="007667BC"/>
    <w:rsid w:val="007667E2"/>
    <w:rsid w:val="00773502"/>
    <w:rsid w:val="00782344"/>
    <w:rsid w:val="007A2AFA"/>
    <w:rsid w:val="007A5840"/>
    <w:rsid w:val="007D069D"/>
    <w:rsid w:val="007D64DC"/>
    <w:rsid w:val="007D6A26"/>
    <w:rsid w:val="007E5539"/>
    <w:rsid w:val="007F1A07"/>
    <w:rsid w:val="007F4839"/>
    <w:rsid w:val="00811594"/>
    <w:rsid w:val="008142DF"/>
    <w:rsid w:val="00830315"/>
    <w:rsid w:val="00830EE1"/>
    <w:rsid w:val="00831F52"/>
    <w:rsid w:val="00832AC0"/>
    <w:rsid w:val="00837133"/>
    <w:rsid w:val="0084733C"/>
    <w:rsid w:val="00847EC1"/>
    <w:rsid w:val="008858B5"/>
    <w:rsid w:val="008903A9"/>
    <w:rsid w:val="0089410C"/>
    <w:rsid w:val="008B15AD"/>
    <w:rsid w:val="008B7597"/>
    <w:rsid w:val="008E2FC1"/>
    <w:rsid w:val="008E682C"/>
    <w:rsid w:val="008F0D85"/>
    <w:rsid w:val="008F2989"/>
    <w:rsid w:val="0091361E"/>
    <w:rsid w:val="00915B96"/>
    <w:rsid w:val="00917701"/>
    <w:rsid w:val="00920537"/>
    <w:rsid w:val="00922744"/>
    <w:rsid w:val="00927A8F"/>
    <w:rsid w:val="00943353"/>
    <w:rsid w:val="009464B9"/>
    <w:rsid w:val="00947EC4"/>
    <w:rsid w:val="009562A9"/>
    <w:rsid w:val="009618F9"/>
    <w:rsid w:val="0096558D"/>
    <w:rsid w:val="00972064"/>
    <w:rsid w:val="0097297E"/>
    <w:rsid w:val="009807B9"/>
    <w:rsid w:val="0099278B"/>
    <w:rsid w:val="00993C05"/>
    <w:rsid w:val="009A50DD"/>
    <w:rsid w:val="009B51C7"/>
    <w:rsid w:val="009C06F0"/>
    <w:rsid w:val="009C688F"/>
    <w:rsid w:val="009D1634"/>
    <w:rsid w:val="009E12DD"/>
    <w:rsid w:val="009F0169"/>
    <w:rsid w:val="009F2006"/>
    <w:rsid w:val="009F3A99"/>
    <w:rsid w:val="009F4326"/>
    <w:rsid w:val="009F55D7"/>
    <w:rsid w:val="009F75C8"/>
    <w:rsid w:val="00A05927"/>
    <w:rsid w:val="00A11957"/>
    <w:rsid w:val="00A14875"/>
    <w:rsid w:val="00A24E80"/>
    <w:rsid w:val="00A31DE3"/>
    <w:rsid w:val="00A41D64"/>
    <w:rsid w:val="00A6358F"/>
    <w:rsid w:val="00A73DA1"/>
    <w:rsid w:val="00AA0D9C"/>
    <w:rsid w:val="00AA370E"/>
    <w:rsid w:val="00AA5395"/>
    <w:rsid w:val="00AB5BF4"/>
    <w:rsid w:val="00AC1D58"/>
    <w:rsid w:val="00AC2321"/>
    <w:rsid w:val="00AC4D16"/>
    <w:rsid w:val="00AC4D58"/>
    <w:rsid w:val="00AD5731"/>
    <w:rsid w:val="00AE0262"/>
    <w:rsid w:val="00AF11D3"/>
    <w:rsid w:val="00AF4F73"/>
    <w:rsid w:val="00AF747C"/>
    <w:rsid w:val="00B02AAC"/>
    <w:rsid w:val="00B04256"/>
    <w:rsid w:val="00B04CA6"/>
    <w:rsid w:val="00B22E9A"/>
    <w:rsid w:val="00B23109"/>
    <w:rsid w:val="00B23272"/>
    <w:rsid w:val="00B2391F"/>
    <w:rsid w:val="00B26C02"/>
    <w:rsid w:val="00B31A74"/>
    <w:rsid w:val="00B34652"/>
    <w:rsid w:val="00B65AC7"/>
    <w:rsid w:val="00B73756"/>
    <w:rsid w:val="00BA3972"/>
    <w:rsid w:val="00BD082D"/>
    <w:rsid w:val="00BD7110"/>
    <w:rsid w:val="00BE4BCD"/>
    <w:rsid w:val="00BE6649"/>
    <w:rsid w:val="00BF146B"/>
    <w:rsid w:val="00BF41B0"/>
    <w:rsid w:val="00BF500E"/>
    <w:rsid w:val="00C00838"/>
    <w:rsid w:val="00C00AD9"/>
    <w:rsid w:val="00C01E6E"/>
    <w:rsid w:val="00C13E80"/>
    <w:rsid w:val="00C2187D"/>
    <w:rsid w:val="00C2246F"/>
    <w:rsid w:val="00C2721B"/>
    <w:rsid w:val="00C41FAD"/>
    <w:rsid w:val="00C4404C"/>
    <w:rsid w:val="00C44168"/>
    <w:rsid w:val="00C53176"/>
    <w:rsid w:val="00C54918"/>
    <w:rsid w:val="00C56416"/>
    <w:rsid w:val="00C7379D"/>
    <w:rsid w:val="00C7631F"/>
    <w:rsid w:val="00C80209"/>
    <w:rsid w:val="00C96BAC"/>
    <w:rsid w:val="00CA11AA"/>
    <w:rsid w:val="00CA6B24"/>
    <w:rsid w:val="00CB3A41"/>
    <w:rsid w:val="00CB7481"/>
    <w:rsid w:val="00CC7AC7"/>
    <w:rsid w:val="00CE052F"/>
    <w:rsid w:val="00CE0539"/>
    <w:rsid w:val="00D16E84"/>
    <w:rsid w:val="00D326EF"/>
    <w:rsid w:val="00D51B39"/>
    <w:rsid w:val="00D55C04"/>
    <w:rsid w:val="00D576B2"/>
    <w:rsid w:val="00D7064D"/>
    <w:rsid w:val="00DA5214"/>
    <w:rsid w:val="00DA557E"/>
    <w:rsid w:val="00DC2551"/>
    <w:rsid w:val="00DD271A"/>
    <w:rsid w:val="00DE5E6F"/>
    <w:rsid w:val="00DE6AF1"/>
    <w:rsid w:val="00E06073"/>
    <w:rsid w:val="00E12908"/>
    <w:rsid w:val="00E23150"/>
    <w:rsid w:val="00E4505B"/>
    <w:rsid w:val="00E47F2A"/>
    <w:rsid w:val="00E5279E"/>
    <w:rsid w:val="00E545A0"/>
    <w:rsid w:val="00E64920"/>
    <w:rsid w:val="00E731F0"/>
    <w:rsid w:val="00E7361E"/>
    <w:rsid w:val="00E802D3"/>
    <w:rsid w:val="00E85C8F"/>
    <w:rsid w:val="00E95871"/>
    <w:rsid w:val="00EB6722"/>
    <w:rsid w:val="00ED00A5"/>
    <w:rsid w:val="00ED27C6"/>
    <w:rsid w:val="00ED3A11"/>
    <w:rsid w:val="00ED5F02"/>
    <w:rsid w:val="00EF466C"/>
    <w:rsid w:val="00F00C8D"/>
    <w:rsid w:val="00F0141C"/>
    <w:rsid w:val="00F03D0D"/>
    <w:rsid w:val="00F12B4A"/>
    <w:rsid w:val="00F30A89"/>
    <w:rsid w:val="00F43032"/>
    <w:rsid w:val="00F444D7"/>
    <w:rsid w:val="00F4569F"/>
    <w:rsid w:val="00F52189"/>
    <w:rsid w:val="00F565C2"/>
    <w:rsid w:val="00F61407"/>
    <w:rsid w:val="00F738F0"/>
    <w:rsid w:val="00F91588"/>
    <w:rsid w:val="00F9373B"/>
    <w:rsid w:val="00F93DF6"/>
    <w:rsid w:val="00F959FA"/>
    <w:rsid w:val="00F95A12"/>
    <w:rsid w:val="00FB3976"/>
    <w:rsid w:val="00FC4D2D"/>
    <w:rsid w:val="00FD4729"/>
    <w:rsid w:val="00FD747B"/>
    <w:rsid w:val="00FF5233"/>
    <w:rsid w:val="00FF599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BDDD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E2"/>
    <w:rPr>
      <w:kern w:val="0"/>
      <w14:ligatures w14:val="none"/>
    </w:rPr>
  </w:style>
  <w:style w:type="paragraph" w:styleId="Ttulo1">
    <w:name w:val="heading 1"/>
    <w:basedOn w:val="Normal"/>
    <w:next w:val="Normal"/>
    <w:link w:val="Ttulo1Car"/>
    <w:uiPriority w:val="9"/>
    <w:qFormat/>
    <w:rsid w:val="00766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6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667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67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67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67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67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67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67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67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67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667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67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67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67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67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67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67E2"/>
    <w:rPr>
      <w:rFonts w:eastAsiaTheme="majorEastAsia" w:cstheme="majorBidi"/>
      <w:color w:val="272727" w:themeColor="text1" w:themeTint="D8"/>
    </w:rPr>
  </w:style>
  <w:style w:type="paragraph" w:styleId="Ttulo">
    <w:name w:val="Title"/>
    <w:basedOn w:val="Normal"/>
    <w:next w:val="Normal"/>
    <w:link w:val="TtuloCar"/>
    <w:uiPriority w:val="10"/>
    <w:qFormat/>
    <w:rsid w:val="00766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67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67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67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67E2"/>
    <w:pPr>
      <w:spacing w:before="160"/>
      <w:jc w:val="center"/>
    </w:pPr>
    <w:rPr>
      <w:i/>
      <w:iCs/>
      <w:color w:val="404040" w:themeColor="text1" w:themeTint="BF"/>
    </w:rPr>
  </w:style>
  <w:style w:type="character" w:customStyle="1" w:styleId="CitaCar">
    <w:name w:val="Cita Car"/>
    <w:basedOn w:val="Fuentedeprrafopredeter"/>
    <w:link w:val="Cita"/>
    <w:uiPriority w:val="29"/>
    <w:rsid w:val="007667E2"/>
    <w:rPr>
      <w:i/>
      <w:iCs/>
      <w:color w:val="404040" w:themeColor="text1" w:themeTint="BF"/>
    </w:rPr>
  </w:style>
  <w:style w:type="paragraph" w:styleId="Prrafodelista">
    <w:name w:val="List Paragraph"/>
    <w:basedOn w:val="Normal"/>
    <w:uiPriority w:val="34"/>
    <w:qFormat/>
    <w:rsid w:val="007667E2"/>
    <w:pPr>
      <w:ind w:left="720"/>
      <w:contextualSpacing/>
    </w:pPr>
  </w:style>
  <w:style w:type="character" w:styleId="nfasisintenso">
    <w:name w:val="Intense Emphasis"/>
    <w:basedOn w:val="Fuentedeprrafopredeter"/>
    <w:uiPriority w:val="21"/>
    <w:qFormat/>
    <w:rsid w:val="007667E2"/>
    <w:rPr>
      <w:i/>
      <w:iCs/>
      <w:color w:val="0F4761" w:themeColor="accent1" w:themeShade="BF"/>
    </w:rPr>
  </w:style>
  <w:style w:type="paragraph" w:styleId="Citadestacada">
    <w:name w:val="Intense Quote"/>
    <w:basedOn w:val="Normal"/>
    <w:next w:val="Normal"/>
    <w:link w:val="CitadestacadaCar"/>
    <w:uiPriority w:val="30"/>
    <w:qFormat/>
    <w:rsid w:val="00766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67E2"/>
    <w:rPr>
      <w:i/>
      <w:iCs/>
      <w:color w:val="0F4761" w:themeColor="accent1" w:themeShade="BF"/>
    </w:rPr>
  </w:style>
  <w:style w:type="character" w:styleId="Referenciaintensa">
    <w:name w:val="Intense Reference"/>
    <w:basedOn w:val="Fuentedeprrafopredeter"/>
    <w:uiPriority w:val="32"/>
    <w:qFormat/>
    <w:rsid w:val="007667E2"/>
    <w:rPr>
      <w:b/>
      <w:bCs/>
      <w:smallCaps/>
      <w:color w:val="0F4761" w:themeColor="accent1" w:themeShade="BF"/>
      <w:spacing w:val="5"/>
    </w:rPr>
  </w:style>
  <w:style w:type="paragraph" w:styleId="Textonotapie">
    <w:name w:val="footnote text"/>
    <w:aliases w:val="Footnote Text Char Char Char Char Char,Footnote Text Char Char Char Char,Footnote reference,FA Fu,Footnote Text Char Char Char"/>
    <w:basedOn w:val="Normal"/>
    <w:link w:val="TextonotapieCar"/>
    <w:uiPriority w:val="99"/>
    <w:unhideWhenUsed/>
    <w:rsid w:val="00B23109"/>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ootnote Text Char Char Char Car"/>
    <w:basedOn w:val="Fuentedeprrafopredeter"/>
    <w:link w:val="Textonotapie"/>
    <w:uiPriority w:val="99"/>
    <w:rsid w:val="00B23109"/>
    <w:rPr>
      <w:kern w:val="0"/>
      <w:sz w:val="20"/>
      <w:szCs w:val="20"/>
      <w14:ligatures w14:val="none"/>
    </w:rPr>
  </w:style>
  <w:style w:type="character" w:styleId="Refdenotaalpie">
    <w:name w:val="footnote reference"/>
    <w:basedOn w:val="Fuentedeprrafopredeter"/>
    <w:uiPriority w:val="99"/>
    <w:semiHidden/>
    <w:unhideWhenUsed/>
    <w:rsid w:val="00B23109"/>
    <w:rPr>
      <w:vertAlign w:val="superscript"/>
    </w:rPr>
  </w:style>
  <w:style w:type="paragraph" w:styleId="NormalWeb">
    <w:name w:val="Normal (Web)"/>
    <w:basedOn w:val="Normal"/>
    <w:uiPriority w:val="99"/>
    <w:semiHidden/>
    <w:unhideWhenUsed/>
    <w:rsid w:val="004919D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uerpodeltexto2">
    <w:name w:val="Cuerpo del texto (2)"/>
    <w:basedOn w:val="Fuentedeprrafopredeter"/>
    <w:rsid w:val="00392FCD"/>
    <w:rPr>
      <w:rFonts w:ascii="Book Antiqua" w:eastAsia="Book Antiqua" w:hAnsi="Book Antiqua" w:cs="Book Antiqua"/>
      <w:b w:val="0"/>
      <w:bCs w:val="0"/>
      <w:i w:val="0"/>
      <w:iCs w:val="0"/>
      <w:smallCaps w:val="0"/>
      <w:strike w:val="0"/>
      <w:color w:val="000000"/>
      <w:spacing w:val="0"/>
      <w:w w:val="100"/>
      <w:position w:val="0"/>
      <w:sz w:val="19"/>
      <w:szCs w:val="19"/>
      <w:u w:val="none"/>
      <w:lang w:val="es-ES" w:eastAsia="es-ES" w:bidi="es-ES"/>
    </w:rPr>
  </w:style>
  <w:style w:type="character" w:customStyle="1" w:styleId="Cuerpodeltexto11Sincursiva">
    <w:name w:val="Cuerpo del texto (11) + Sin cursiva"/>
    <w:aliases w:val="Espaciado 0 pto,Cuerpo del texto (8) + Cursiva"/>
    <w:basedOn w:val="Fuentedeprrafopredeter"/>
    <w:rsid w:val="00392FCD"/>
    <w:rPr>
      <w:rFonts w:ascii="Book Antiqua" w:eastAsia="Book Antiqua" w:hAnsi="Book Antiqua" w:cs="Book Antiqua"/>
      <w:b w:val="0"/>
      <w:bCs w:val="0"/>
      <w:i/>
      <w:iCs/>
      <w:smallCaps w:val="0"/>
      <w:strike w:val="0"/>
      <w:color w:val="000000"/>
      <w:spacing w:val="0"/>
      <w:w w:val="100"/>
      <w:position w:val="0"/>
      <w:sz w:val="18"/>
      <w:szCs w:val="18"/>
      <w:u w:val="none"/>
      <w:lang w:val="es-ES" w:eastAsia="es-ES" w:bidi="es-ES"/>
    </w:rPr>
  </w:style>
  <w:style w:type="character" w:customStyle="1" w:styleId="Cuerpodeltexto11">
    <w:name w:val="Cuerpo del texto (11)"/>
    <w:basedOn w:val="Fuentedeprrafopredeter"/>
    <w:rsid w:val="00392FCD"/>
    <w:rPr>
      <w:rFonts w:ascii="Book Antiqua" w:eastAsia="Book Antiqua" w:hAnsi="Book Antiqua" w:cs="Book Antiqua"/>
      <w:b w:val="0"/>
      <w:bCs w:val="0"/>
      <w:i/>
      <w:iCs/>
      <w:smallCaps w:val="0"/>
      <w:strike w:val="0"/>
      <w:color w:val="000000"/>
      <w:spacing w:val="-10"/>
      <w:w w:val="100"/>
      <w:position w:val="0"/>
      <w:sz w:val="18"/>
      <w:szCs w:val="18"/>
      <w:u w:val="none"/>
      <w:lang w:val="es-ES" w:eastAsia="es-ES" w:bidi="es-ES"/>
    </w:rPr>
  </w:style>
  <w:style w:type="character" w:customStyle="1" w:styleId="Cuerpodeltexto8">
    <w:name w:val="Cuerpo del texto (8)"/>
    <w:basedOn w:val="Fuentedeprrafopredeter"/>
    <w:rsid w:val="00392FCD"/>
    <w:rPr>
      <w:rFonts w:ascii="Book Antiqua" w:eastAsia="Book Antiqua" w:hAnsi="Book Antiqua" w:cs="Book Antiqua"/>
      <w:b w:val="0"/>
      <w:bCs w:val="0"/>
      <w:i w:val="0"/>
      <w:iCs w:val="0"/>
      <w:smallCaps w:val="0"/>
      <w:strike w:val="0"/>
      <w:color w:val="000000"/>
      <w:spacing w:val="0"/>
      <w:w w:val="100"/>
      <w:position w:val="0"/>
      <w:sz w:val="18"/>
      <w:szCs w:val="18"/>
      <w:u w:val="none"/>
      <w:lang w:val="es-ES" w:eastAsia="es-ES" w:bidi="es-ES"/>
    </w:rPr>
  </w:style>
  <w:style w:type="character" w:styleId="Hipervnculo">
    <w:name w:val="Hyperlink"/>
    <w:basedOn w:val="Fuentedeprrafopredeter"/>
    <w:uiPriority w:val="99"/>
    <w:unhideWhenUsed/>
    <w:rsid w:val="00300D9F"/>
    <w:rPr>
      <w:color w:val="467886" w:themeColor="hyperlink"/>
      <w:u w:val="single"/>
    </w:rPr>
  </w:style>
  <w:style w:type="character" w:styleId="Mencinsinresolver">
    <w:name w:val="Unresolved Mention"/>
    <w:basedOn w:val="Fuentedeprrafopredeter"/>
    <w:uiPriority w:val="99"/>
    <w:semiHidden/>
    <w:unhideWhenUsed/>
    <w:rsid w:val="00300D9F"/>
    <w:rPr>
      <w:color w:val="605E5C"/>
      <w:shd w:val="clear" w:color="auto" w:fill="E1DFDD"/>
    </w:rPr>
  </w:style>
  <w:style w:type="paragraph" w:styleId="Encabezado">
    <w:name w:val="header"/>
    <w:basedOn w:val="Normal"/>
    <w:link w:val="EncabezadoCar"/>
    <w:uiPriority w:val="99"/>
    <w:unhideWhenUsed/>
    <w:rsid w:val="00F521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52189"/>
    <w:rPr>
      <w:kern w:val="0"/>
      <w14:ligatures w14:val="none"/>
    </w:rPr>
  </w:style>
  <w:style w:type="paragraph" w:styleId="Piedepgina">
    <w:name w:val="footer"/>
    <w:basedOn w:val="Normal"/>
    <w:link w:val="PiedepginaCar"/>
    <w:uiPriority w:val="99"/>
    <w:unhideWhenUsed/>
    <w:rsid w:val="00F521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52189"/>
    <w:rPr>
      <w:kern w:val="0"/>
      <w14:ligatures w14:val="none"/>
    </w:rPr>
  </w:style>
  <w:style w:type="paragraph" w:styleId="Textodeglobo">
    <w:name w:val="Balloon Text"/>
    <w:basedOn w:val="Normal"/>
    <w:link w:val="TextodegloboCar"/>
    <w:uiPriority w:val="99"/>
    <w:semiHidden/>
    <w:unhideWhenUsed/>
    <w:rsid w:val="006965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965E0"/>
    <w:rPr>
      <w:rFonts w:ascii="Segoe UI" w:hAnsi="Segoe UI" w:cs="Segoe UI"/>
      <w:kern w:val="0"/>
      <w:sz w:val="18"/>
      <w:szCs w:val="18"/>
      <w14:ligatures w14:val="none"/>
    </w:rPr>
  </w:style>
  <w:style w:type="character" w:styleId="Refdecomentario">
    <w:name w:val="annotation reference"/>
    <w:basedOn w:val="Fuentedeprrafopredeter"/>
    <w:uiPriority w:val="99"/>
    <w:semiHidden/>
    <w:unhideWhenUsed/>
    <w:rsid w:val="002B04AF"/>
    <w:rPr>
      <w:sz w:val="16"/>
      <w:szCs w:val="16"/>
    </w:rPr>
  </w:style>
  <w:style w:type="paragraph" w:styleId="Textocomentario">
    <w:name w:val="annotation text"/>
    <w:basedOn w:val="Normal"/>
    <w:link w:val="TextocomentarioCar"/>
    <w:uiPriority w:val="99"/>
    <w:unhideWhenUsed/>
    <w:rsid w:val="002B04AF"/>
    <w:pPr>
      <w:spacing w:line="240" w:lineRule="auto"/>
    </w:pPr>
    <w:rPr>
      <w:sz w:val="20"/>
      <w:szCs w:val="20"/>
    </w:rPr>
  </w:style>
  <w:style w:type="character" w:customStyle="1" w:styleId="TextocomentarioCar">
    <w:name w:val="Texto comentario Car"/>
    <w:basedOn w:val="Fuentedeprrafopredeter"/>
    <w:link w:val="Textocomentario"/>
    <w:uiPriority w:val="99"/>
    <w:rsid w:val="002B04AF"/>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2B04AF"/>
    <w:rPr>
      <w:b/>
      <w:bCs/>
    </w:rPr>
  </w:style>
  <w:style w:type="character" w:customStyle="1" w:styleId="AsuntodelcomentarioCar">
    <w:name w:val="Asunto del comentario Car"/>
    <w:basedOn w:val="TextocomentarioCar"/>
    <w:link w:val="Asuntodelcomentario"/>
    <w:uiPriority w:val="99"/>
    <w:semiHidden/>
    <w:rsid w:val="002B04AF"/>
    <w:rPr>
      <w:b/>
      <w:bCs/>
      <w:kern w:val="0"/>
      <w:sz w:val="20"/>
      <w:szCs w:val="20"/>
      <w14:ligatures w14:val="none"/>
    </w:rPr>
  </w:style>
  <w:style w:type="paragraph" w:styleId="Revisin">
    <w:name w:val="Revision"/>
    <w:hidden/>
    <w:uiPriority w:val="99"/>
    <w:semiHidden/>
    <w:rsid w:val="00F03D0D"/>
    <w:pPr>
      <w:spacing w:after="0" w:line="240" w:lineRule="auto"/>
    </w:pPr>
    <w:rPr>
      <w:kern w:val="0"/>
      <w14:ligatures w14:val="none"/>
    </w:rPr>
  </w:style>
  <w:style w:type="paragraph" w:customStyle="1" w:styleId="BIOLpie">
    <w:name w:val="BIOLpie"/>
    <w:basedOn w:val="Normal"/>
    <w:link w:val="BIOLpieCar"/>
    <w:qFormat/>
    <w:rsid w:val="005823DB"/>
    <w:pPr>
      <w:spacing w:after="40" w:line="240" w:lineRule="auto"/>
      <w:contextualSpacing/>
      <w:jc w:val="both"/>
    </w:pPr>
    <w:rPr>
      <w:rFonts w:ascii="Source Sans 3" w:hAnsi="Source Sans 3" w:cs="Arial"/>
      <w:kern w:val="2"/>
      <w:sz w:val="20"/>
      <w:szCs w:val="20"/>
      <w14:ligatures w14:val="standardContextual"/>
    </w:rPr>
  </w:style>
  <w:style w:type="character" w:customStyle="1" w:styleId="BIOLpieCar">
    <w:name w:val="BIOLpie Car"/>
    <w:basedOn w:val="Fuentedeprrafopredeter"/>
    <w:link w:val="BIOLpie"/>
    <w:rsid w:val="005823DB"/>
    <w:rPr>
      <w:rFonts w:ascii="Source Sans 3" w:hAnsi="Source Sans 3" w:cs="Arial"/>
      <w:sz w:val="20"/>
      <w:szCs w:val="20"/>
    </w:rPr>
  </w:style>
  <w:style w:type="paragraph" w:customStyle="1" w:styleId="BIOLRefer">
    <w:name w:val="BIOLRefer"/>
    <w:basedOn w:val="Sinespaciado"/>
    <w:link w:val="BIOLReferCar"/>
    <w:qFormat/>
    <w:rsid w:val="005823DB"/>
    <w:pPr>
      <w:spacing w:line="276" w:lineRule="auto"/>
      <w:ind w:left="567" w:hanging="567"/>
      <w:contextualSpacing/>
      <w:jc w:val="both"/>
    </w:pPr>
    <w:rPr>
      <w:rFonts w:ascii="Unna" w:hAnsi="Unna" w:cs="Arial"/>
      <w:color w:val="000000" w:themeColor="text1"/>
      <w:kern w:val="2"/>
      <w:sz w:val="24"/>
      <w:szCs w:val="24"/>
      <w14:ligatures w14:val="standardContextual"/>
    </w:rPr>
  </w:style>
  <w:style w:type="character" w:customStyle="1" w:styleId="BIOLReferCar">
    <w:name w:val="BIOLRefer Car"/>
    <w:basedOn w:val="Fuentedeprrafopredeter"/>
    <w:link w:val="BIOLRefer"/>
    <w:rsid w:val="005823DB"/>
    <w:rPr>
      <w:rFonts w:ascii="Unna" w:hAnsi="Unna" w:cs="Arial"/>
      <w:color w:val="000000" w:themeColor="text1"/>
      <w:sz w:val="24"/>
      <w:szCs w:val="24"/>
    </w:rPr>
  </w:style>
  <w:style w:type="paragraph" w:styleId="Sinespaciado">
    <w:name w:val="No Spacing"/>
    <w:uiPriority w:val="1"/>
    <w:qFormat/>
    <w:rsid w:val="005823DB"/>
    <w:pPr>
      <w:spacing w:after="0" w:line="240" w:lineRule="auto"/>
    </w:pPr>
    <w:rPr>
      <w:kern w:val="0"/>
      <w14:ligatures w14:val="none"/>
    </w:rPr>
  </w:style>
  <w:style w:type="paragraph" w:customStyle="1" w:styleId="Citalarga">
    <w:name w:val="Cita larga"/>
    <w:basedOn w:val="Normal"/>
    <w:link w:val="CitalargaCar"/>
    <w:autoRedefine/>
    <w:qFormat/>
    <w:rsid w:val="005823DB"/>
    <w:pPr>
      <w:spacing w:before="120" w:after="120" w:line="240" w:lineRule="auto"/>
      <w:ind w:left="1418"/>
      <w:jc w:val="both"/>
    </w:pPr>
    <w:rPr>
      <w:rFonts w:ascii="Aptos" w:hAnsi="Aptos" w:cs="Arial"/>
      <w:kern w:val="2"/>
      <w:sz w:val="20"/>
      <w:szCs w:val="20"/>
      <w14:ligatures w14:val="standardContextual"/>
    </w:rPr>
  </w:style>
  <w:style w:type="character" w:customStyle="1" w:styleId="CitalargaCar">
    <w:name w:val="Cita larga Car"/>
    <w:basedOn w:val="Fuentedeprrafopredeter"/>
    <w:link w:val="Citalarga"/>
    <w:rsid w:val="005823DB"/>
    <w:rPr>
      <w:rFonts w:ascii="Aptos" w:hAnsi="Aptos" w:cs="Arial"/>
      <w:sz w:val="20"/>
      <w:szCs w:val="20"/>
    </w:rPr>
  </w:style>
  <w:style w:type="paragraph" w:customStyle="1" w:styleId="Nivel1BIOL">
    <w:name w:val="Nivel1BIOL"/>
    <w:basedOn w:val="Normal"/>
    <w:link w:val="Nivel1BIOLCar"/>
    <w:qFormat/>
    <w:rsid w:val="005823DB"/>
    <w:pPr>
      <w:spacing w:before="120" w:after="120" w:line="240" w:lineRule="auto"/>
      <w:jc w:val="both"/>
    </w:pPr>
    <w:rPr>
      <w:rFonts w:ascii="Unna" w:hAnsi="Unna" w:cs="Arial"/>
      <w:b/>
      <w:bCs/>
      <w:kern w:val="2"/>
      <w:sz w:val="24"/>
      <w:szCs w:val="24"/>
      <w:lang w:val="en-US"/>
      <w14:ligatures w14:val="standardContextual"/>
    </w:rPr>
  </w:style>
  <w:style w:type="character" w:customStyle="1" w:styleId="Nivel1BIOLCar">
    <w:name w:val="Nivel1BIOL Car"/>
    <w:basedOn w:val="Fuentedeprrafopredeter"/>
    <w:link w:val="Nivel1BIOL"/>
    <w:rsid w:val="005823DB"/>
    <w:rPr>
      <w:rFonts w:ascii="Unna" w:hAnsi="Unna" w:cs="Arial"/>
      <w:b/>
      <w:bCs/>
      <w:sz w:val="24"/>
      <w:szCs w:val="24"/>
      <w:lang w:val="en-US"/>
    </w:rPr>
  </w:style>
  <w:style w:type="paragraph" w:customStyle="1" w:styleId="parrafonormalbiolex">
    <w:name w:val="parrafonormalbiolex"/>
    <w:basedOn w:val="Normal"/>
    <w:link w:val="parrafonormalbiolexCar"/>
    <w:qFormat/>
    <w:rsid w:val="005823DB"/>
    <w:pPr>
      <w:spacing w:after="0" w:line="276" w:lineRule="auto"/>
      <w:ind w:firstLine="567"/>
      <w:contextualSpacing/>
      <w:jc w:val="both"/>
    </w:pPr>
    <w:rPr>
      <w:rFonts w:ascii="Unna" w:hAnsi="Unna" w:cs="Arial"/>
      <w:kern w:val="2"/>
      <w:sz w:val="24"/>
      <w:szCs w:val="24"/>
      <w14:ligatures w14:val="standardContextual"/>
    </w:rPr>
  </w:style>
  <w:style w:type="character" w:customStyle="1" w:styleId="parrafonormalbiolexCar">
    <w:name w:val="parrafonormalbiolex Car"/>
    <w:basedOn w:val="Fuentedeprrafopredeter"/>
    <w:link w:val="parrafonormalbiolex"/>
    <w:rsid w:val="005823DB"/>
    <w:rPr>
      <w:rFonts w:ascii="Unna" w:hAnsi="Unna" w:cs="Arial"/>
      <w:sz w:val="24"/>
      <w:szCs w:val="24"/>
    </w:rPr>
  </w:style>
  <w:style w:type="paragraph" w:customStyle="1" w:styleId="vietas">
    <w:name w:val="viñetas"/>
    <w:basedOn w:val="Prrafodelista"/>
    <w:link w:val="vietasCar"/>
    <w:qFormat/>
    <w:rsid w:val="005823DB"/>
    <w:pPr>
      <w:spacing w:after="0" w:line="276" w:lineRule="auto"/>
      <w:ind w:left="1049" w:hanging="340"/>
      <w:jc w:val="both"/>
    </w:pPr>
    <w:rPr>
      <w:rFonts w:ascii="Unna" w:eastAsia="Times New Roman" w:hAnsi="Unna" w:cs="Arial"/>
      <w:kern w:val="2"/>
      <w:lang w:eastAsia="es-MX"/>
      <w14:ligatures w14:val="standardContextual"/>
    </w:rPr>
  </w:style>
  <w:style w:type="character" w:customStyle="1" w:styleId="vietasCar">
    <w:name w:val="viñetas Car"/>
    <w:basedOn w:val="Fuentedeprrafopredeter"/>
    <w:link w:val="vietas"/>
    <w:rsid w:val="005823DB"/>
    <w:rPr>
      <w:rFonts w:ascii="Unna" w:eastAsia="Times New Roman" w:hAnsi="Unna" w:cs="Arial"/>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2953">
      <w:bodyDiv w:val="1"/>
      <w:marLeft w:val="0"/>
      <w:marRight w:val="0"/>
      <w:marTop w:val="0"/>
      <w:marBottom w:val="0"/>
      <w:divBdr>
        <w:top w:val="none" w:sz="0" w:space="0" w:color="auto"/>
        <w:left w:val="none" w:sz="0" w:space="0" w:color="auto"/>
        <w:bottom w:val="none" w:sz="0" w:space="0" w:color="auto"/>
        <w:right w:val="none" w:sz="0" w:space="0" w:color="auto"/>
      </w:divBdr>
    </w:div>
    <w:div w:id="60448123">
      <w:bodyDiv w:val="1"/>
      <w:marLeft w:val="0"/>
      <w:marRight w:val="0"/>
      <w:marTop w:val="0"/>
      <w:marBottom w:val="0"/>
      <w:divBdr>
        <w:top w:val="none" w:sz="0" w:space="0" w:color="auto"/>
        <w:left w:val="none" w:sz="0" w:space="0" w:color="auto"/>
        <w:bottom w:val="none" w:sz="0" w:space="0" w:color="auto"/>
        <w:right w:val="none" w:sz="0" w:space="0" w:color="auto"/>
      </w:divBdr>
    </w:div>
    <w:div w:id="81033038">
      <w:bodyDiv w:val="1"/>
      <w:marLeft w:val="0"/>
      <w:marRight w:val="0"/>
      <w:marTop w:val="0"/>
      <w:marBottom w:val="0"/>
      <w:divBdr>
        <w:top w:val="none" w:sz="0" w:space="0" w:color="auto"/>
        <w:left w:val="none" w:sz="0" w:space="0" w:color="auto"/>
        <w:bottom w:val="none" w:sz="0" w:space="0" w:color="auto"/>
        <w:right w:val="none" w:sz="0" w:space="0" w:color="auto"/>
      </w:divBdr>
      <w:divsChild>
        <w:div w:id="859389925">
          <w:marLeft w:val="0"/>
          <w:marRight w:val="0"/>
          <w:marTop w:val="510"/>
          <w:marBottom w:val="0"/>
          <w:divBdr>
            <w:top w:val="none" w:sz="0" w:space="0" w:color="auto"/>
            <w:left w:val="none" w:sz="0" w:space="0" w:color="auto"/>
            <w:bottom w:val="none" w:sz="0" w:space="0" w:color="auto"/>
            <w:right w:val="none" w:sz="0" w:space="0" w:color="auto"/>
          </w:divBdr>
          <w:divsChild>
            <w:div w:id="781724803">
              <w:marLeft w:val="0"/>
              <w:marRight w:val="0"/>
              <w:marTop w:val="0"/>
              <w:marBottom w:val="0"/>
              <w:divBdr>
                <w:top w:val="none" w:sz="0" w:space="0" w:color="auto"/>
                <w:left w:val="none" w:sz="0" w:space="0" w:color="auto"/>
                <w:bottom w:val="none" w:sz="0" w:space="0" w:color="auto"/>
                <w:right w:val="none" w:sz="0" w:space="0" w:color="auto"/>
              </w:divBdr>
              <w:divsChild>
                <w:div w:id="1041248174">
                  <w:marLeft w:val="0"/>
                  <w:marRight w:val="0"/>
                  <w:marTop w:val="0"/>
                  <w:marBottom w:val="0"/>
                  <w:divBdr>
                    <w:top w:val="none" w:sz="0" w:space="0" w:color="auto"/>
                    <w:left w:val="none" w:sz="0" w:space="0" w:color="auto"/>
                    <w:bottom w:val="none" w:sz="0" w:space="0" w:color="auto"/>
                    <w:right w:val="none" w:sz="0" w:space="0" w:color="auto"/>
                  </w:divBdr>
                  <w:divsChild>
                    <w:div w:id="615404605">
                      <w:marLeft w:val="0"/>
                      <w:marRight w:val="0"/>
                      <w:marTop w:val="0"/>
                      <w:marBottom w:val="0"/>
                      <w:divBdr>
                        <w:top w:val="none" w:sz="0" w:space="0" w:color="auto"/>
                        <w:left w:val="none" w:sz="0" w:space="0" w:color="auto"/>
                        <w:bottom w:val="none" w:sz="0" w:space="0" w:color="auto"/>
                        <w:right w:val="none" w:sz="0" w:space="0" w:color="auto"/>
                      </w:divBdr>
                      <w:divsChild>
                        <w:div w:id="1303189860">
                          <w:marLeft w:val="0"/>
                          <w:marRight w:val="0"/>
                          <w:marTop w:val="0"/>
                          <w:marBottom w:val="0"/>
                          <w:divBdr>
                            <w:top w:val="none" w:sz="0" w:space="0" w:color="auto"/>
                            <w:left w:val="none" w:sz="0" w:space="0" w:color="auto"/>
                            <w:bottom w:val="none" w:sz="0" w:space="0" w:color="auto"/>
                            <w:right w:val="none" w:sz="0" w:space="0" w:color="auto"/>
                          </w:divBdr>
                          <w:divsChild>
                            <w:div w:id="16512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129633">
      <w:bodyDiv w:val="1"/>
      <w:marLeft w:val="0"/>
      <w:marRight w:val="0"/>
      <w:marTop w:val="0"/>
      <w:marBottom w:val="0"/>
      <w:divBdr>
        <w:top w:val="none" w:sz="0" w:space="0" w:color="auto"/>
        <w:left w:val="none" w:sz="0" w:space="0" w:color="auto"/>
        <w:bottom w:val="none" w:sz="0" w:space="0" w:color="auto"/>
        <w:right w:val="none" w:sz="0" w:space="0" w:color="auto"/>
      </w:divBdr>
    </w:div>
    <w:div w:id="707681585">
      <w:bodyDiv w:val="1"/>
      <w:marLeft w:val="0"/>
      <w:marRight w:val="0"/>
      <w:marTop w:val="0"/>
      <w:marBottom w:val="0"/>
      <w:divBdr>
        <w:top w:val="none" w:sz="0" w:space="0" w:color="auto"/>
        <w:left w:val="none" w:sz="0" w:space="0" w:color="auto"/>
        <w:bottom w:val="none" w:sz="0" w:space="0" w:color="auto"/>
        <w:right w:val="none" w:sz="0" w:space="0" w:color="auto"/>
      </w:divBdr>
    </w:div>
    <w:div w:id="755130274">
      <w:bodyDiv w:val="1"/>
      <w:marLeft w:val="0"/>
      <w:marRight w:val="0"/>
      <w:marTop w:val="0"/>
      <w:marBottom w:val="0"/>
      <w:divBdr>
        <w:top w:val="none" w:sz="0" w:space="0" w:color="auto"/>
        <w:left w:val="none" w:sz="0" w:space="0" w:color="auto"/>
        <w:bottom w:val="none" w:sz="0" w:space="0" w:color="auto"/>
        <w:right w:val="none" w:sz="0" w:space="0" w:color="auto"/>
      </w:divBdr>
    </w:div>
    <w:div w:id="867986379">
      <w:bodyDiv w:val="1"/>
      <w:marLeft w:val="0"/>
      <w:marRight w:val="0"/>
      <w:marTop w:val="0"/>
      <w:marBottom w:val="0"/>
      <w:divBdr>
        <w:top w:val="none" w:sz="0" w:space="0" w:color="auto"/>
        <w:left w:val="none" w:sz="0" w:space="0" w:color="auto"/>
        <w:bottom w:val="none" w:sz="0" w:space="0" w:color="auto"/>
        <w:right w:val="none" w:sz="0" w:space="0" w:color="auto"/>
      </w:divBdr>
    </w:div>
    <w:div w:id="1034378628">
      <w:bodyDiv w:val="1"/>
      <w:marLeft w:val="0"/>
      <w:marRight w:val="0"/>
      <w:marTop w:val="0"/>
      <w:marBottom w:val="0"/>
      <w:divBdr>
        <w:top w:val="none" w:sz="0" w:space="0" w:color="auto"/>
        <w:left w:val="none" w:sz="0" w:space="0" w:color="auto"/>
        <w:bottom w:val="none" w:sz="0" w:space="0" w:color="auto"/>
        <w:right w:val="none" w:sz="0" w:space="0" w:color="auto"/>
      </w:divBdr>
    </w:div>
    <w:div w:id="1076392837">
      <w:bodyDiv w:val="1"/>
      <w:marLeft w:val="0"/>
      <w:marRight w:val="0"/>
      <w:marTop w:val="0"/>
      <w:marBottom w:val="0"/>
      <w:divBdr>
        <w:top w:val="none" w:sz="0" w:space="0" w:color="auto"/>
        <w:left w:val="none" w:sz="0" w:space="0" w:color="auto"/>
        <w:bottom w:val="none" w:sz="0" w:space="0" w:color="auto"/>
        <w:right w:val="none" w:sz="0" w:space="0" w:color="auto"/>
      </w:divBdr>
    </w:div>
    <w:div w:id="1119879689">
      <w:bodyDiv w:val="1"/>
      <w:marLeft w:val="0"/>
      <w:marRight w:val="0"/>
      <w:marTop w:val="0"/>
      <w:marBottom w:val="0"/>
      <w:divBdr>
        <w:top w:val="none" w:sz="0" w:space="0" w:color="auto"/>
        <w:left w:val="none" w:sz="0" w:space="0" w:color="auto"/>
        <w:bottom w:val="none" w:sz="0" w:space="0" w:color="auto"/>
        <w:right w:val="none" w:sz="0" w:space="0" w:color="auto"/>
      </w:divBdr>
    </w:div>
    <w:div w:id="1226985831">
      <w:bodyDiv w:val="1"/>
      <w:marLeft w:val="0"/>
      <w:marRight w:val="0"/>
      <w:marTop w:val="0"/>
      <w:marBottom w:val="0"/>
      <w:divBdr>
        <w:top w:val="none" w:sz="0" w:space="0" w:color="auto"/>
        <w:left w:val="none" w:sz="0" w:space="0" w:color="auto"/>
        <w:bottom w:val="none" w:sz="0" w:space="0" w:color="auto"/>
        <w:right w:val="none" w:sz="0" w:space="0" w:color="auto"/>
      </w:divBdr>
    </w:div>
    <w:div w:id="1228415103">
      <w:bodyDiv w:val="1"/>
      <w:marLeft w:val="0"/>
      <w:marRight w:val="0"/>
      <w:marTop w:val="0"/>
      <w:marBottom w:val="0"/>
      <w:divBdr>
        <w:top w:val="none" w:sz="0" w:space="0" w:color="auto"/>
        <w:left w:val="none" w:sz="0" w:space="0" w:color="auto"/>
        <w:bottom w:val="none" w:sz="0" w:space="0" w:color="auto"/>
        <w:right w:val="none" w:sz="0" w:space="0" w:color="auto"/>
      </w:divBdr>
    </w:div>
    <w:div w:id="1339649618">
      <w:bodyDiv w:val="1"/>
      <w:marLeft w:val="0"/>
      <w:marRight w:val="0"/>
      <w:marTop w:val="0"/>
      <w:marBottom w:val="0"/>
      <w:divBdr>
        <w:top w:val="none" w:sz="0" w:space="0" w:color="auto"/>
        <w:left w:val="none" w:sz="0" w:space="0" w:color="auto"/>
        <w:bottom w:val="none" w:sz="0" w:space="0" w:color="auto"/>
        <w:right w:val="none" w:sz="0" w:space="0" w:color="auto"/>
      </w:divBdr>
    </w:div>
    <w:div w:id="1608268356">
      <w:bodyDiv w:val="1"/>
      <w:marLeft w:val="0"/>
      <w:marRight w:val="0"/>
      <w:marTop w:val="0"/>
      <w:marBottom w:val="0"/>
      <w:divBdr>
        <w:top w:val="none" w:sz="0" w:space="0" w:color="auto"/>
        <w:left w:val="none" w:sz="0" w:space="0" w:color="auto"/>
        <w:bottom w:val="none" w:sz="0" w:space="0" w:color="auto"/>
        <w:right w:val="none" w:sz="0" w:space="0" w:color="auto"/>
      </w:divBdr>
    </w:div>
    <w:div w:id="1759248992">
      <w:bodyDiv w:val="1"/>
      <w:marLeft w:val="0"/>
      <w:marRight w:val="0"/>
      <w:marTop w:val="0"/>
      <w:marBottom w:val="0"/>
      <w:divBdr>
        <w:top w:val="none" w:sz="0" w:space="0" w:color="auto"/>
        <w:left w:val="none" w:sz="0" w:space="0" w:color="auto"/>
        <w:bottom w:val="none" w:sz="0" w:space="0" w:color="auto"/>
        <w:right w:val="none" w:sz="0" w:space="0" w:color="auto"/>
      </w:divBdr>
    </w:div>
    <w:div w:id="2014919361">
      <w:bodyDiv w:val="1"/>
      <w:marLeft w:val="0"/>
      <w:marRight w:val="0"/>
      <w:marTop w:val="0"/>
      <w:marBottom w:val="0"/>
      <w:divBdr>
        <w:top w:val="none" w:sz="0" w:space="0" w:color="auto"/>
        <w:left w:val="none" w:sz="0" w:space="0" w:color="auto"/>
        <w:bottom w:val="none" w:sz="0" w:space="0" w:color="auto"/>
        <w:right w:val="none" w:sz="0" w:space="0" w:color="auto"/>
      </w:divBdr>
      <w:divsChild>
        <w:div w:id="1002972211">
          <w:marLeft w:val="0"/>
          <w:marRight w:val="0"/>
          <w:marTop w:val="0"/>
          <w:marBottom w:val="0"/>
          <w:divBdr>
            <w:top w:val="none" w:sz="0" w:space="0" w:color="auto"/>
            <w:left w:val="none" w:sz="0" w:space="0" w:color="auto"/>
            <w:bottom w:val="none" w:sz="0" w:space="0" w:color="auto"/>
            <w:right w:val="none" w:sz="0" w:space="0" w:color="auto"/>
          </w:divBdr>
        </w:div>
        <w:div w:id="917784791">
          <w:marLeft w:val="0"/>
          <w:marRight w:val="0"/>
          <w:marTop w:val="0"/>
          <w:marBottom w:val="0"/>
          <w:divBdr>
            <w:top w:val="none" w:sz="0" w:space="0" w:color="auto"/>
            <w:left w:val="none" w:sz="0" w:space="0" w:color="auto"/>
            <w:bottom w:val="none" w:sz="0" w:space="0" w:color="auto"/>
            <w:right w:val="none" w:sz="0" w:space="0" w:color="auto"/>
          </w:divBdr>
          <w:divsChild>
            <w:div w:id="1278487951">
              <w:marLeft w:val="0"/>
              <w:marRight w:val="165"/>
              <w:marTop w:val="150"/>
              <w:marBottom w:val="0"/>
              <w:divBdr>
                <w:top w:val="none" w:sz="0" w:space="0" w:color="auto"/>
                <w:left w:val="none" w:sz="0" w:space="0" w:color="auto"/>
                <w:bottom w:val="none" w:sz="0" w:space="0" w:color="auto"/>
                <w:right w:val="none" w:sz="0" w:space="0" w:color="auto"/>
              </w:divBdr>
              <w:divsChild>
                <w:div w:id="1929385677">
                  <w:marLeft w:val="0"/>
                  <w:marRight w:val="0"/>
                  <w:marTop w:val="0"/>
                  <w:marBottom w:val="0"/>
                  <w:divBdr>
                    <w:top w:val="none" w:sz="0" w:space="0" w:color="auto"/>
                    <w:left w:val="none" w:sz="0" w:space="0" w:color="auto"/>
                    <w:bottom w:val="none" w:sz="0" w:space="0" w:color="auto"/>
                    <w:right w:val="none" w:sz="0" w:space="0" w:color="auto"/>
                  </w:divBdr>
                  <w:divsChild>
                    <w:div w:id="131517941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epuba.files.wordpress.com/2013/10/1er-enc-bodino-jean-los-seis-libros-de-la-republica.pdf" TargetMode="External"/><Relationship Id="rId13" Type="http://schemas.openxmlformats.org/officeDocument/2006/relationships/hyperlink" Target="https://www.dof.gob.mx/index_113.php?year=2011&amp;month=06&amp;day=10" TargetMode="External"/><Relationship Id="rId18" Type="http://schemas.openxmlformats.org/officeDocument/2006/relationships/hyperlink" Target="https://www.corteidh.or.cr/docs/casos/articulos/seriec_482_esp.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eluniversal.com.mx/estados/aprueban-el-matrimonio-igualitario-en-guanajuato" TargetMode="External"/><Relationship Id="rId17" Type="http://schemas.openxmlformats.org/officeDocument/2006/relationships/hyperlink" Target="https://www.scjn.gob.mx/derechos-humanos/matrimonio-igualitari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vistas.juridicas.unam.mx/index.php/derecho-comparado/article/view/10643"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rteidh.or.cr/"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scielo.org.mx/scielo.php?pid=S1405-91932015000100009&amp;script=sci_arttext" TargetMode="External"/><Relationship Id="rId23" Type="http://schemas.openxmlformats.org/officeDocument/2006/relationships/header" Target="header3.xml"/><Relationship Id="rId10" Type="http://schemas.openxmlformats.org/officeDocument/2006/relationships/hyperlink" Target="https://stastdgv2portfgr032.blob.core.windows.net/cnpj/Acuerdos/Asambleas%20Plenarias/XLIX%20Asamblea%20Plenaria%20de%20la%20Conferencia%20Nacional%20de%20Procuraci%C3%B3n%20de%20Justicia.pd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tastdgv2portfgr032.blob.core.windows.net/cnpj/Acuerdos/Zonas%20Noreste%20%20Noroeste/1%C2%AA%20Sesi%C3%B3n%20Ordinaria%202023%20de%20la%20Zonas%20NoresteNoroeste%20de%20la%20Conferencia%20Nacional%20de%20Procuraci%C3%B3n%20de%20Justicia.pdf" TargetMode="External"/><Relationship Id="rId14" Type="http://schemas.openxmlformats.org/officeDocument/2006/relationships/hyperlink" Target="https://dialnet.unirioja.es/servlet/articulo?codigo=5809671" TargetMode="Externa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revistas.juridicas.unam.mx/index.php/derecho-comparado/article/view/10643" TargetMode="External"/><Relationship Id="rId13" Type="http://schemas.openxmlformats.org/officeDocument/2006/relationships/hyperlink" Target="https://stastdgv2portfgr032.blob.core.windows.net/cnpj/Acuerdos/Zonas%20Noreste%20%20Noroeste/1%C2%AA%20Sesi%C3%B3n%20Ordinaria%202023%20de%20la%20Zonas%20NoresteNoroeste%20de%20la%20Conferencia%20Nacional%20de%20Procuraci%C3%B3n%20de%20Justicia.pdf" TargetMode="External"/><Relationship Id="rId3" Type="http://schemas.openxmlformats.org/officeDocument/2006/relationships/hyperlink" Target="https://orcid.org/0009-0004-8692-9474" TargetMode="External"/><Relationship Id="rId7" Type="http://schemas.openxmlformats.org/officeDocument/2006/relationships/hyperlink" Target="https://www.scielo.org.mx/scielo.php?pid=S1405-91932015000100009&amp;script=sci_arttext" TargetMode="External"/><Relationship Id="rId12" Type="http://schemas.openxmlformats.org/officeDocument/2006/relationships/hyperlink" Target="https://www.corteidh.or.cr/docs/casos/articulos/seriec_482_esp.pdf" TargetMode="External"/><Relationship Id="rId2" Type="http://schemas.openxmlformats.org/officeDocument/2006/relationships/hyperlink" Target="file:///C:\Users\bug\Downloads\ce.orozco@ugto.mx" TargetMode="External"/><Relationship Id="rId16" Type="http://schemas.openxmlformats.org/officeDocument/2006/relationships/hyperlink" Target="https://rua.ua.es/dspace/bitstream/10045/133367/1/Doxa_46_12.pdf" TargetMode="External"/><Relationship Id="rId1" Type="http://schemas.openxmlformats.org/officeDocument/2006/relationships/hyperlink" Target="https://orcid.org/0009-0001-3386-7933" TargetMode="External"/><Relationship Id="rId6" Type="http://schemas.openxmlformats.org/officeDocument/2006/relationships/hyperlink" Target="https://www.dof.gob.mx/index_113.php?year=2011&amp;month=06&amp;day=10%23gsc.tab=0" TargetMode="External"/><Relationship Id="rId11" Type="http://schemas.openxmlformats.org/officeDocument/2006/relationships/hyperlink" Target="https://www.corteidh.or.cr/sitios/libros/todos/docs/cuadernillo19.pdf" TargetMode="External"/><Relationship Id="rId5" Type="http://schemas.openxmlformats.org/officeDocument/2006/relationships/hyperlink" Target="https://www.scjn.gob.mx/derechos-humanos/accion-colectiva" TargetMode="External"/><Relationship Id="rId15" Type="http://schemas.openxmlformats.org/officeDocument/2006/relationships/hyperlink" Target="https://www.oas.org/36ag/espanol/doc_referencia/convencion_viena.pdf" TargetMode="External"/><Relationship Id="rId10" Type="http://schemas.openxmlformats.org/officeDocument/2006/relationships/hyperlink" Target="https://www.scjn.gob.mx/derechos-humanos/sites/default/files/sentencias-emblematicas/sentencia/2022-02/AR%20581-2012.pdf" TargetMode="External"/><Relationship Id="rId4" Type="http://schemas.openxmlformats.org/officeDocument/2006/relationships/hyperlink" Target="https://www.dof.gob.mx/nota_detalle.php?codigo=5194486&amp;fecha=10/06/2011" TargetMode="External"/><Relationship Id="rId9" Type="http://schemas.openxmlformats.org/officeDocument/2006/relationships/hyperlink" Target="https://www.eluniversal.com.mx/estados/aprueban-el-matrimonio-igualitario-en-guanajuato" TargetMode="External"/><Relationship Id="rId14" Type="http://schemas.openxmlformats.org/officeDocument/2006/relationships/hyperlink" Target="https://stastdgv2portfgr032.blob.core.windows.net/cnpj/Acuerdos/Asambleas%20Plenarias/XLIX%20Asamblea%20Plenaria%20de%20la%20Conferencia%20Nacional%20de%20Procuraci%C3%B3n%20de%20Justici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4D504-F3B0-4C1D-A7B4-E97341B28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7483</Words>
  <Characters>42659</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2026-06-03T21:55:00Z</dcterms:created>
  <dcterms:modified xsi:type="dcterms:W3CDTF">2026-06-03T21:55:00Z</dcterms:modified>
</cp:coreProperties>
</file>