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74944" w14:textId="237F8202" w:rsidR="00F41C39" w:rsidRPr="00F41C39" w:rsidRDefault="00CF6AEF" w:rsidP="00F41C39">
      <w:pPr>
        <w:pStyle w:val="TableParagraph"/>
        <w:spacing w:after="120" w:line="276" w:lineRule="auto"/>
        <w:rPr>
          <w:rFonts w:ascii="Unna" w:hAnsi="Unna" w:cs="Arial"/>
          <w:i/>
          <w:iCs/>
          <w:color w:val="000000" w:themeColor="text1"/>
          <w:sz w:val="24"/>
          <w:szCs w:val="24"/>
        </w:rPr>
      </w:pPr>
      <w:r w:rsidRPr="00CF6AEF">
        <w:rPr>
          <w:rFonts w:ascii="Unna" w:eastAsia="Times New Roman" w:hAnsi="Unna" w:cs="Arial"/>
          <w:b/>
          <w:bCs/>
          <w:i/>
          <w:iCs/>
          <w:noProof/>
          <w:szCs w:val="24"/>
          <w:lang w:val="es-MX" w:eastAsia="es-MX"/>
        </w:rPr>
        <mc:AlternateContent>
          <mc:Choice Requires="wps">
            <w:drawing>
              <wp:anchor distT="0" distB="0" distL="114300" distR="114300" simplePos="0" relativeHeight="251659264" behindDoc="0" locked="0" layoutInCell="1" allowOverlap="1" wp14:anchorId="0F22E38E" wp14:editId="5E06DC01">
                <wp:simplePos x="0" y="0"/>
                <wp:positionH relativeFrom="margin">
                  <wp:posOffset>0</wp:posOffset>
                </wp:positionH>
                <wp:positionV relativeFrom="paragraph">
                  <wp:posOffset>254635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C10C779"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20.05pt" to="477.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">
                <w10:wrap anchorx="margin"/>
              </v:line>
            </w:pict>
          </mc:Fallback>
        </mc:AlternateContent>
      </w:r>
      <w:r w:rsidR="00F41C39" w:rsidRPr="00F41C39">
        <w:rPr>
          <w:rFonts w:ascii="Unna" w:hAnsi="Unna" w:cs="Arial"/>
          <w:i/>
          <w:iCs/>
          <w:color w:val="000000" w:themeColor="text1"/>
          <w:sz w:val="24"/>
          <w:szCs w:val="24"/>
        </w:rPr>
        <w:t>Artículos</w:t>
      </w:r>
    </w:p>
    <w:p w14:paraId="456B2227" w14:textId="7762C72A" w:rsidR="000F7A0B" w:rsidRPr="00F41C39" w:rsidRDefault="000F7A0B" w:rsidP="00F41C39">
      <w:pPr>
        <w:pStyle w:val="TableParagraph"/>
        <w:spacing w:after="120" w:line="276" w:lineRule="auto"/>
        <w:jc w:val="center"/>
        <w:rPr>
          <w:rFonts w:ascii="Unna" w:hAnsi="Unna" w:cs="Arial"/>
          <w:b/>
          <w:bCs/>
          <w:color w:val="000000" w:themeColor="text1"/>
          <w:sz w:val="28"/>
          <w:szCs w:val="28"/>
        </w:rPr>
      </w:pPr>
      <w:r w:rsidRPr="00F41C39">
        <w:rPr>
          <w:rFonts w:ascii="Unna" w:hAnsi="Unna" w:cs="Arial"/>
          <w:b/>
          <w:bCs/>
          <w:color w:val="000000" w:themeColor="text1"/>
          <w:sz w:val="28"/>
          <w:szCs w:val="28"/>
        </w:rPr>
        <w:t>L</w:t>
      </w:r>
      <w:r w:rsidR="00386D62" w:rsidRPr="00F41C39">
        <w:rPr>
          <w:rFonts w:ascii="Unna" w:hAnsi="Unna" w:cs="Arial"/>
          <w:b/>
          <w:bCs/>
          <w:color w:val="000000" w:themeColor="text1"/>
          <w:sz w:val="28"/>
          <w:szCs w:val="28"/>
        </w:rPr>
        <w:t>a</w:t>
      </w:r>
      <w:r w:rsidRPr="00F41C39">
        <w:rPr>
          <w:rFonts w:ascii="Unna" w:hAnsi="Unna" w:cs="Arial"/>
          <w:b/>
          <w:bCs/>
          <w:color w:val="000000" w:themeColor="text1"/>
          <w:sz w:val="28"/>
          <w:szCs w:val="28"/>
        </w:rPr>
        <w:t xml:space="preserve"> </w:t>
      </w:r>
      <w:r w:rsidR="00386D62" w:rsidRPr="00F41C39">
        <w:rPr>
          <w:rFonts w:ascii="Unna" w:hAnsi="Unna" w:cs="Arial"/>
          <w:b/>
          <w:bCs/>
          <w:color w:val="000000" w:themeColor="text1"/>
          <w:sz w:val="28"/>
          <w:szCs w:val="28"/>
        </w:rPr>
        <w:t>Comisión Nacional de Derechos Humanos bajo la jurisprudencia del debido proceso de la Corte Interamericana de Derechos Humanos</w:t>
      </w:r>
      <w:r w:rsidR="00F41C39">
        <w:rPr>
          <w:rStyle w:val="Refdenotaalpie"/>
          <w:rFonts w:ascii="Unna" w:hAnsi="Unna" w:cs="Arial"/>
          <w:b/>
          <w:bCs/>
          <w:color w:val="000000" w:themeColor="text1"/>
          <w:sz w:val="28"/>
          <w:szCs w:val="28"/>
        </w:rPr>
        <w:footnoteReference w:id="1"/>
      </w:r>
    </w:p>
    <w:p w14:paraId="408C84AB" w14:textId="4541AF97" w:rsidR="00C31C81" w:rsidRPr="00F41C39" w:rsidRDefault="00CF6AEF" w:rsidP="00F41C39">
      <w:pPr>
        <w:pStyle w:val="TableParagraph"/>
        <w:spacing w:after="120" w:line="276" w:lineRule="auto"/>
        <w:jc w:val="center"/>
        <w:rPr>
          <w:rFonts w:ascii="Unna" w:hAnsi="Unna" w:cs="Arial"/>
          <w:b/>
          <w:bCs/>
          <w:color w:val="000000" w:themeColor="text1"/>
          <w:sz w:val="28"/>
          <w:szCs w:val="28"/>
          <w:lang w:val="en-US"/>
        </w:rPr>
      </w:pPr>
      <w:r w:rsidRPr="00CF6AEF">
        <w:rPr>
          <w:rFonts w:ascii="Unna" w:eastAsia="Times New Roman" w:hAnsi="Unna" w:cs="Arial"/>
          <w:b/>
          <w:bCs/>
          <w:i/>
          <w:iCs/>
          <w:noProof/>
          <w:szCs w:val="24"/>
          <w:lang w:eastAsia="es-MX"/>
        </w:rPr>
        <mc:AlternateContent>
          <mc:Choice Requires="wps">
            <w:drawing>
              <wp:anchor distT="0" distB="0" distL="114300" distR="114300" simplePos="0" relativeHeight="251661312" behindDoc="0" locked="0" layoutInCell="1" allowOverlap="1" wp14:anchorId="659F0CEC" wp14:editId="7F335F95">
                <wp:simplePos x="0" y="0"/>
                <wp:positionH relativeFrom="margin">
                  <wp:posOffset>0</wp:posOffset>
                </wp:positionH>
                <wp:positionV relativeFrom="paragraph">
                  <wp:posOffset>556895</wp:posOffset>
                </wp:positionV>
                <wp:extent cx="6064250" cy="0"/>
                <wp:effectExtent l="0" t="0" r="0" b="0"/>
                <wp:wrapNone/>
                <wp:docPr id="1664050737"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A226C76"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43.85pt" to="477.5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">
                <w10:wrap anchorx="margin"/>
              </v:line>
            </w:pict>
          </mc:Fallback>
        </mc:AlternateContent>
      </w:r>
      <w:r w:rsidR="00386D62" w:rsidRPr="00F41C39">
        <w:rPr>
          <w:rFonts w:ascii="Unna" w:hAnsi="Unna" w:cs="Arial"/>
          <w:b/>
          <w:bCs/>
          <w:color w:val="000000" w:themeColor="text1"/>
          <w:sz w:val="28"/>
          <w:szCs w:val="28"/>
          <w:lang w:val="en-US"/>
        </w:rPr>
        <w:t xml:space="preserve">National Human Rights </w:t>
      </w:r>
      <w:r w:rsidR="0007278D" w:rsidRPr="00F41C39">
        <w:rPr>
          <w:rFonts w:ascii="Unna" w:hAnsi="Unna" w:cs="Arial"/>
          <w:b/>
          <w:bCs/>
          <w:color w:val="000000" w:themeColor="text1"/>
          <w:sz w:val="28"/>
          <w:szCs w:val="28"/>
          <w:lang w:val="en-US"/>
        </w:rPr>
        <w:t>Commission</w:t>
      </w:r>
      <w:r w:rsidR="00386D62" w:rsidRPr="00F41C39">
        <w:rPr>
          <w:rFonts w:ascii="Unna" w:hAnsi="Unna" w:cs="Arial"/>
          <w:b/>
          <w:bCs/>
          <w:color w:val="000000" w:themeColor="text1"/>
          <w:sz w:val="28"/>
          <w:szCs w:val="28"/>
          <w:lang w:val="en-US"/>
        </w:rPr>
        <w:t xml:space="preserve"> Under the Due Process Jurisprudence of the Inter-American Court of Human Rights</w:t>
      </w:r>
    </w:p>
    <w:p w14:paraId="2BF1D7A1" w14:textId="015F6F69" w:rsidR="000F7A0B" w:rsidRPr="00F41C39" w:rsidRDefault="005964F3" w:rsidP="00F41C39">
      <w:pPr>
        <w:spacing w:after="0" w:line="360" w:lineRule="auto"/>
        <w:jc w:val="right"/>
        <w:rPr>
          <w:rFonts w:ascii="Unna" w:hAnsi="Unna" w:cs="Arial"/>
          <w:bCs/>
          <w:color w:val="000000" w:themeColor="text1"/>
          <w:sz w:val="24"/>
          <w:szCs w:val="24"/>
        </w:rPr>
      </w:pPr>
      <w:r w:rsidRPr="0007278D">
        <w:rPr>
          <w:rFonts w:ascii="Unna" w:hAnsi="Unna" w:cs="Arial"/>
          <w:bCs/>
          <w:color w:val="000000" w:themeColor="text1"/>
          <w:sz w:val="24"/>
          <w:szCs w:val="24"/>
        </w:rPr>
        <w:t>José Julio Nares Hernández</w:t>
      </w:r>
      <w:r w:rsidRPr="0007278D">
        <w:rPr>
          <w:rStyle w:val="Refdenotaalpie"/>
          <w:rFonts w:ascii="Unna" w:hAnsi="Unna" w:cs="Arial"/>
          <w:bCs/>
          <w:color w:val="000000" w:themeColor="text1"/>
          <w:sz w:val="24"/>
          <w:szCs w:val="24"/>
        </w:rPr>
        <w:footnoteReference w:id="2"/>
      </w:r>
    </w:p>
    <w:p w14:paraId="7C560D1F" w14:textId="03CF3ED3" w:rsidR="00E66056" w:rsidRPr="0007278D" w:rsidRDefault="00E66056" w:rsidP="00F41C39">
      <w:pPr>
        <w:spacing w:line="276" w:lineRule="auto"/>
        <w:jc w:val="both"/>
        <w:rPr>
          <w:rFonts w:ascii="Unna" w:hAnsi="Unna" w:cs="Arial"/>
          <w:bCs/>
          <w:color w:val="000000" w:themeColor="text1"/>
          <w:sz w:val="24"/>
          <w:szCs w:val="24"/>
        </w:rPr>
      </w:pPr>
      <w:r w:rsidRPr="0007278D">
        <w:rPr>
          <w:rFonts w:ascii="Unna" w:hAnsi="Unna" w:cs="Arial"/>
          <w:b/>
          <w:bCs/>
          <w:color w:val="000000" w:themeColor="text1"/>
          <w:sz w:val="24"/>
          <w:szCs w:val="24"/>
        </w:rPr>
        <w:t>SUMARIO:</w:t>
      </w:r>
      <w:r w:rsidRPr="0007278D">
        <w:rPr>
          <w:rFonts w:ascii="Unna" w:hAnsi="Unna" w:cs="Arial"/>
          <w:bCs/>
          <w:color w:val="000000" w:themeColor="text1"/>
          <w:sz w:val="24"/>
          <w:szCs w:val="24"/>
        </w:rPr>
        <w:t xml:space="preserve"> I. Introducción. </w:t>
      </w:r>
      <w:r w:rsidRPr="0007278D">
        <w:rPr>
          <w:rFonts w:ascii="Unna" w:eastAsia="Times New Roman" w:hAnsi="Unna" w:cs="Arial"/>
          <w:bCs/>
          <w:color w:val="000000" w:themeColor="text1"/>
          <w:sz w:val="24"/>
          <w:szCs w:val="24"/>
          <w:lang w:eastAsia="es-MX"/>
        </w:rPr>
        <w:t xml:space="preserve">II. </w:t>
      </w:r>
      <w:r w:rsidRPr="0007278D">
        <w:rPr>
          <w:rFonts w:ascii="Unna" w:hAnsi="Unna" w:cs="Arial"/>
          <w:bCs/>
          <w:color w:val="000000" w:themeColor="text1"/>
          <w:sz w:val="24"/>
          <w:szCs w:val="24"/>
        </w:rPr>
        <w:t xml:space="preserve">Sistema Nacional No Jurisdiccional de Protección de los Derechos Humanos: ineficacia de la Comisión Nacional de los Derechos Humanos (CNDH). III. Procedimiento no jurisdiccional de la </w:t>
      </w:r>
      <w:r w:rsidR="00174AE8" w:rsidRPr="0007278D">
        <w:rPr>
          <w:rFonts w:ascii="Unna" w:hAnsi="Unna" w:cs="Arial"/>
          <w:bCs/>
          <w:color w:val="000000" w:themeColor="text1"/>
          <w:sz w:val="24"/>
          <w:szCs w:val="24"/>
        </w:rPr>
        <w:t xml:space="preserve">CNDH. </w:t>
      </w:r>
      <w:r w:rsidRPr="0007278D">
        <w:rPr>
          <w:rFonts w:ascii="Unna" w:hAnsi="Unna" w:cs="Arial"/>
          <w:bCs/>
          <w:color w:val="000000" w:themeColor="text1"/>
          <w:sz w:val="24"/>
          <w:szCs w:val="24"/>
        </w:rPr>
        <w:t xml:space="preserve">IV. La </w:t>
      </w:r>
      <w:r w:rsidR="00D1131D" w:rsidRPr="0007278D">
        <w:rPr>
          <w:rFonts w:ascii="Unna" w:hAnsi="Unna" w:cs="Arial"/>
          <w:bCs/>
          <w:color w:val="000000" w:themeColor="text1"/>
          <w:sz w:val="24"/>
          <w:szCs w:val="24"/>
        </w:rPr>
        <w:t>CNDH</w:t>
      </w:r>
      <w:r w:rsidRPr="0007278D">
        <w:rPr>
          <w:rFonts w:ascii="Unna" w:hAnsi="Unna" w:cs="Arial"/>
          <w:bCs/>
          <w:color w:val="000000" w:themeColor="text1"/>
          <w:sz w:val="24"/>
          <w:szCs w:val="24"/>
        </w:rPr>
        <w:t xml:space="preserve"> como autoridad responsable para efectos del juicio de amparo. V. El debido proceso en la Jurisprudencia de la Corte Interamericana de Derechos Humanos</w:t>
      </w:r>
      <w:r w:rsidR="00174AE8" w:rsidRPr="0007278D">
        <w:rPr>
          <w:rFonts w:ascii="Unna" w:hAnsi="Unna" w:cs="Arial"/>
          <w:bCs/>
          <w:color w:val="000000" w:themeColor="text1"/>
          <w:sz w:val="24"/>
          <w:szCs w:val="24"/>
        </w:rPr>
        <w:t xml:space="preserve"> </w:t>
      </w:r>
      <w:r w:rsidR="00540FEF" w:rsidRPr="0007278D">
        <w:rPr>
          <w:rFonts w:ascii="Unna" w:hAnsi="Unna" w:cs="Arial"/>
          <w:bCs/>
          <w:color w:val="000000" w:themeColor="text1"/>
          <w:sz w:val="24"/>
          <w:szCs w:val="24"/>
        </w:rPr>
        <w:t>(</w:t>
      </w:r>
      <w:r w:rsidR="00174AE8" w:rsidRPr="0007278D">
        <w:rPr>
          <w:rFonts w:ascii="Unna" w:hAnsi="Unna" w:cs="Arial"/>
          <w:bCs/>
          <w:color w:val="000000" w:themeColor="text1"/>
          <w:sz w:val="24"/>
          <w:szCs w:val="24"/>
        </w:rPr>
        <w:t>Corte IDH)</w:t>
      </w:r>
      <w:r w:rsidRPr="0007278D">
        <w:rPr>
          <w:rFonts w:ascii="Unna" w:hAnsi="Unna" w:cs="Arial"/>
          <w:bCs/>
          <w:color w:val="000000" w:themeColor="text1"/>
          <w:sz w:val="24"/>
          <w:szCs w:val="24"/>
        </w:rPr>
        <w:t xml:space="preserve">. VI. Obligación de la </w:t>
      </w:r>
      <w:r w:rsidR="00174AE8" w:rsidRPr="0007278D">
        <w:rPr>
          <w:rFonts w:ascii="Unna" w:hAnsi="Unna" w:cs="Arial"/>
          <w:bCs/>
          <w:color w:val="000000" w:themeColor="text1"/>
          <w:sz w:val="24"/>
          <w:szCs w:val="24"/>
        </w:rPr>
        <w:t xml:space="preserve">CNDH </w:t>
      </w:r>
      <w:r w:rsidRPr="0007278D">
        <w:rPr>
          <w:rFonts w:ascii="Unna" w:hAnsi="Unna" w:cs="Arial"/>
          <w:bCs/>
          <w:color w:val="000000" w:themeColor="text1"/>
          <w:sz w:val="24"/>
          <w:szCs w:val="24"/>
        </w:rPr>
        <w:t xml:space="preserve">de armonizar su legislación con la jurisprudencia de la Corte </w:t>
      </w:r>
      <w:r w:rsidR="00174AE8" w:rsidRPr="0007278D">
        <w:rPr>
          <w:rFonts w:ascii="Unna" w:hAnsi="Unna" w:cs="Arial"/>
          <w:bCs/>
          <w:color w:val="000000" w:themeColor="text1"/>
          <w:sz w:val="24"/>
          <w:szCs w:val="24"/>
        </w:rPr>
        <w:t>IDH</w:t>
      </w:r>
      <w:r w:rsidRPr="0007278D">
        <w:rPr>
          <w:rFonts w:ascii="Unna" w:hAnsi="Unna" w:cs="Arial"/>
          <w:bCs/>
          <w:color w:val="000000" w:themeColor="text1"/>
          <w:sz w:val="24"/>
          <w:szCs w:val="24"/>
        </w:rPr>
        <w:t xml:space="preserve">. VII. Conclusiones.  </w:t>
      </w:r>
    </w:p>
    <w:p w14:paraId="076A04E1" w14:textId="20EE6F62" w:rsidR="000F7A0B" w:rsidRPr="0007278D" w:rsidRDefault="00F41C39" w:rsidP="00F41C39">
      <w:pPr>
        <w:spacing w:after="120" w:line="240" w:lineRule="auto"/>
        <w:jc w:val="center"/>
        <w:rPr>
          <w:rFonts w:ascii="Unna" w:hAnsi="Unna" w:cs="Arial"/>
          <w:b/>
          <w:bCs/>
          <w:color w:val="000000" w:themeColor="text1"/>
          <w:sz w:val="24"/>
          <w:szCs w:val="24"/>
        </w:rPr>
      </w:pPr>
      <w:r w:rsidRPr="0007278D">
        <w:rPr>
          <w:rFonts w:ascii="Unna" w:hAnsi="Unna" w:cs="Arial"/>
          <w:b/>
          <w:bCs/>
          <w:color w:val="000000" w:themeColor="text1"/>
          <w:sz w:val="24"/>
          <w:szCs w:val="24"/>
        </w:rPr>
        <w:t>Resumen</w:t>
      </w:r>
    </w:p>
    <w:p w14:paraId="0949D88D" w14:textId="2121DFFB" w:rsidR="000F7A0B" w:rsidRPr="0007278D" w:rsidRDefault="000F7A0B" w:rsidP="00324EFC">
      <w:pPr>
        <w:spacing w:after="120" w:line="276" w:lineRule="auto"/>
        <w:jc w:val="both"/>
        <w:rPr>
          <w:rFonts w:ascii="Unna" w:hAnsi="Unna" w:cs="Arial"/>
          <w:bCs/>
          <w:color w:val="000000" w:themeColor="text1"/>
          <w:sz w:val="24"/>
          <w:szCs w:val="24"/>
        </w:rPr>
      </w:pPr>
      <w:r w:rsidRPr="0007278D">
        <w:rPr>
          <w:rFonts w:ascii="Unna" w:eastAsia="Times New Roman" w:hAnsi="Unna" w:cs="Arial"/>
          <w:bCs/>
          <w:color w:val="000000" w:themeColor="text1"/>
          <w:sz w:val="24"/>
          <w:szCs w:val="24"/>
          <w:lang w:eastAsia="es-MX"/>
        </w:rPr>
        <w:t>El objetivo del presente artículo es analizar la ineficacia de la Comisión Nacional de los Derechos Humanos</w:t>
      </w:r>
      <w:r w:rsidR="00243D7E" w:rsidRPr="0007278D">
        <w:rPr>
          <w:rFonts w:ascii="Unna" w:eastAsia="Times New Roman" w:hAnsi="Unna" w:cs="Arial"/>
          <w:bCs/>
          <w:color w:val="000000" w:themeColor="text1"/>
          <w:sz w:val="24"/>
          <w:szCs w:val="24"/>
          <w:lang w:eastAsia="es-MX"/>
        </w:rPr>
        <w:t xml:space="preserve"> (CNDH)</w:t>
      </w:r>
      <w:r w:rsidRPr="0007278D">
        <w:rPr>
          <w:rFonts w:ascii="Unna" w:eastAsia="Times New Roman" w:hAnsi="Unna" w:cs="Arial"/>
          <w:bCs/>
          <w:color w:val="000000" w:themeColor="text1"/>
          <w:sz w:val="24"/>
          <w:szCs w:val="24"/>
          <w:lang w:eastAsia="es-MX"/>
        </w:rPr>
        <w:t xml:space="preserve"> de México, en su función constitucional de proteger a las personas por la violación de sus derechos humanos</w:t>
      </w:r>
      <w:r w:rsidRPr="0007278D">
        <w:rPr>
          <w:rFonts w:ascii="Unna" w:hAnsi="Unna" w:cs="Arial"/>
          <w:bCs/>
          <w:color w:val="000000" w:themeColor="text1"/>
          <w:sz w:val="24"/>
          <w:szCs w:val="24"/>
        </w:rPr>
        <w:t>. U</w:t>
      </w:r>
      <w:r w:rsidRPr="0007278D">
        <w:rPr>
          <w:rFonts w:ascii="Unna" w:eastAsia="Times New Roman" w:hAnsi="Unna" w:cs="Arial"/>
          <w:bCs/>
          <w:color w:val="000000" w:themeColor="text1"/>
          <w:sz w:val="24"/>
          <w:szCs w:val="24"/>
          <w:lang w:eastAsia="es-MX"/>
        </w:rPr>
        <w:t xml:space="preserve">na de las causas de este problema se encuentra en la </w:t>
      </w:r>
      <w:r w:rsidR="00386D62" w:rsidRPr="0007278D">
        <w:rPr>
          <w:rFonts w:ascii="Unna" w:eastAsia="Times New Roman" w:hAnsi="Unna" w:cs="Arial"/>
          <w:bCs/>
          <w:color w:val="000000" w:themeColor="text1"/>
          <w:sz w:val="24"/>
          <w:szCs w:val="24"/>
          <w:lang w:eastAsia="es-MX"/>
        </w:rPr>
        <w:t>l</w:t>
      </w:r>
      <w:r w:rsidRPr="0007278D">
        <w:rPr>
          <w:rFonts w:ascii="Unna" w:eastAsia="Times New Roman" w:hAnsi="Unna" w:cs="Arial"/>
          <w:bCs/>
          <w:color w:val="000000" w:themeColor="text1"/>
          <w:sz w:val="24"/>
          <w:szCs w:val="24"/>
          <w:lang w:eastAsia="es-MX"/>
        </w:rPr>
        <w:t>ey de este organismo, cuyo procedimiento origina que s</w:t>
      </w:r>
      <w:r w:rsidR="00386D62" w:rsidRPr="0007278D">
        <w:rPr>
          <w:rFonts w:ascii="Unna" w:eastAsia="Times New Roman" w:hAnsi="Unna" w:cs="Arial"/>
          <w:bCs/>
          <w:color w:val="000000" w:themeColor="text1"/>
          <w:sz w:val="24"/>
          <w:szCs w:val="24"/>
          <w:lang w:eastAsia="es-MX"/>
        </w:rPr>
        <w:t>o</w:t>
      </w:r>
      <w:r w:rsidRPr="0007278D">
        <w:rPr>
          <w:rFonts w:ascii="Unna" w:eastAsia="Times New Roman" w:hAnsi="Unna" w:cs="Arial"/>
          <w:bCs/>
          <w:color w:val="000000" w:themeColor="text1"/>
          <w:sz w:val="24"/>
          <w:szCs w:val="24"/>
          <w:lang w:eastAsia="es-MX"/>
        </w:rPr>
        <w:t>lo el 1</w:t>
      </w:r>
      <w:r w:rsidR="00386D62" w:rsidRPr="0007278D">
        <w:rPr>
          <w:rFonts w:ascii="Unna" w:eastAsia="Times New Roman" w:hAnsi="Unna" w:cs="Arial"/>
          <w:bCs/>
          <w:color w:val="000000" w:themeColor="text1"/>
          <w:sz w:val="24"/>
          <w:szCs w:val="24"/>
          <w:lang w:eastAsia="es-MX"/>
        </w:rPr>
        <w:t xml:space="preserve"> </w:t>
      </w:r>
      <w:r w:rsidRPr="0007278D">
        <w:rPr>
          <w:rFonts w:ascii="Unna" w:eastAsia="Times New Roman" w:hAnsi="Unna" w:cs="Arial"/>
          <w:bCs/>
          <w:color w:val="000000" w:themeColor="text1"/>
          <w:sz w:val="24"/>
          <w:szCs w:val="24"/>
          <w:lang w:eastAsia="es-MX"/>
        </w:rPr>
        <w:t xml:space="preserve">% de quejas se resuelva anualmente mediante una recomendación, sin prever derechos procesales para que el quejoso defienda su interés de conocer la verdad. </w:t>
      </w:r>
      <w:r w:rsidRPr="0007278D">
        <w:rPr>
          <w:rFonts w:ascii="Unna" w:hAnsi="Unna" w:cs="Arial"/>
          <w:bCs/>
          <w:color w:val="000000" w:themeColor="text1"/>
          <w:sz w:val="24"/>
          <w:szCs w:val="24"/>
        </w:rPr>
        <w:t>Con base en el artículo 1 constitucional, se argumenta que los servidores públicos de dicha Comisión</w:t>
      </w:r>
      <w:r w:rsidR="00386D62" w:rsidRPr="0007278D">
        <w:rPr>
          <w:rFonts w:ascii="Unna" w:hAnsi="Unna" w:cs="Arial"/>
          <w:bCs/>
          <w:color w:val="000000" w:themeColor="text1"/>
          <w:sz w:val="24"/>
          <w:szCs w:val="24"/>
        </w:rPr>
        <w:t>,</w:t>
      </w:r>
      <w:r w:rsidRPr="0007278D">
        <w:rPr>
          <w:rFonts w:ascii="Unna" w:hAnsi="Unna" w:cs="Arial"/>
          <w:bCs/>
          <w:color w:val="000000" w:themeColor="text1"/>
          <w:sz w:val="24"/>
          <w:szCs w:val="24"/>
        </w:rPr>
        <w:t xml:space="preserve"> al aplicar en el procedimiento de queja los principios </w:t>
      </w:r>
      <w:r w:rsidR="00243D7E" w:rsidRPr="0007278D">
        <w:rPr>
          <w:rFonts w:ascii="Unna" w:hAnsi="Unna" w:cs="Arial"/>
          <w:bCs/>
          <w:i/>
          <w:iCs/>
          <w:color w:val="000000" w:themeColor="text1"/>
          <w:sz w:val="24"/>
          <w:szCs w:val="24"/>
        </w:rPr>
        <w:t>pro</w:t>
      </w:r>
      <w:r w:rsidR="00603E09" w:rsidRPr="0007278D">
        <w:rPr>
          <w:rFonts w:ascii="Unna" w:hAnsi="Unna" w:cs="Arial"/>
          <w:bCs/>
          <w:i/>
          <w:iCs/>
          <w:color w:val="000000" w:themeColor="text1"/>
          <w:sz w:val="24"/>
          <w:szCs w:val="24"/>
        </w:rPr>
        <w:t xml:space="preserve"> </w:t>
      </w:r>
      <w:r w:rsidR="00243D7E" w:rsidRPr="0007278D">
        <w:rPr>
          <w:rFonts w:ascii="Unna" w:hAnsi="Unna" w:cs="Arial"/>
          <w:bCs/>
          <w:i/>
          <w:iCs/>
          <w:color w:val="000000" w:themeColor="text1"/>
          <w:sz w:val="24"/>
          <w:szCs w:val="24"/>
        </w:rPr>
        <w:t>persona</w:t>
      </w:r>
      <w:r w:rsidRPr="0007278D">
        <w:rPr>
          <w:rFonts w:ascii="Unna" w:hAnsi="Unna" w:cs="Arial"/>
          <w:bCs/>
          <w:color w:val="000000" w:themeColor="text1"/>
          <w:sz w:val="24"/>
          <w:szCs w:val="24"/>
        </w:rPr>
        <w:t xml:space="preserve"> y de interpretación conforme, tienen la obligación de cumplir con la jurisprudencia del debido proceso</w:t>
      </w:r>
      <w:r w:rsidR="00386D62" w:rsidRPr="0007278D">
        <w:rPr>
          <w:rFonts w:ascii="Unna" w:hAnsi="Unna" w:cs="Arial"/>
          <w:bCs/>
          <w:color w:val="000000" w:themeColor="text1"/>
          <w:sz w:val="24"/>
          <w:szCs w:val="24"/>
        </w:rPr>
        <w:t>,</w:t>
      </w:r>
      <w:r w:rsidRPr="0007278D">
        <w:rPr>
          <w:rFonts w:ascii="Unna" w:hAnsi="Unna" w:cs="Arial"/>
          <w:bCs/>
          <w:color w:val="000000" w:themeColor="text1"/>
          <w:sz w:val="24"/>
          <w:szCs w:val="24"/>
        </w:rPr>
        <w:t xml:space="preserve"> emitida por la Corte Interamericana de Derechos Humanos para los organismos jurisdiccionales o no jurisdiccionales, que puedan afectar los derechos humanos de las personas. El quejoso tendría garantizado su derecho a una oportuna y adecuada defensa para que el procedimiento de queja concluya, en su caso, con una recomendación a la autoridad responsable para que le repare el daño material y a su dignidad como persona. E</w:t>
      </w:r>
      <w:r w:rsidRPr="0007278D">
        <w:rPr>
          <w:rFonts w:ascii="Unna" w:eastAsia="Times New Roman" w:hAnsi="Unna" w:cs="Arial"/>
          <w:bCs/>
          <w:color w:val="000000" w:themeColor="text1"/>
          <w:sz w:val="24"/>
          <w:szCs w:val="24"/>
          <w:lang w:eastAsia="es-MX"/>
        </w:rPr>
        <w:t>l quejoso</w:t>
      </w:r>
      <w:r w:rsidR="00243D7E" w:rsidRPr="0007278D">
        <w:rPr>
          <w:rFonts w:ascii="Unna" w:eastAsia="Times New Roman" w:hAnsi="Unna" w:cs="Arial"/>
          <w:bCs/>
          <w:color w:val="000000" w:themeColor="text1"/>
          <w:sz w:val="24"/>
          <w:szCs w:val="24"/>
          <w:lang w:eastAsia="es-MX"/>
        </w:rPr>
        <w:t>,</w:t>
      </w:r>
      <w:r w:rsidRPr="0007278D">
        <w:rPr>
          <w:rFonts w:ascii="Unna" w:eastAsia="Times New Roman" w:hAnsi="Unna" w:cs="Arial"/>
          <w:bCs/>
          <w:color w:val="000000" w:themeColor="text1"/>
          <w:sz w:val="24"/>
          <w:szCs w:val="24"/>
          <w:lang w:eastAsia="es-MX"/>
        </w:rPr>
        <w:t xml:space="preserve"> además</w:t>
      </w:r>
      <w:r w:rsidR="00243D7E" w:rsidRPr="0007278D">
        <w:rPr>
          <w:rFonts w:ascii="Unna" w:eastAsia="Times New Roman" w:hAnsi="Unna" w:cs="Arial"/>
          <w:bCs/>
          <w:color w:val="000000" w:themeColor="text1"/>
          <w:sz w:val="24"/>
          <w:szCs w:val="24"/>
          <w:lang w:eastAsia="es-MX"/>
        </w:rPr>
        <w:t>,</w:t>
      </w:r>
      <w:r w:rsidRPr="0007278D">
        <w:rPr>
          <w:rFonts w:ascii="Unna" w:eastAsia="Times New Roman" w:hAnsi="Unna" w:cs="Arial"/>
          <w:bCs/>
          <w:color w:val="000000" w:themeColor="text1"/>
          <w:sz w:val="24"/>
          <w:szCs w:val="24"/>
          <w:lang w:eastAsia="es-MX"/>
        </w:rPr>
        <w:t xml:space="preserve"> gozaría del derecho de interponer el juicio de amparo indirecto para impugnar actos de autoridad de la CNDH, que durante el procedimiento de queja violen su derecho humano a una oportuna y adecuada </w:t>
      </w:r>
      <w:r w:rsidRPr="0007278D">
        <w:rPr>
          <w:rFonts w:ascii="Unna" w:eastAsia="Times New Roman" w:hAnsi="Unna" w:cs="Arial"/>
          <w:bCs/>
          <w:color w:val="000000" w:themeColor="text1"/>
          <w:sz w:val="24"/>
          <w:szCs w:val="24"/>
          <w:lang w:eastAsia="es-MX"/>
        </w:rPr>
        <w:lastRenderedPageBreak/>
        <w:t xml:space="preserve">defensa. </w:t>
      </w:r>
      <w:r w:rsidRPr="0007278D">
        <w:rPr>
          <w:rFonts w:ascii="Unna" w:hAnsi="Unna" w:cs="Arial"/>
          <w:bCs/>
          <w:color w:val="000000" w:themeColor="text1"/>
          <w:sz w:val="24"/>
          <w:szCs w:val="24"/>
        </w:rPr>
        <w:t xml:space="preserve">Es una investigación documental, desarrollada a partir de la teoría constitucional y los métodos de la dogmática jurídica. </w:t>
      </w:r>
    </w:p>
    <w:p w14:paraId="62AFA0CB" w14:textId="04C74363" w:rsidR="002A73BB" w:rsidRPr="0007278D" w:rsidRDefault="00243D7E" w:rsidP="00F41C39">
      <w:pPr>
        <w:tabs>
          <w:tab w:val="left" w:pos="1720"/>
        </w:tabs>
        <w:spacing w:after="0" w:line="240" w:lineRule="auto"/>
        <w:jc w:val="both"/>
        <w:rPr>
          <w:rFonts w:ascii="Unna" w:eastAsia="Times New Roman" w:hAnsi="Unna" w:cs="Arial"/>
          <w:bCs/>
          <w:color w:val="000000" w:themeColor="text1"/>
          <w:sz w:val="24"/>
          <w:szCs w:val="24"/>
          <w:lang w:eastAsia="es-MX"/>
        </w:rPr>
      </w:pPr>
      <w:r w:rsidRPr="0007278D">
        <w:rPr>
          <w:rFonts w:ascii="Unna" w:eastAsia="Times New Roman" w:hAnsi="Unna" w:cs="Arial"/>
          <w:b/>
          <w:color w:val="000000" w:themeColor="text1"/>
          <w:sz w:val="24"/>
          <w:szCs w:val="24"/>
          <w:lang w:eastAsia="es-MX"/>
        </w:rPr>
        <w:t>Palabras clave:</w:t>
      </w:r>
      <w:r w:rsidRPr="0007278D">
        <w:rPr>
          <w:rFonts w:ascii="Unna" w:eastAsia="Times New Roman" w:hAnsi="Unna" w:cs="Arial"/>
          <w:bCs/>
          <w:color w:val="000000" w:themeColor="text1"/>
          <w:sz w:val="24"/>
          <w:szCs w:val="24"/>
          <w:lang w:eastAsia="es-MX"/>
        </w:rPr>
        <w:t xml:space="preserve"> </w:t>
      </w:r>
      <w:r w:rsidR="00F41C39">
        <w:rPr>
          <w:rFonts w:ascii="Unna" w:eastAsia="Times New Roman" w:hAnsi="Unna" w:cs="Arial"/>
          <w:bCs/>
          <w:color w:val="000000" w:themeColor="text1"/>
          <w:sz w:val="24"/>
          <w:szCs w:val="24"/>
          <w:lang w:eastAsia="es-MX"/>
        </w:rPr>
        <w:t>p</w:t>
      </w:r>
      <w:r w:rsidR="00603E09" w:rsidRPr="0007278D">
        <w:rPr>
          <w:rFonts w:ascii="Unna" w:eastAsia="Times New Roman" w:hAnsi="Unna" w:cs="Arial"/>
          <w:bCs/>
          <w:color w:val="000000" w:themeColor="text1"/>
          <w:sz w:val="24"/>
          <w:szCs w:val="24"/>
          <w:lang w:eastAsia="es-MX"/>
        </w:rPr>
        <w:t>rocedimiento</w:t>
      </w:r>
      <w:r w:rsidRPr="0007278D">
        <w:rPr>
          <w:rFonts w:ascii="Unna" w:eastAsia="Times New Roman" w:hAnsi="Unna" w:cs="Arial"/>
          <w:bCs/>
          <w:color w:val="000000" w:themeColor="text1"/>
          <w:sz w:val="24"/>
          <w:szCs w:val="24"/>
          <w:lang w:eastAsia="es-MX"/>
        </w:rPr>
        <w:t xml:space="preserve"> de queja, juicio de amparo</w:t>
      </w:r>
      <w:r w:rsidR="00603E09" w:rsidRPr="0007278D">
        <w:rPr>
          <w:rFonts w:ascii="Unna" w:eastAsia="Times New Roman" w:hAnsi="Unna" w:cs="Arial"/>
          <w:bCs/>
          <w:color w:val="000000" w:themeColor="text1"/>
          <w:sz w:val="24"/>
          <w:szCs w:val="24"/>
          <w:lang w:eastAsia="es-MX"/>
        </w:rPr>
        <w:t>, derecho procesal</w:t>
      </w:r>
    </w:p>
    <w:p w14:paraId="2466F5D7" w14:textId="77014D49" w:rsidR="001F77A9" w:rsidRPr="0007278D" w:rsidRDefault="00F41C39" w:rsidP="00F41C39">
      <w:pPr>
        <w:spacing w:before="120" w:after="120" w:line="240" w:lineRule="auto"/>
        <w:jc w:val="center"/>
        <w:rPr>
          <w:rFonts w:ascii="Unna" w:eastAsia="Times New Roman" w:hAnsi="Unna" w:cs="Arial"/>
          <w:b/>
          <w:color w:val="000000" w:themeColor="text1"/>
          <w:sz w:val="24"/>
          <w:szCs w:val="24"/>
          <w:lang w:val="en-US" w:eastAsia="es-MX"/>
        </w:rPr>
      </w:pPr>
      <w:r w:rsidRPr="0007278D">
        <w:rPr>
          <w:rFonts w:ascii="Unna" w:eastAsia="Times New Roman" w:hAnsi="Unna" w:cs="Arial"/>
          <w:b/>
          <w:color w:val="000000" w:themeColor="text1"/>
          <w:sz w:val="24"/>
          <w:szCs w:val="24"/>
          <w:lang w:val="en-US" w:eastAsia="es-MX"/>
        </w:rPr>
        <w:t>Abstract</w:t>
      </w:r>
    </w:p>
    <w:p w14:paraId="07C2C812" w14:textId="6CC2128E" w:rsidR="00F34C5D" w:rsidRPr="0007278D" w:rsidRDefault="00E57556" w:rsidP="00581E03">
      <w:pPr>
        <w:spacing w:after="0" w:line="276" w:lineRule="auto"/>
        <w:jc w:val="both"/>
        <w:rPr>
          <w:rFonts w:ascii="Unna" w:eastAsia="Times New Roman" w:hAnsi="Unna" w:cs="Arial"/>
          <w:bCs/>
          <w:color w:val="000000" w:themeColor="text1"/>
          <w:sz w:val="24"/>
          <w:szCs w:val="24"/>
          <w:lang w:val="en-US" w:eastAsia="es-MX"/>
        </w:rPr>
      </w:pPr>
      <w:r w:rsidRPr="0007278D">
        <w:rPr>
          <w:rFonts w:ascii="Unna" w:eastAsia="Times New Roman" w:hAnsi="Unna" w:cs="Arial"/>
          <w:bCs/>
          <w:color w:val="000000" w:themeColor="text1"/>
          <w:sz w:val="24"/>
          <w:szCs w:val="24"/>
          <w:lang w:val="en-US" w:eastAsia="es-MX"/>
        </w:rPr>
        <w:t xml:space="preserve">The aim of this article is to analyze the inefficacy of </w:t>
      </w:r>
      <w:bookmarkStart w:id="0" w:name="OLE_LINK60"/>
      <w:r w:rsidRPr="0007278D">
        <w:rPr>
          <w:rFonts w:ascii="Unna" w:eastAsia="Times New Roman" w:hAnsi="Unna" w:cs="Arial"/>
          <w:bCs/>
          <w:color w:val="000000" w:themeColor="text1"/>
          <w:sz w:val="24"/>
          <w:szCs w:val="24"/>
          <w:lang w:val="en-US" w:eastAsia="es-MX"/>
        </w:rPr>
        <w:t xml:space="preserve">the National Human Rights </w:t>
      </w:r>
      <w:r w:rsidR="0007278D" w:rsidRPr="0007278D">
        <w:rPr>
          <w:rFonts w:ascii="Unna" w:eastAsia="Times New Roman" w:hAnsi="Unna" w:cs="Arial"/>
          <w:bCs/>
          <w:color w:val="000000" w:themeColor="text1"/>
          <w:sz w:val="24"/>
          <w:szCs w:val="24"/>
          <w:lang w:val="en-US" w:eastAsia="es-MX"/>
        </w:rPr>
        <w:t>Commission</w:t>
      </w:r>
      <w:r w:rsidRPr="0007278D">
        <w:rPr>
          <w:rFonts w:ascii="Unna" w:eastAsia="Times New Roman" w:hAnsi="Unna" w:cs="Arial"/>
          <w:bCs/>
          <w:color w:val="000000" w:themeColor="text1"/>
          <w:sz w:val="24"/>
          <w:szCs w:val="24"/>
          <w:lang w:val="en-US" w:eastAsia="es-MX"/>
        </w:rPr>
        <w:t xml:space="preserve"> </w:t>
      </w:r>
      <w:r w:rsidR="006F756A" w:rsidRPr="0007278D">
        <w:rPr>
          <w:rFonts w:ascii="Unna" w:eastAsia="Times New Roman" w:hAnsi="Unna" w:cs="Arial"/>
          <w:bCs/>
          <w:color w:val="000000" w:themeColor="text1"/>
          <w:sz w:val="24"/>
          <w:szCs w:val="24"/>
          <w:lang w:val="en-US" w:eastAsia="es-MX"/>
        </w:rPr>
        <w:t xml:space="preserve">of </w:t>
      </w:r>
      <w:bookmarkEnd w:id="0"/>
      <w:r w:rsidR="00844F6A" w:rsidRPr="0007278D">
        <w:rPr>
          <w:rFonts w:ascii="Unna" w:eastAsia="Times New Roman" w:hAnsi="Unna" w:cs="Arial"/>
          <w:bCs/>
          <w:color w:val="000000" w:themeColor="text1"/>
          <w:sz w:val="24"/>
          <w:szCs w:val="24"/>
          <w:lang w:val="en-US" w:eastAsia="es-MX"/>
        </w:rPr>
        <w:t xml:space="preserve">Mexico </w:t>
      </w:r>
      <w:r w:rsidR="006F756A" w:rsidRPr="0007278D">
        <w:rPr>
          <w:rFonts w:ascii="Unna" w:eastAsia="Times New Roman" w:hAnsi="Unna" w:cs="Arial"/>
          <w:bCs/>
          <w:color w:val="000000" w:themeColor="text1"/>
          <w:sz w:val="24"/>
          <w:szCs w:val="24"/>
          <w:lang w:val="en-US" w:eastAsia="es-MX"/>
        </w:rPr>
        <w:t xml:space="preserve">(CNDH by its acronym in Spanish) </w:t>
      </w:r>
      <w:r w:rsidR="00844F6A" w:rsidRPr="0007278D">
        <w:rPr>
          <w:rFonts w:ascii="Unna" w:eastAsia="Times New Roman" w:hAnsi="Unna" w:cs="Arial"/>
          <w:bCs/>
          <w:color w:val="000000" w:themeColor="text1"/>
          <w:sz w:val="24"/>
          <w:szCs w:val="24"/>
          <w:lang w:val="en-US" w:eastAsia="es-MX"/>
        </w:rPr>
        <w:t xml:space="preserve">in its constitutional </w:t>
      </w:r>
      <w:r w:rsidR="006F756A" w:rsidRPr="0007278D">
        <w:rPr>
          <w:rFonts w:ascii="Unna" w:eastAsia="Times New Roman" w:hAnsi="Unna" w:cs="Arial"/>
          <w:bCs/>
          <w:color w:val="000000" w:themeColor="text1"/>
          <w:sz w:val="24"/>
          <w:szCs w:val="24"/>
          <w:lang w:val="en-US" w:eastAsia="es-MX"/>
        </w:rPr>
        <w:t xml:space="preserve">role </w:t>
      </w:r>
      <w:r w:rsidR="00844F6A" w:rsidRPr="0007278D">
        <w:rPr>
          <w:rFonts w:ascii="Unna" w:eastAsia="Times New Roman" w:hAnsi="Unna" w:cs="Arial"/>
          <w:bCs/>
          <w:color w:val="000000" w:themeColor="text1"/>
          <w:sz w:val="24"/>
          <w:szCs w:val="24"/>
          <w:lang w:val="en-US" w:eastAsia="es-MX"/>
        </w:rPr>
        <w:t>of protecting individuals</w:t>
      </w:r>
      <w:r w:rsidR="006F756A" w:rsidRPr="0007278D">
        <w:rPr>
          <w:rFonts w:ascii="Unna" w:eastAsia="Times New Roman" w:hAnsi="Unna" w:cs="Arial"/>
          <w:bCs/>
          <w:color w:val="000000" w:themeColor="text1"/>
          <w:sz w:val="24"/>
          <w:szCs w:val="24"/>
          <w:lang w:val="en-US" w:eastAsia="es-MX"/>
        </w:rPr>
        <w:t>’</w:t>
      </w:r>
      <w:r w:rsidR="00844F6A" w:rsidRPr="0007278D">
        <w:rPr>
          <w:rFonts w:ascii="Unna" w:eastAsia="Times New Roman" w:hAnsi="Unna" w:cs="Arial"/>
          <w:bCs/>
          <w:color w:val="000000" w:themeColor="text1"/>
          <w:sz w:val="24"/>
          <w:szCs w:val="24"/>
          <w:lang w:val="en-US" w:eastAsia="es-MX"/>
        </w:rPr>
        <w:t xml:space="preserve"> human rights</w:t>
      </w:r>
      <w:r w:rsidR="00245A4C" w:rsidRPr="0007278D">
        <w:rPr>
          <w:rFonts w:ascii="Unna" w:eastAsia="Times New Roman" w:hAnsi="Unna" w:cs="Arial"/>
          <w:bCs/>
          <w:color w:val="000000" w:themeColor="text1"/>
          <w:sz w:val="24"/>
          <w:szCs w:val="24"/>
          <w:lang w:val="en-US" w:eastAsia="es-MX"/>
        </w:rPr>
        <w:t>. One of the causes of this problem lies in the Law of this body, whose procedure results in only 1% of complaints being resolved annually through recommendation</w:t>
      </w:r>
      <w:r w:rsidR="006F756A" w:rsidRPr="0007278D">
        <w:rPr>
          <w:rFonts w:ascii="Unna" w:eastAsia="Times New Roman" w:hAnsi="Unna" w:cs="Arial"/>
          <w:bCs/>
          <w:color w:val="000000" w:themeColor="text1"/>
          <w:sz w:val="24"/>
          <w:szCs w:val="24"/>
          <w:lang w:val="en-US" w:eastAsia="es-MX"/>
        </w:rPr>
        <w:t>s</w:t>
      </w:r>
      <w:r w:rsidR="00245A4C" w:rsidRPr="0007278D">
        <w:rPr>
          <w:rFonts w:ascii="Unna" w:eastAsia="Times New Roman" w:hAnsi="Unna" w:cs="Arial"/>
          <w:bCs/>
          <w:color w:val="000000" w:themeColor="text1"/>
          <w:sz w:val="24"/>
          <w:szCs w:val="24"/>
          <w:lang w:val="en-US" w:eastAsia="es-MX"/>
        </w:rPr>
        <w:t xml:space="preserve">, without </w:t>
      </w:r>
      <w:r w:rsidR="006F756A" w:rsidRPr="0007278D">
        <w:rPr>
          <w:rFonts w:ascii="Unna" w:eastAsia="Times New Roman" w:hAnsi="Unna" w:cs="Arial"/>
          <w:bCs/>
          <w:color w:val="000000" w:themeColor="text1"/>
          <w:sz w:val="24"/>
          <w:szCs w:val="24"/>
          <w:lang w:val="en-US" w:eastAsia="es-MX"/>
        </w:rPr>
        <w:t xml:space="preserve">guaranteeing the complainant </w:t>
      </w:r>
      <w:r w:rsidR="00245A4C" w:rsidRPr="0007278D">
        <w:rPr>
          <w:rFonts w:ascii="Unna" w:eastAsia="Times New Roman" w:hAnsi="Unna" w:cs="Arial"/>
          <w:bCs/>
          <w:color w:val="000000" w:themeColor="text1"/>
          <w:sz w:val="24"/>
          <w:szCs w:val="24"/>
          <w:lang w:val="en-US" w:eastAsia="es-MX"/>
        </w:rPr>
        <w:t xml:space="preserve">procedural rights to defend their interest </w:t>
      </w:r>
      <w:r w:rsidR="00F34C5D" w:rsidRPr="0007278D">
        <w:rPr>
          <w:rFonts w:ascii="Unna" w:eastAsia="Times New Roman" w:hAnsi="Unna" w:cs="Arial"/>
          <w:bCs/>
          <w:color w:val="000000" w:themeColor="text1"/>
          <w:sz w:val="24"/>
          <w:szCs w:val="24"/>
          <w:lang w:val="en-US" w:eastAsia="es-MX"/>
        </w:rPr>
        <w:t>to ascertain t</w:t>
      </w:r>
      <w:r w:rsidR="00245A4C" w:rsidRPr="0007278D">
        <w:rPr>
          <w:rFonts w:ascii="Unna" w:eastAsia="Times New Roman" w:hAnsi="Unna" w:cs="Arial"/>
          <w:bCs/>
          <w:color w:val="000000" w:themeColor="text1"/>
          <w:sz w:val="24"/>
          <w:szCs w:val="24"/>
          <w:lang w:val="en-US" w:eastAsia="es-MX"/>
        </w:rPr>
        <w:t>he truth.</w:t>
      </w:r>
      <w:r w:rsidR="00A66DAB" w:rsidRPr="0007278D">
        <w:rPr>
          <w:rFonts w:ascii="Unna" w:eastAsia="Times New Roman" w:hAnsi="Unna" w:cs="Arial"/>
          <w:bCs/>
          <w:color w:val="000000" w:themeColor="text1"/>
          <w:sz w:val="24"/>
          <w:szCs w:val="24"/>
          <w:lang w:val="en-US" w:eastAsia="es-MX"/>
        </w:rPr>
        <w:t xml:space="preserve"> </w:t>
      </w:r>
      <w:r w:rsidR="006F756A" w:rsidRPr="0007278D">
        <w:rPr>
          <w:rFonts w:ascii="Unna" w:eastAsia="Times New Roman" w:hAnsi="Unna" w:cs="Arial"/>
          <w:bCs/>
          <w:color w:val="000000" w:themeColor="text1"/>
          <w:sz w:val="24"/>
          <w:szCs w:val="24"/>
          <w:lang w:val="en-US" w:eastAsia="es-MX"/>
        </w:rPr>
        <w:t>Under</w:t>
      </w:r>
      <w:r w:rsidR="00F34C5D" w:rsidRPr="0007278D">
        <w:rPr>
          <w:rFonts w:ascii="Unna" w:eastAsia="Times New Roman" w:hAnsi="Unna" w:cs="Arial"/>
          <w:bCs/>
          <w:color w:val="000000" w:themeColor="text1"/>
          <w:sz w:val="24"/>
          <w:szCs w:val="24"/>
          <w:lang w:val="en-US" w:eastAsia="es-MX"/>
        </w:rPr>
        <w:t xml:space="preserve"> </w:t>
      </w:r>
      <w:r w:rsidR="008E2BF6" w:rsidRPr="0007278D">
        <w:rPr>
          <w:rFonts w:ascii="Unna" w:eastAsia="Times New Roman" w:hAnsi="Unna" w:cs="Arial"/>
          <w:bCs/>
          <w:color w:val="000000" w:themeColor="text1"/>
          <w:sz w:val="24"/>
          <w:szCs w:val="24"/>
          <w:lang w:val="en-US" w:eastAsia="es-MX"/>
        </w:rPr>
        <w:t>A</w:t>
      </w:r>
      <w:r w:rsidR="00F34C5D" w:rsidRPr="0007278D">
        <w:rPr>
          <w:rFonts w:ascii="Unna" w:eastAsia="Times New Roman" w:hAnsi="Unna" w:cs="Arial"/>
          <w:bCs/>
          <w:color w:val="000000" w:themeColor="text1"/>
          <w:sz w:val="24"/>
          <w:szCs w:val="24"/>
          <w:lang w:val="en-US" w:eastAsia="es-MX"/>
        </w:rPr>
        <w:t xml:space="preserve">rticle 1 of the </w:t>
      </w:r>
      <w:r w:rsidR="008E2BF6" w:rsidRPr="0007278D">
        <w:rPr>
          <w:rFonts w:ascii="Unna" w:eastAsia="Times New Roman" w:hAnsi="Unna" w:cs="Arial"/>
          <w:bCs/>
          <w:color w:val="000000" w:themeColor="text1"/>
          <w:sz w:val="24"/>
          <w:szCs w:val="24"/>
          <w:lang w:val="en-US" w:eastAsia="es-MX"/>
        </w:rPr>
        <w:t>C</w:t>
      </w:r>
      <w:r w:rsidR="00F34C5D" w:rsidRPr="0007278D">
        <w:rPr>
          <w:rFonts w:ascii="Unna" w:eastAsia="Times New Roman" w:hAnsi="Unna" w:cs="Arial"/>
          <w:bCs/>
          <w:color w:val="000000" w:themeColor="text1"/>
          <w:sz w:val="24"/>
          <w:szCs w:val="24"/>
          <w:lang w:val="en-US" w:eastAsia="es-MX"/>
        </w:rPr>
        <w:t xml:space="preserve">onstitution, it is argued that </w:t>
      </w:r>
      <w:r w:rsidR="006F756A" w:rsidRPr="0007278D">
        <w:rPr>
          <w:rFonts w:ascii="Unna" w:eastAsia="Times New Roman" w:hAnsi="Unna" w:cs="Arial"/>
          <w:bCs/>
          <w:color w:val="000000" w:themeColor="text1"/>
          <w:sz w:val="24"/>
          <w:szCs w:val="24"/>
          <w:lang w:val="en-US" w:eastAsia="es-MX"/>
        </w:rPr>
        <w:t xml:space="preserve">CNDH officials, </w:t>
      </w:r>
      <w:r w:rsidR="00F34C5D" w:rsidRPr="0007278D">
        <w:rPr>
          <w:rFonts w:ascii="Unna" w:eastAsia="Times New Roman" w:hAnsi="Unna" w:cs="Arial"/>
          <w:bCs/>
          <w:color w:val="000000" w:themeColor="text1"/>
          <w:sz w:val="24"/>
          <w:szCs w:val="24"/>
          <w:lang w:val="en-US" w:eastAsia="es-MX"/>
        </w:rPr>
        <w:t>when applying</w:t>
      </w:r>
      <w:r w:rsidR="006F756A" w:rsidRPr="0007278D">
        <w:rPr>
          <w:rFonts w:ascii="Unna" w:eastAsia="Times New Roman" w:hAnsi="Unna" w:cs="Arial"/>
          <w:bCs/>
          <w:color w:val="000000" w:themeColor="text1"/>
          <w:sz w:val="24"/>
          <w:szCs w:val="24"/>
          <w:lang w:val="en-US" w:eastAsia="es-MX"/>
        </w:rPr>
        <w:t xml:space="preserve"> the pro-homine</w:t>
      </w:r>
      <w:r w:rsidR="00F34C5D" w:rsidRPr="0007278D">
        <w:rPr>
          <w:rFonts w:ascii="Unna" w:eastAsia="Times New Roman" w:hAnsi="Unna" w:cs="Arial"/>
          <w:bCs/>
          <w:color w:val="000000" w:themeColor="text1"/>
          <w:sz w:val="24"/>
          <w:szCs w:val="24"/>
          <w:lang w:val="en-US" w:eastAsia="es-MX"/>
        </w:rPr>
        <w:t xml:space="preserve"> </w:t>
      </w:r>
      <w:r w:rsidR="006F756A" w:rsidRPr="0007278D">
        <w:rPr>
          <w:rFonts w:ascii="Unna" w:eastAsia="Times New Roman" w:hAnsi="Unna" w:cs="Arial"/>
          <w:bCs/>
          <w:color w:val="000000" w:themeColor="text1"/>
          <w:sz w:val="24"/>
          <w:szCs w:val="24"/>
          <w:lang w:val="en-US" w:eastAsia="es-MX"/>
        </w:rPr>
        <w:t xml:space="preserve">and interpretation principles </w:t>
      </w:r>
      <w:r w:rsidR="00F34C5D" w:rsidRPr="0007278D">
        <w:rPr>
          <w:rFonts w:ascii="Unna" w:eastAsia="Times New Roman" w:hAnsi="Unna" w:cs="Arial"/>
          <w:bCs/>
          <w:color w:val="000000" w:themeColor="text1"/>
          <w:sz w:val="24"/>
          <w:szCs w:val="24"/>
          <w:lang w:val="en-US" w:eastAsia="es-MX"/>
        </w:rPr>
        <w:t xml:space="preserve">during the complaint procedure, </w:t>
      </w:r>
      <w:r w:rsidR="00A41AC4" w:rsidRPr="0007278D">
        <w:rPr>
          <w:rFonts w:ascii="Unna" w:eastAsia="Times New Roman" w:hAnsi="Unna" w:cs="Arial"/>
          <w:bCs/>
          <w:color w:val="000000" w:themeColor="text1"/>
          <w:sz w:val="24"/>
          <w:szCs w:val="24"/>
          <w:lang w:val="en-US" w:eastAsia="es-MX"/>
        </w:rPr>
        <w:t xml:space="preserve">must </w:t>
      </w:r>
      <w:r w:rsidR="006F756A" w:rsidRPr="0007278D">
        <w:rPr>
          <w:rFonts w:ascii="Unna" w:eastAsia="Times New Roman" w:hAnsi="Unna" w:cs="Arial"/>
          <w:bCs/>
          <w:color w:val="000000" w:themeColor="text1"/>
          <w:sz w:val="24"/>
          <w:szCs w:val="24"/>
          <w:lang w:val="en-US" w:eastAsia="es-MX"/>
        </w:rPr>
        <w:t>respect the</w:t>
      </w:r>
      <w:r w:rsidR="00A41AC4" w:rsidRPr="0007278D">
        <w:rPr>
          <w:rFonts w:ascii="Unna" w:eastAsia="Times New Roman" w:hAnsi="Unna" w:cs="Arial"/>
          <w:bCs/>
          <w:color w:val="000000" w:themeColor="text1"/>
          <w:sz w:val="24"/>
          <w:szCs w:val="24"/>
          <w:lang w:val="en-US" w:eastAsia="es-MX"/>
        </w:rPr>
        <w:t xml:space="preserve"> due process jurisprudence issued by the Inter-American Court of Human Rights</w:t>
      </w:r>
      <w:r w:rsidR="008E2BF6" w:rsidRPr="0007278D">
        <w:rPr>
          <w:rFonts w:ascii="Unna" w:eastAsia="Times New Roman" w:hAnsi="Unna" w:cs="Arial"/>
          <w:bCs/>
          <w:color w:val="000000" w:themeColor="text1"/>
          <w:sz w:val="24"/>
          <w:szCs w:val="24"/>
          <w:lang w:val="en-US" w:eastAsia="es-MX"/>
        </w:rPr>
        <w:t xml:space="preserve"> for jurisdictional or quasi-jurisdictional bodies, which may affect </w:t>
      </w:r>
      <w:r w:rsidR="008A6F57" w:rsidRPr="0007278D">
        <w:rPr>
          <w:rFonts w:ascii="Unna" w:eastAsia="Times New Roman" w:hAnsi="Unna" w:cs="Arial"/>
          <w:bCs/>
          <w:color w:val="000000" w:themeColor="text1"/>
          <w:sz w:val="24"/>
          <w:szCs w:val="24"/>
          <w:lang w:val="en-US" w:eastAsia="es-MX"/>
        </w:rPr>
        <w:t xml:space="preserve">the human rights of individuals. </w:t>
      </w:r>
      <w:r w:rsidR="006F756A" w:rsidRPr="0007278D">
        <w:rPr>
          <w:rFonts w:ascii="Unna" w:eastAsia="Times New Roman" w:hAnsi="Unna" w:cs="Arial"/>
          <w:bCs/>
          <w:color w:val="000000" w:themeColor="text1"/>
          <w:sz w:val="24"/>
          <w:szCs w:val="24"/>
          <w:lang w:val="en-US" w:eastAsia="es-MX"/>
        </w:rPr>
        <w:t>Complainants are thereby</w:t>
      </w:r>
      <w:r w:rsidR="008A6F57" w:rsidRPr="0007278D">
        <w:rPr>
          <w:rFonts w:ascii="Unna" w:eastAsia="Times New Roman" w:hAnsi="Unna" w:cs="Arial"/>
          <w:bCs/>
          <w:color w:val="000000" w:themeColor="text1"/>
          <w:sz w:val="24"/>
          <w:szCs w:val="24"/>
          <w:lang w:val="en-US" w:eastAsia="es-MX"/>
        </w:rPr>
        <w:t xml:space="preserve"> guaranteed their right to a</w:t>
      </w:r>
      <w:r w:rsidR="00BE0DEE" w:rsidRPr="0007278D">
        <w:rPr>
          <w:rFonts w:ascii="Unna" w:eastAsia="Times New Roman" w:hAnsi="Unna" w:cs="Arial"/>
          <w:bCs/>
          <w:color w:val="000000" w:themeColor="text1"/>
          <w:sz w:val="24"/>
          <w:szCs w:val="24"/>
          <w:lang w:val="en-US" w:eastAsia="es-MX"/>
        </w:rPr>
        <w:t xml:space="preserve"> timely</w:t>
      </w:r>
      <w:r w:rsidR="008A6F57" w:rsidRPr="0007278D">
        <w:rPr>
          <w:rFonts w:ascii="Unna" w:eastAsia="Times New Roman" w:hAnsi="Unna" w:cs="Arial"/>
          <w:bCs/>
          <w:color w:val="000000" w:themeColor="text1"/>
          <w:sz w:val="24"/>
          <w:szCs w:val="24"/>
          <w:lang w:val="en-US" w:eastAsia="es-MX"/>
        </w:rPr>
        <w:t xml:space="preserve"> and adequate defense so that the complaint procedure concludes, if necessary, with a recommendation for the competent authority to remedy </w:t>
      </w:r>
      <w:r w:rsidR="006F756A" w:rsidRPr="0007278D">
        <w:rPr>
          <w:rFonts w:ascii="Unna" w:eastAsia="Times New Roman" w:hAnsi="Unna" w:cs="Arial"/>
          <w:bCs/>
          <w:color w:val="000000" w:themeColor="text1"/>
          <w:sz w:val="24"/>
          <w:szCs w:val="24"/>
          <w:lang w:val="en-US" w:eastAsia="es-MX"/>
        </w:rPr>
        <w:t xml:space="preserve">both the </w:t>
      </w:r>
      <w:r w:rsidR="008A6F57" w:rsidRPr="0007278D">
        <w:rPr>
          <w:rFonts w:ascii="Unna" w:eastAsia="Times New Roman" w:hAnsi="Unna" w:cs="Arial"/>
          <w:bCs/>
          <w:color w:val="000000" w:themeColor="text1"/>
          <w:sz w:val="24"/>
          <w:szCs w:val="24"/>
          <w:lang w:val="en-US" w:eastAsia="es-MX"/>
        </w:rPr>
        <w:t>material harm</w:t>
      </w:r>
      <w:r w:rsidR="006F756A" w:rsidRPr="0007278D">
        <w:rPr>
          <w:rFonts w:ascii="Unna" w:eastAsia="Times New Roman" w:hAnsi="Unna" w:cs="Arial"/>
          <w:bCs/>
          <w:color w:val="000000" w:themeColor="text1"/>
          <w:sz w:val="24"/>
          <w:szCs w:val="24"/>
          <w:lang w:val="en-US" w:eastAsia="es-MX"/>
        </w:rPr>
        <w:t xml:space="preserve"> suffered</w:t>
      </w:r>
      <w:r w:rsidR="008A6F57" w:rsidRPr="0007278D">
        <w:rPr>
          <w:rFonts w:ascii="Unna" w:eastAsia="Times New Roman" w:hAnsi="Unna" w:cs="Arial"/>
          <w:bCs/>
          <w:color w:val="000000" w:themeColor="text1"/>
          <w:sz w:val="24"/>
          <w:szCs w:val="24"/>
          <w:lang w:val="en-US" w:eastAsia="es-MX"/>
        </w:rPr>
        <w:t xml:space="preserve"> and </w:t>
      </w:r>
      <w:r w:rsidR="006F756A" w:rsidRPr="0007278D">
        <w:rPr>
          <w:rFonts w:ascii="Unna" w:eastAsia="Times New Roman" w:hAnsi="Unna" w:cs="Arial"/>
          <w:bCs/>
          <w:color w:val="000000" w:themeColor="text1"/>
          <w:sz w:val="24"/>
          <w:szCs w:val="24"/>
          <w:lang w:val="en-US" w:eastAsia="es-MX"/>
        </w:rPr>
        <w:t xml:space="preserve">the </w:t>
      </w:r>
      <w:r w:rsidR="008A6F57" w:rsidRPr="0007278D">
        <w:rPr>
          <w:rFonts w:ascii="Unna" w:eastAsia="Times New Roman" w:hAnsi="Unna" w:cs="Arial"/>
          <w:bCs/>
          <w:color w:val="000000" w:themeColor="text1"/>
          <w:sz w:val="24"/>
          <w:szCs w:val="24"/>
          <w:lang w:val="en-US" w:eastAsia="es-MX"/>
        </w:rPr>
        <w:t xml:space="preserve">harm to </w:t>
      </w:r>
      <w:r w:rsidR="006F756A" w:rsidRPr="0007278D">
        <w:rPr>
          <w:rFonts w:ascii="Unna" w:eastAsia="Times New Roman" w:hAnsi="Unna" w:cs="Arial"/>
          <w:bCs/>
          <w:color w:val="000000" w:themeColor="text1"/>
          <w:sz w:val="24"/>
          <w:szCs w:val="24"/>
          <w:lang w:val="en-US" w:eastAsia="es-MX"/>
        </w:rPr>
        <w:t>complainant’s dignity</w:t>
      </w:r>
      <w:r w:rsidR="00BE0DEE" w:rsidRPr="0007278D">
        <w:rPr>
          <w:rFonts w:ascii="Unna" w:eastAsia="Times New Roman" w:hAnsi="Unna" w:cs="Arial"/>
          <w:bCs/>
          <w:color w:val="000000" w:themeColor="text1"/>
          <w:sz w:val="24"/>
          <w:szCs w:val="24"/>
          <w:lang w:val="en-US" w:eastAsia="es-MX"/>
        </w:rPr>
        <w:t xml:space="preserve">. </w:t>
      </w:r>
      <w:r w:rsidR="006F756A" w:rsidRPr="0007278D">
        <w:rPr>
          <w:rFonts w:ascii="Unna" w:eastAsia="Times New Roman" w:hAnsi="Unna" w:cs="Arial"/>
          <w:bCs/>
          <w:color w:val="000000" w:themeColor="text1"/>
          <w:sz w:val="24"/>
          <w:szCs w:val="24"/>
          <w:lang w:val="en-US" w:eastAsia="es-MX"/>
        </w:rPr>
        <w:t xml:space="preserve">Additionally, </w:t>
      </w:r>
      <w:r w:rsidR="00BE0DEE" w:rsidRPr="0007278D">
        <w:rPr>
          <w:rFonts w:ascii="Unna" w:eastAsia="Times New Roman" w:hAnsi="Unna" w:cs="Arial"/>
          <w:bCs/>
          <w:color w:val="000000" w:themeColor="text1"/>
          <w:sz w:val="24"/>
          <w:szCs w:val="24"/>
          <w:lang w:val="en-US" w:eastAsia="es-MX"/>
        </w:rPr>
        <w:t>complainant</w:t>
      </w:r>
      <w:r w:rsidR="00603E09" w:rsidRPr="0007278D">
        <w:rPr>
          <w:rFonts w:ascii="Unna" w:eastAsia="Times New Roman" w:hAnsi="Unna" w:cs="Arial"/>
          <w:bCs/>
          <w:color w:val="000000" w:themeColor="text1"/>
          <w:sz w:val="24"/>
          <w:szCs w:val="24"/>
          <w:lang w:val="en-US" w:eastAsia="es-MX"/>
        </w:rPr>
        <w:t>s have the right to</w:t>
      </w:r>
      <w:r w:rsidR="00BE0DEE" w:rsidRPr="0007278D">
        <w:rPr>
          <w:rFonts w:ascii="Unna" w:eastAsia="Times New Roman" w:hAnsi="Unna" w:cs="Arial"/>
          <w:bCs/>
          <w:color w:val="000000" w:themeColor="text1"/>
          <w:sz w:val="24"/>
          <w:szCs w:val="24"/>
          <w:lang w:val="en-US" w:eastAsia="es-MX"/>
        </w:rPr>
        <w:t xml:space="preserve"> file the writ of indirect amparo to c</w:t>
      </w:r>
      <w:r w:rsidR="00BD0A15" w:rsidRPr="0007278D">
        <w:rPr>
          <w:rFonts w:ascii="Unna" w:eastAsia="Times New Roman" w:hAnsi="Unna" w:cs="Arial"/>
          <w:bCs/>
          <w:color w:val="000000" w:themeColor="text1"/>
          <w:sz w:val="24"/>
          <w:szCs w:val="24"/>
          <w:lang w:val="en-US" w:eastAsia="es-MX"/>
        </w:rPr>
        <w:t xml:space="preserve">hallenge </w:t>
      </w:r>
      <w:r w:rsidR="00BE0DEE" w:rsidRPr="0007278D">
        <w:rPr>
          <w:rFonts w:ascii="Unna" w:eastAsia="Times New Roman" w:hAnsi="Unna" w:cs="Arial"/>
          <w:bCs/>
          <w:color w:val="000000" w:themeColor="text1"/>
          <w:sz w:val="24"/>
          <w:szCs w:val="24"/>
          <w:lang w:val="en-US" w:eastAsia="es-MX"/>
        </w:rPr>
        <w:t>acts of authority by the CNDH</w:t>
      </w:r>
      <w:r w:rsidR="00BD0A15" w:rsidRPr="0007278D">
        <w:rPr>
          <w:rFonts w:ascii="Unna" w:eastAsia="Times New Roman" w:hAnsi="Unna" w:cs="Arial"/>
          <w:bCs/>
          <w:color w:val="000000" w:themeColor="text1"/>
          <w:sz w:val="24"/>
          <w:szCs w:val="24"/>
          <w:lang w:val="en-US" w:eastAsia="es-MX"/>
        </w:rPr>
        <w:t xml:space="preserve"> </w:t>
      </w:r>
      <w:r w:rsidR="00BE0DEE" w:rsidRPr="0007278D">
        <w:rPr>
          <w:rFonts w:ascii="Unna" w:eastAsia="Times New Roman" w:hAnsi="Unna" w:cs="Arial"/>
          <w:bCs/>
          <w:color w:val="000000" w:themeColor="text1"/>
          <w:sz w:val="24"/>
          <w:szCs w:val="24"/>
          <w:lang w:val="en-US" w:eastAsia="es-MX"/>
        </w:rPr>
        <w:t>that</w:t>
      </w:r>
      <w:r w:rsidR="00603E09" w:rsidRPr="0007278D">
        <w:rPr>
          <w:rFonts w:ascii="Unna" w:eastAsia="Times New Roman" w:hAnsi="Unna" w:cs="Arial"/>
          <w:bCs/>
          <w:color w:val="000000" w:themeColor="text1"/>
          <w:sz w:val="24"/>
          <w:szCs w:val="24"/>
          <w:lang w:val="en-US" w:eastAsia="es-MX"/>
        </w:rPr>
        <w:t xml:space="preserve"> </w:t>
      </w:r>
      <w:r w:rsidR="00BE0DEE" w:rsidRPr="0007278D">
        <w:rPr>
          <w:rFonts w:ascii="Unna" w:eastAsia="Times New Roman" w:hAnsi="Unna" w:cs="Arial"/>
          <w:bCs/>
          <w:color w:val="000000" w:themeColor="text1"/>
          <w:sz w:val="24"/>
          <w:szCs w:val="24"/>
          <w:lang w:val="en-US" w:eastAsia="es-MX"/>
        </w:rPr>
        <w:t>violate their human right to a timely and adequate defense</w:t>
      </w:r>
      <w:r w:rsidR="00603E09" w:rsidRPr="0007278D">
        <w:rPr>
          <w:rFonts w:ascii="Unna" w:eastAsia="Times New Roman" w:hAnsi="Unna" w:cs="Arial"/>
          <w:bCs/>
          <w:color w:val="000000" w:themeColor="text1"/>
          <w:sz w:val="24"/>
          <w:szCs w:val="24"/>
          <w:lang w:val="en-US" w:eastAsia="es-MX"/>
        </w:rPr>
        <w:t xml:space="preserve"> during the procedure</w:t>
      </w:r>
      <w:r w:rsidR="00BE0DEE" w:rsidRPr="0007278D">
        <w:rPr>
          <w:rFonts w:ascii="Unna" w:eastAsia="Times New Roman" w:hAnsi="Unna" w:cs="Arial"/>
          <w:bCs/>
          <w:color w:val="000000" w:themeColor="text1"/>
          <w:sz w:val="24"/>
          <w:szCs w:val="24"/>
          <w:lang w:val="en-US" w:eastAsia="es-MX"/>
        </w:rPr>
        <w:t xml:space="preserve">. </w:t>
      </w:r>
      <w:r w:rsidR="00BD0A15" w:rsidRPr="0007278D">
        <w:rPr>
          <w:rFonts w:ascii="Unna" w:eastAsia="Times New Roman" w:hAnsi="Unna" w:cs="Arial"/>
          <w:bCs/>
          <w:color w:val="000000" w:themeColor="text1"/>
          <w:sz w:val="24"/>
          <w:szCs w:val="24"/>
          <w:lang w:val="en-US" w:eastAsia="es-MX"/>
        </w:rPr>
        <w:t>This</w:t>
      </w:r>
      <w:r w:rsidR="00BE0DEE" w:rsidRPr="0007278D">
        <w:rPr>
          <w:rFonts w:ascii="Unna" w:eastAsia="Times New Roman" w:hAnsi="Unna" w:cs="Arial"/>
          <w:bCs/>
          <w:color w:val="000000" w:themeColor="text1"/>
          <w:sz w:val="24"/>
          <w:szCs w:val="24"/>
          <w:lang w:val="en-US" w:eastAsia="es-MX"/>
        </w:rPr>
        <w:t xml:space="preserve"> </w:t>
      </w:r>
      <w:r w:rsidR="00603E09" w:rsidRPr="0007278D">
        <w:rPr>
          <w:rFonts w:ascii="Unna" w:eastAsia="Times New Roman" w:hAnsi="Unna" w:cs="Arial"/>
          <w:bCs/>
          <w:color w:val="000000" w:themeColor="text1"/>
          <w:sz w:val="24"/>
          <w:szCs w:val="24"/>
          <w:lang w:val="en-US" w:eastAsia="es-MX"/>
        </w:rPr>
        <w:t>study is based on documentary research</w:t>
      </w:r>
      <w:r w:rsidR="00BE0DEE" w:rsidRPr="0007278D">
        <w:rPr>
          <w:rFonts w:ascii="Unna" w:eastAsia="Times New Roman" w:hAnsi="Unna" w:cs="Arial"/>
          <w:bCs/>
          <w:color w:val="000000" w:themeColor="text1"/>
          <w:sz w:val="24"/>
          <w:szCs w:val="24"/>
          <w:lang w:val="en-US" w:eastAsia="es-MX"/>
        </w:rPr>
        <w:t xml:space="preserve">, </w:t>
      </w:r>
      <w:r w:rsidR="00603E09" w:rsidRPr="0007278D">
        <w:rPr>
          <w:rFonts w:ascii="Unna" w:eastAsia="Times New Roman" w:hAnsi="Unna" w:cs="Arial"/>
          <w:bCs/>
          <w:color w:val="000000" w:themeColor="text1"/>
          <w:sz w:val="24"/>
          <w:szCs w:val="24"/>
          <w:lang w:val="en-US" w:eastAsia="es-MX"/>
        </w:rPr>
        <w:t xml:space="preserve">drawing on </w:t>
      </w:r>
      <w:r w:rsidR="00BE0DEE" w:rsidRPr="0007278D">
        <w:rPr>
          <w:rFonts w:ascii="Unna" w:eastAsia="Times New Roman" w:hAnsi="Unna" w:cs="Arial"/>
          <w:bCs/>
          <w:color w:val="000000" w:themeColor="text1"/>
          <w:sz w:val="24"/>
          <w:szCs w:val="24"/>
          <w:lang w:val="en-US" w:eastAsia="es-MX"/>
        </w:rPr>
        <w:t>constitutional theory and the methods of legal dogmatics.</w:t>
      </w:r>
    </w:p>
    <w:p w14:paraId="2214F920" w14:textId="65873366" w:rsidR="001F77A9" w:rsidRDefault="001F77A9" w:rsidP="00F41C39">
      <w:pPr>
        <w:tabs>
          <w:tab w:val="left" w:pos="1720"/>
        </w:tabs>
        <w:spacing w:after="120" w:line="240" w:lineRule="auto"/>
        <w:jc w:val="both"/>
        <w:rPr>
          <w:rFonts w:ascii="Unna" w:eastAsia="Times New Roman" w:hAnsi="Unna" w:cs="Arial"/>
          <w:bCs/>
          <w:color w:val="000000" w:themeColor="text1"/>
          <w:sz w:val="24"/>
          <w:szCs w:val="24"/>
          <w:lang w:val="en-US" w:eastAsia="es-MX"/>
        </w:rPr>
      </w:pPr>
      <w:bookmarkStart w:id="1" w:name="_Hlk174901004"/>
      <w:r w:rsidRPr="0007278D">
        <w:rPr>
          <w:rFonts w:ascii="Unna" w:eastAsia="Times New Roman" w:hAnsi="Unna" w:cs="Arial"/>
          <w:b/>
          <w:color w:val="000000" w:themeColor="text1"/>
          <w:sz w:val="24"/>
          <w:szCs w:val="24"/>
          <w:lang w:val="en-US" w:eastAsia="es-MX"/>
        </w:rPr>
        <w:t>Keywords:</w:t>
      </w:r>
      <w:r w:rsidR="00A66DAB" w:rsidRPr="0007278D">
        <w:rPr>
          <w:rFonts w:ascii="Unna" w:eastAsia="Times New Roman" w:hAnsi="Unna" w:cs="Arial"/>
          <w:bCs/>
          <w:color w:val="000000" w:themeColor="text1"/>
          <w:sz w:val="24"/>
          <w:szCs w:val="24"/>
          <w:lang w:val="en-US" w:eastAsia="es-MX"/>
        </w:rPr>
        <w:t xml:space="preserve"> </w:t>
      </w:r>
      <w:bookmarkEnd w:id="1"/>
      <w:r w:rsidR="00F41C39">
        <w:rPr>
          <w:rFonts w:ascii="Unna" w:eastAsia="Times New Roman" w:hAnsi="Unna" w:cs="Arial"/>
          <w:bCs/>
          <w:color w:val="000000" w:themeColor="text1"/>
          <w:sz w:val="24"/>
          <w:szCs w:val="24"/>
          <w:lang w:val="en-US" w:eastAsia="es-MX"/>
        </w:rPr>
        <w:t>c</w:t>
      </w:r>
      <w:r w:rsidR="00603E09" w:rsidRPr="0007278D">
        <w:rPr>
          <w:rFonts w:ascii="Unna" w:eastAsia="Times New Roman" w:hAnsi="Unna" w:cs="Arial"/>
          <w:bCs/>
          <w:color w:val="000000" w:themeColor="text1"/>
          <w:sz w:val="24"/>
          <w:szCs w:val="24"/>
          <w:lang w:val="en-US" w:eastAsia="es-MX"/>
        </w:rPr>
        <w:t xml:space="preserve">omplaint procedure, writ of amparo, procedural law </w:t>
      </w:r>
    </w:p>
    <w:p w14:paraId="6255AFD5" w14:textId="77777777" w:rsidR="00CF6AEF" w:rsidRPr="0007278D" w:rsidRDefault="00CF6AEF" w:rsidP="00F41C39">
      <w:pPr>
        <w:tabs>
          <w:tab w:val="left" w:pos="1720"/>
        </w:tabs>
        <w:spacing w:after="120" w:line="240" w:lineRule="auto"/>
        <w:jc w:val="both"/>
        <w:rPr>
          <w:rFonts w:ascii="Unna" w:eastAsia="Times New Roman" w:hAnsi="Unna" w:cs="Arial"/>
          <w:bCs/>
          <w:color w:val="000000" w:themeColor="text1"/>
          <w:sz w:val="24"/>
          <w:szCs w:val="24"/>
          <w:lang w:val="en-US" w:eastAsia="es-MX"/>
        </w:rPr>
      </w:pPr>
    </w:p>
    <w:p w14:paraId="0E811BE5" w14:textId="37724F63" w:rsidR="001F77A9" w:rsidRPr="00C5081D" w:rsidRDefault="00F41C39" w:rsidP="00324EFC">
      <w:pPr>
        <w:pStyle w:val="Nivel1BIOL"/>
        <w:rPr>
          <w:lang w:val="es-MX"/>
        </w:rPr>
      </w:pPr>
      <w:r w:rsidRPr="00C5081D">
        <w:rPr>
          <w:lang w:val="es-MX"/>
        </w:rPr>
        <w:t>I. INTRODUCCIÓN</w:t>
      </w:r>
    </w:p>
    <w:p w14:paraId="40BB5580" w14:textId="2E4881F4" w:rsidR="004D1EEA" w:rsidRPr="0007278D" w:rsidRDefault="002D18D5" w:rsidP="00324EFC">
      <w:pPr>
        <w:pStyle w:val="parrafonormalbiolex"/>
        <w:rPr>
          <w:lang w:eastAsia="es-MX"/>
        </w:rPr>
      </w:pPr>
      <w:r w:rsidRPr="0007278D">
        <w:t xml:space="preserve">El artículo 1 de la </w:t>
      </w:r>
      <w:r w:rsidRPr="0007278D">
        <w:rPr>
          <w:lang w:eastAsia="es-MX"/>
        </w:rPr>
        <w:t>Constitución Política de los Estados Unidos Mexicanos</w:t>
      </w:r>
      <w:r w:rsidRPr="0007278D">
        <w:rPr>
          <w:rStyle w:val="Refdenotaalpie"/>
          <w:rFonts w:eastAsia="Times New Roman"/>
          <w:bCs/>
          <w:color w:val="000000" w:themeColor="text1"/>
          <w:lang w:eastAsia="es-MX"/>
        </w:rPr>
        <w:footnoteReference w:id="3"/>
      </w:r>
      <w:r w:rsidRPr="0007278D">
        <w:rPr>
          <w:lang w:eastAsia="es-MX"/>
        </w:rPr>
        <w:t xml:space="preserve"> </w:t>
      </w:r>
      <w:r w:rsidR="00741450" w:rsidRPr="0007278D">
        <w:rPr>
          <w:lang w:eastAsia="es-MX"/>
        </w:rPr>
        <w:t xml:space="preserve">reconoce </w:t>
      </w:r>
      <w:r w:rsidRPr="0007278D">
        <w:rPr>
          <w:lang w:eastAsia="es-MX"/>
        </w:rPr>
        <w:t xml:space="preserve">los derechos humanos </w:t>
      </w:r>
      <w:r w:rsidR="00741450" w:rsidRPr="0007278D">
        <w:rPr>
          <w:lang w:eastAsia="es-MX"/>
        </w:rPr>
        <w:t>establecidos en la Constitución y en los tratados internacionales suscritos por México</w:t>
      </w:r>
      <w:r w:rsidR="005F78DB" w:rsidRPr="0007278D">
        <w:rPr>
          <w:lang w:eastAsia="es-MX"/>
        </w:rPr>
        <w:t xml:space="preserve"> en la materia</w:t>
      </w:r>
      <w:r w:rsidR="00741450" w:rsidRPr="0007278D">
        <w:rPr>
          <w:lang w:eastAsia="es-MX"/>
        </w:rPr>
        <w:t>,</w:t>
      </w:r>
      <w:r w:rsidRPr="0007278D">
        <w:rPr>
          <w:lang w:eastAsia="es-MX"/>
        </w:rPr>
        <w:t xml:space="preserve"> </w:t>
      </w:r>
      <w:r w:rsidR="00243D7E" w:rsidRPr="0007278D">
        <w:rPr>
          <w:lang w:eastAsia="es-MX"/>
        </w:rPr>
        <w:t>junto con</w:t>
      </w:r>
      <w:r w:rsidRPr="0007278D">
        <w:rPr>
          <w:lang w:eastAsia="es-MX"/>
        </w:rPr>
        <w:t xml:space="preserve"> sus garantías de protección. </w:t>
      </w:r>
      <w:r w:rsidR="002336BE" w:rsidRPr="0007278D">
        <w:rPr>
          <w:lang w:eastAsia="es-MX"/>
        </w:rPr>
        <w:t xml:space="preserve">La violación de </w:t>
      </w:r>
      <w:r w:rsidRPr="0007278D">
        <w:rPr>
          <w:lang w:eastAsia="es-MX"/>
        </w:rPr>
        <w:t>estos</w:t>
      </w:r>
      <w:r w:rsidR="006148CB" w:rsidRPr="0007278D">
        <w:rPr>
          <w:lang w:eastAsia="es-MX"/>
        </w:rPr>
        <w:t xml:space="preserve"> </w:t>
      </w:r>
      <w:r w:rsidR="002336BE" w:rsidRPr="0007278D">
        <w:rPr>
          <w:lang w:eastAsia="es-MX"/>
        </w:rPr>
        <w:t xml:space="preserve">derechos por las </w:t>
      </w:r>
      <w:r w:rsidR="002336BE" w:rsidRPr="0007278D">
        <w:t>autoridades o servidores públicos federales de carácter administrativo</w:t>
      </w:r>
      <w:r w:rsidR="00EA6D83" w:rsidRPr="0007278D">
        <w:t xml:space="preserve"> </w:t>
      </w:r>
      <w:r w:rsidR="002336BE" w:rsidRPr="0007278D">
        <w:rPr>
          <w:lang w:eastAsia="es-MX"/>
        </w:rPr>
        <w:t>puede ser repara</w:t>
      </w:r>
      <w:r w:rsidR="00B7480A" w:rsidRPr="0007278D">
        <w:rPr>
          <w:lang w:eastAsia="es-MX"/>
        </w:rPr>
        <w:t>da</w:t>
      </w:r>
      <w:r w:rsidR="00A03CBE" w:rsidRPr="0007278D">
        <w:rPr>
          <w:lang w:eastAsia="es-MX"/>
        </w:rPr>
        <w:t xml:space="preserve"> </w:t>
      </w:r>
      <w:r w:rsidR="00A963C5" w:rsidRPr="0007278D">
        <w:rPr>
          <w:lang w:eastAsia="es-MX"/>
        </w:rPr>
        <w:t>por e</w:t>
      </w:r>
      <w:r w:rsidR="00A03CBE" w:rsidRPr="0007278D">
        <w:rPr>
          <w:lang w:eastAsia="es-MX"/>
        </w:rPr>
        <w:t xml:space="preserve">l </w:t>
      </w:r>
      <w:r w:rsidR="00243D7E" w:rsidRPr="0007278D">
        <w:t>sistema no jurisdiccional de protección de los derechos humanos</w:t>
      </w:r>
      <w:r w:rsidR="003C52D5" w:rsidRPr="0007278D">
        <w:t xml:space="preserve">, </w:t>
      </w:r>
      <w:r w:rsidR="00EA6D83" w:rsidRPr="0007278D">
        <w:t xml:space="preserve">en particular mediante una recomendación emitida por </w:t>
      </w:r>
      <w:r w:rsidR="00C3434A" w:rsidRPr="0007278D">
        <w:t xml:space="preserve">la </w:t>
      </w:r>
      <w:r w:rsidR="00C3434A" w:rsidRPr="0007278D">
        <w:rPr>
          <w:lang w:eastAsia="es-MX"/>
        </w:rPr>
        <w:t>Comisión Nacional de los Derechos Humanos</w:t>
      </w:r>
      <w:r w:rsidR="00C3434A" w:rsidRPr="0007278D">
        <w:rPr>
          <w:rStyle w:val="Refdenotaalpie"/>
          <w:rFonts w:eastAsia="Times New Roman"/>
          <w:bCs/>
          <w:color w:val="000000" w:themeColor="text1"/>
          <w:lang w:eastAsia="es-MX"/>
        </w:rPr>
        <w:footnoteReference w:id="4"/>
      </w:r>
      <w:r w:rsidR="00C3434A" w:rsidRPr="0007278D">
        <w:rPr>
          <w:lang w:eastAsia="es-MX"/>
        </w:rPr>
        <w:t xml:space="preserve"> (CNDH)</w:t>
      </w:r>
      <w:r w:rsidR="003C52D5" w:rsidRPr="0007278D">
        <w:rPr>
          <w:lang w:eastAsia="es-MX"/>
        </w:rPr>
        <w:t>.</w:t>
      </w:r>
      <w:r w:rsidR="00A6168A" w:rsidRPr="0007278D">
        <w:rPr>
          <w:lang w:eastAsia="es-MX"/>
        </w:rPr>
        <w:t xml:space="preserve"> S</w:t>
      </w:r>
      <w:r w:rsidR="003C52D5" w:rsidRPr="0007278D">
        <w:rPr>
          <w:lang w:eastAsia="es-MX"/>
        </w:rPr>
        <w:t>in embargo,</w:t>
      </w:r>
      <w:r w:rsidR="003D5AC9" w:rsidRPr="0007278D">
        <w:rPr>
          <w:lang w:eastAsia="es-MX"/>
        </w:rPr>
        <w:t xml:space="preserve"> </w:t>
      </w:r>
      <w:r w:rsidR="003C52D5" w:rsidRPr="0007278D">
        <w:rPr>
          <w:lang w:eastAsia="es-MX"/>
        </w:rPr>
        <w:t>d</w:t>
      </w:r>
      <w:r w:rsidR="001F77A9" w:rsidRPr="0007278D">
        <w:rPr>
          <w:lang w:eastAsia="es-MX"/>
        </w:rPr>
        <w:t xml:space="preserve">esde la creación de </w:t>
      </w:r>
      <w:r w:rsidR="002336BE" w:rsidRPr="0007278D">
        <w:rPr>
          <w:lang w:eastAsia="es-MX"/>
        </w:rPr>
        <w:t xml:space="preserve">este organismo </w:t>
      </w:r>
      <w:r w:rsidR="001F77A9" w:rsidRPr="0007278D">
        <w:rPr>
          <w:lang w:eastAsia="es-MX"/>
        </w:rPr>
        <w:t xml:space="preserve">en 1990 hasta </w:t>
      </w:r>
      <w:r w:rsidR="00873DF6" w:rsidRPr="0007278D">
        <w:rPr>
          <w:lang w:eastAsia="es-MX"/>
        </w:rPr>
        <w:t>2024</w:t>
      </w:r>
      <w:r w:rsidR="001F77A9" w:rsidRPr="0007278D">
        <w:rPr>
          <w:lang w:eastAsia="es-MX"/>
        </w:rPr>
        <w:t xml:space="preserve">, el promedio de recomendaciones que </w:t>
      </w:r>
      <w:r w:rsidR="006148CB" w:rsidRPr="0007278D">
        <w:rPr>
          <w:lang w:eastAsia="es-MX"/>
        </w:rPr>
        <w:t xml:space="preserve">formula </w:t>
      </w:r>
      <w:r w:rsidR="001F77A9" w:rsidRPr="0007278D">
        <w:rPr>
          <w:lang w:eastAsia="es-MX"/>
        </w:rPr>
        <w:t xml:space="preserve">anualmente </w:t>
      </w:r>
      <w:r w:rsidR="00DD3041" w:rsidRPr="0007278D">
        <w:rPr>
          <w:lang w:eastAsia="es-MX"/>
        </w:rPr>
        <w:t>es de 1</w:t>
      </w:r>
      <w:r w:rsidR="00243D7E" w:rsidRPr="0007278D">
        <w:rPr>
          <w:lang w:eastAsia="es-MX"/>
        </w:rPr>
        <w:t xml:space="preserve"> </w:t>
      </w:r>
      <w:r w:rsidR="00DD3041" w:rsidRPr="0007278D">
        <w:rPr>
          <w:lang w:eastAsia="es-MX"/>
        </w:rPr>
        <w:t xml:space="preserve">% </w:t>
      </w:r>
      <w:r w:rsidR="00F5416C" w:rsidRPr="0007278D">
        <w:rPr>
          <w:lang w:eastAsia="es-MX"/>
        </w:rPr>
        <w:t>que</w:t>
      </w:r>
      <w:r w:rsidR="005F6A8A" w:rsidRPr="0007278D">
        <w:rPr>
          <w:lang w:eastAsia="es-MX"/>
        </w:rPr>
        <w:t>,</w:t>
      </w:r>
      <w:r w:rsidR="00F5416C" w:rsidRPr="0007278D">
        <w:rPr>
          <w:lang w:eastAsia="es-MX"/>
        </w:rPr>
        <w:t xml:space="preserve"> </w:t>
      </w:r>
      <w:r w:rsidR="00994232" w:rsidRPr="0007278D">
        <w:rPr>
          <w:lang w:eastAsia="es-MX"/>
        </w:rPr>
        <w:t xml:space="preserve">en relación con </w:t>
      </w:r>
      <w:r w:rsidRPr="0007278D">
        <w:rPr>
          <w:lang w:eastAsia="es-MX"/>
        </w:rPr>
        <w:t>el número de quejas que recibe</w:t>
      </w:r>
      <w:r w:rsidR="005F6A8A" w:rsidRPr="0007278D">
        <w:rPr>
          <w:lang w:eastAsia="es-MX"/>
        </w:rPr>
        <w:t>,</w:t>
      </w:r>
      <w:r w:rsidR="00CB7057" w:rsidRPr="0007278D">
        <w:rPr>
          <w:lang w:eastAsia="es-MX"/>
        </w:rPr>
        <w:t xml:space="preserve"> es un porcentaje </w:t>
      </w:r>
      <w:r w:rsidR="004C7051" w:rsidRPr="0007278D">
        <w:rPr>
          <w:lang w:eastAsia="es-MX"/>
        </w:rPr>
        <w:t xml:space="preserve">que revela </w:t>
      </w:r>
      <w:r w:rsidR="004D1EEA" w:rsidRPr="0007278D">
        <w:rPr>
          <w:lang w:eastAsia="es-MX"/>
        </w:rPr>
        <w:t xml:space="preserve">un problema de </w:t>
      </w:r>
      <w:r w:rsidR="004C7051" w:rsidRPr="0007278D">
        <w:rPr>
          <w:lang w:eastAsia="es-MX"/>
        </w:rPr>
        <w:t>ineficacia en el cumplimiento de su función constitucional</w:t>
      </w:r>
      <w:r w:rsidR="00CB7057" w:rsidRPr="0007278D">
        <w:rPr>
          <w:lang w:eastAsia="es-MX"/>
        </w:rPr>
        <w:t xml:space="preserve">. </w:t>
      </w:r>
    </w:p>
    <w:p w14:paraId="5B2AF92E" w14:textId="3AE09BE1" w:rsidR="00206088" w:rsidRPr="0007278D" w:rsidRDefault="001F77A9" w:rsidP="00324EFC">
      <w:pPr>
        <w:pStyle w:val="parrafonormalbiolex"/>
        <w:rPr>
          <w:lang w:eastAsia="es-MX"/>
        </w:rPr>
      </w:pPr>
      <w:r w:rsidRPr="0007278D">
        <w:rPr>
          <w:lang w:eastAsia="es-MX"/>
        </w:rPr>
        <w:lastRenderedPageBreak/>
        <w:t>El objetivo de este artículo es an</w:t>
      </w:r>
      <w:r w:rsidR="00451DCA" w:rsidRPr="0007278D">
        <w:rPr>
          <w:lang w:eastAsia="es-MX"/>
        </w:rPr>
        <w:t>a</w:t>
      </w:r>
      <w:r w:rsidRPr="0007278D">
        <w:rPr>
          <w:lang w:eastAsia="es-MX"/>
        </w:rPr>
        <w:t>lizar la</w:t>
      </w:r>
      <w:r w:rsidR="00570665" w:rsidRPr="0007278D">
        <w:rPr>
          <w:lang w:eastAsia="es-MX"/>
        </w:rPr>
        <w:t>s causas de</w:t>
      </w:r>
      <w:r w:rsidR="004D1EEA" w:rsidRPr="0007278D">
        <w:rPr>
          <w:lang w:eastAsia="es-MX"/>
        </w:rPr>
        <w:t xml:space="preserve"> este problema</w:t>
      </w:r>
      <w:r w:rsidR="00192706" w:rsidRPr="0007278D">
        <w:rPr>
          <w:lang w:eastAsia="es-MX"/>
        </w:rPr>
        <w:t xml:space="preserve"> y sostener</w:t>
      </w:r>
      <w:r w:rsidR="00ED0396" w:rsidRPr="0007278D">
        <w:rPr>
          <w:lang w:eastAsia="es-MX"/>
        </w:rPr>
        <w:t xml:space="preserve"> </w:t>
      </w:r>
      <w:r w:rsidRPr="0007278D">
        <w:rPr>
          <w:lang w:eastAsia="es-MX"/>
        </w:rPr>
        <w:t xml:space="preserve">que </w:t>
      </w:r>
      <w:r w:rsidR="00DC0536" w:rsidRPr="0007278D">
        <w:rPr>
          <w:lang w:eastAsia="es-MX"/>
        </w:rPr>
        <w:t xml:space="preserve">una de las principales causas se encuentra en </w:t>
      </w:r>
      <w:r w:rsidR="00D83872" w:rsidRPr="0007278D">
        <w:rPr>
          <w:lang w:eastAsia="es-MX"/>
        </w:rPr>
        <w:t xml:space="preserve">la </w:t>
      </w:r>
      <w:r w:rsidR="0084616A" w:rsidRPr="0007278D">
        <w:t xml:space="preserve">Ley de la Comisión Nacional de </w:t>
      </w:r>
      <w:r w:rsidR="00FE6243" w:rsidRPr="0007278D">
        <w:t xml:space="preserve">los </w:t>
      </w:r>
      <w:r w:rsidR="0084616A" w:rsidRPr="0007278D">
        <w:t>Derechos Humanos</w:t>
      </w:r>
      <w:r w:rsidR="0084616A" w:rsidRPr="0007278D">
        <w:rPr>
          <w:rStyle w:val="Refdenotaalpie"/>
          <w:bCs/>
          <w:color w:val="000000" w:themeColor="text1"/>
        </w:rPr>
        <w:footnoteReference w:id="5"/>
      </w:r>
      <w:r w:rsidR="0084616A" w:rsidRPr="0007278D">
        <w:t xml:space="preserve"> (CNDH)</w:t>
      </w:r>
      <w:r w:rsidR="00EA6D83" w:rsidRPr="0007278D">
        <w:t xml:space="preserve">. </w:t>
      </w:r>
      <w:r w:rsidR="00DC0536" w:rsidRPr="0007278D">
        <w:t xml:space="preserve"> </w:t>
      </w:r>
      <w:r w:rsidR="00EA6D83" w:rsidRPr="0007278D">
        <w:t xml:space="preserve">El </w:t>
      </w:r>
      <w:r w:rsidRPr="0007278D">
        <w:rPr>
          <w:lang w:eastAsia="es-MX"/>
        </w:rPr>
        <w:t>procedimiento cuasi jurisdiccional que</w:t>
      </w:r>
      <w:r w:rsidR="00EA6D83" w:rsidRPr="0007278D">
        <w:rPr>
          <w:lang w:eastAsia="es-MX"/>
        </w:rPr>
        <w:t xml:space="preserve"> contiene,</w:t>
      </w:r>
      <w:r w:rsidRPr="0007278D">
        <w:rPr>
          <w:lang w:eastAsia="es-MX"/>
        </w:rPr>
        <w:t xml:space="preserve"> otorga </w:t>
      </w:r>
      <w:r w:rsidR="002F210E" w:rsidRPr="0007278D">
        <w:rPr>
          <w:lang w:eastAsia="es-MX"/>
        </w:rPr>
        <w:t xml:space="preserve">a sus servidores públicos </w:t>
      </w:r>
      <w:r w:rsidRPr="0007278D">
        <w:rPr>
          <w:lang w:eastAsia="es-MX"/>
        </w:rPr>
        <w:t xml:space="preserve">facultades discrecionales para </w:t>
      </w:r>
      <w:r w:rsidR="00EB37D9" w:rsidRPr="0007278D">
        <w:rPr>
          <w:lang w:eastAsia="es-MX"/>
        </w:rPr>
        <w:t xml:space="preserve">resolver los expedientes de queja a su arbitrio, </w:t>
      </w:r>
      <w:r w:rsidR="0002620E" w:rsidRPr="0007278D">
        <w:rPr>
          <w:lang w:eastAsia="es-MX"/>
        </w:rPr>
        <w:t xml:space="preserve">principalmente por conciliación u otras causas, </w:t>
      </w:r>
      <w:r w:rsidR="00EB37D9" w:rsidRPr="0007278D">
        <w:rPr>
          <w:lang w:eastAsia="es-MX"/>
        </w:rPr>
        <w:t xml:space="preserve">sin </w:t>
      </w:r>
      <w:r w:rsidR="00AF56B9" w:rsidRPr="0007278D">
        <w:rPr>
          <w:lang w:eastAsia="es-MX"/>
        </w:rPr>
        <w:t>prever</w:t>
      </w:r>
      <w:r w:rsidR="00EB37D9" w:rsidRPr="0007278D">
        <w:rPr>
          <w:lang w:eastAsia="es-MX"/>
        </w:rPr>
        <w:t xml:space="preserve"> un mínimo de </w:t>
      </w:r>
      <w:r w:rsidR="00AF56B9" w:rsidRPr="0007278D">
        <w:rPr>
          <w:lang w:eastAsia="es-MX"/>
        </w:rPr>
        <w:t xml:space="preserve">derechos procesales </w:t>
      </w:r>
      <w:r w:rsidR="00206088" w:rsidRPr="0007278D">
        <w:rPr>
          <w:lang w:eastAsia="es-MX"/>
        </w:rPr>
        <w:t>que garanticen al quejoso la solución d</w:t>
      </w:r>
      <w:r w:rsidR="00206088" w:rsidRPr="0007278D">
        <w:t xml:space="preserve">el fondo de la queja ya sea con un documento de no responsabilidad, o con una recomendación que </w:t>
      </w:r>
      <w:r w:rsidR="00D55C83" w:rsidRPr="0007278D">
        <w:t xml:space="preserve">le </w:t>
      </w:r>
      <w:r w:rsidR="00206088" w:rsidRPr="0007278D">
        <w:t xml:space="preserve">repare el daño </w:t>
      </w:r>
      <w:r w:rsidR="00D55C83" w:rsidRPr="0007278D">
        <w:t>causado</w:t>
      </w:r>
      <w:r w:rsidR="00206088" w:rsidRPr="0007278D">
        <w:rPr>
          <w:lang w:eastAsia="es-MX"/>
        </w:rPr>
        <w:t>.</w:t>
      </w:r>
    </w:p>
    <w:p w14:paraId="3E76659D" w14:textId="5E7F5BEF" w:rsidR="00D55F85" w:rsidRPr="0007278D" w:rsidRDefault="00E510B4" w:rsidP="00324EFC">
      <w:pPr>
        <w:pStyle w:val="parrafonormalbiolex"/>
      </w:pPr>
      <w:r w:rsidRPr="0007278D">
        <w:rPr>
          <w:lang w:eastAsia="es-MX"/>
        </w:rPr>
        <w:t xml:space="preserve"> </w:t>
      </w:r>
      <w:r w:rsidR="0002287D" w:rsidRPr="0007278D">
        <w:t>Al respecto, la Corte Interamericana de Derechos Humanos</w:t>
      </w:r>
      <w:r w:rsidR="0002287D" w:rsidRPr="0007278D">
        <w:rPr>
          <w:rStyle w:val="Refdenotaalpie"/>
          <w:bCs/>
          <w:color w:val="000000" w:themeColor="text1"/>
        </w:rPr>
        <w:footnoteReference w:id="6"/>
      </w:r>
      <w:r w:rsidR="0002287D" w:rsidRPr="0007278D">
        <w:t xml:space="preserve"> (IDH) ha interpretado</w:t>
      </w:r>
      <w:r w:rsidR="00192706" w:rsidRPr="0007278D">
        <w:t>,</w:t>
      </w:r>
      <w:r w:rsidR="0002287D" w:rsidRPr="0007278D">
        <w:t xml:space="preserve"> </w:t>
      </w:r>
      <w:r w:rsidR="0043099A" w:rsidRPr="0007278D">
        <w:t>en su jurisprudencia</w:t>
      </w:r>
      <w:r w:rsidR="00192706" w:rsidRPr="0007278D">
        <w:t>,</w:t>
      </w:r>
      <w:r w:rsidR="0043099A" w:rsidRPr="0007278D">
        <w:t xml:space="preserve"> </w:t>
      </w:r>
      <w:r w:rsidR="0002287D" w:rsidRPr="0007278D">
        <w:t xml:space="preserve">que todos los órganos de los Estados </w:t>
      </w:r>
      <w:r w:rsidR="00E80BCE" w:rsidRPr="0007278D">
        <w:t>P</w:t>
      </w:r>
      <w:r w:rsidR="0002287D" w:rsidRPr="0007278D">
        <w:t xml:space="preserve">arte </w:t>
      </w:r>
      <w:r w:rsidR="00192706" w:rsidRPr="0007278D">
        <w:t>—</w:t>
      </w:r>
      <w:r w:rsidR="0002287D" w:rsidRPr="0007278D">
        <w:t>sean jurisdiccionales o no jurisdiccionales</w:t>
      </w:r>
      <w:r w:rsidR="00192706" w:rsidRPr="0007278D">
        <w:t>—</w:t>
      </w:r>
      <w:r w:rsidR="0002287D" w:rsidRPr="0007278D">
        <w:t xml:space="preserve"> </w:t>
      </w:r>
      <w:r w:rsidR="00D55C83" w:rsidRPr="0007278D">
        <w:t>que pued</w:t>
      </w:r>
      <w:r w:rsidR="00B12EBD" w:rsidRPr="0007278D">
        <w:t>a</w:t>
      </w:r>
      <w:r w:rsidR="00D55C83" w:rsidRPr="0007278D">
        <w:t xml:space="preserve">n afectar los derechos humanos de las personas, </w:t>
      </w:r>
      <w:r w:rsidR="0002287D" w:rsidRPr="0007278D">
        <w:t xml:space="preserve">tienen la obligación de respetar las formalidades esenciales del debido proceso. </w:t>
      </w:r>
      <w:r w:rsidR="00A42D3F" w:rsidRPr="0007278D">
        <w:rPr>
          <w:lang w:eastAsia="es-MX"/>
        </w:rPr>
        <w:t xml:space="preserve">Para que la CNDH tenga mayor eficacia en su función </w:t>
      </w:r>
      <w:r w:rsidR="00BE7EA8" w:rsidRPr="0007278D">
        <w:rPr>
          <w:lang w:eastAsia="es-MX"/>
        </w:rPr>
        <w:t>constitucional</w:t>
      </w:r>
      <w:r w:rsidR="00127191" w:rsidRPr="0007278D">
        <w:rPr>
          <w:lang w:eastAsia="es-MX"/>
        </w:rPr>
        <w:t xml:space="preserve"> </w:t>
      </w:r>
      <w:r w:rsidR="00A42D3F" w:rsidRPr="0007278D">
        <w:rPr>
          <w:lang w:eastAsia="es-MX"/>
        </w:rPr>
        <w:t>se propone</w:t>
      </w:r>
      <w:r w:rsidR="00E26996" w:rsidRPr="0007278D">
        <w:rPr>
          <w:lang w:eastAsia="es-MX"/>
        </w:rPr>
        <w:t>,</w:t>
      </w:r>
      <w:r w:rsidR="00A42D3F" w:rsidRPr="0007278D">
        <w:rPr>
          <w:lang w:eastAsia="es-MX"/>
        </w:rPr>
        <w:t xml:space="preserve"> con </w:t>
      </w:r>
      <w:r w:rsidR="00E26996" w:rsidRPr="0007278D">
        <w:rPr>
          <w:lang w:eastAsia="es-MX"/>
        </w:rPr>
        <w:t xml:space="preserve">fundamento </w:t>
      </w:r>
      <w:r w:rsidR="006148CB" w:rsidRPr="0007278D">
        <w:rPr>
          <w:lang w:eastAsia="es-MX"/>
        </w:rPr>
        <w:t>a</w:t>
      </w:r>
      <w:r w:rsidR="00A42D3F" w:rsidRPr="0007278D">
        <w:rPr>
          <w:lang w:eastAsia="es-MX"/>
        </w:rPr>
        <w:t xml:space="preserve">l </w:t>
      </w:r>
      <w:r w:rsidR="00A42D3F" w:rsidRPr="0007278D">
        <w:t xml:space="preserve">artículo 1 de la </w:t>
      </w:r>
      <w:r w:rsidR="00BE7EA8" w:rsidRPr="0007278D">
        <w:t>Ley Fundamental</w:t>
      </w:r>
      <w:r w:rsidR="00750456" w:rsidRPr="0007278D">
        <w:t>,</w:t>
      </w:r>
      <w:r w:rsidR="00A42D3F" w:rsidRPr="0007278D">
        <w:t xml:space="preserve"> </w:t>
      </w:r>
      <w:r w:rsidR="00A655F6" w:rsidRPr="0007278D">
        <w:t xml:space="preserve">que </w:t>
      </w:r>
      <w:r w:rsidR="00192706" w:rsidRPr="0007278D">
        <w:t>e</w:t>
      </w:r>
      <w:r w:rsidR="00A655F6" w:rsidRPr="0007278D">
        <w:t xml:space="preserve">n el procedimiento cuasi jurisdiccional </w:t>
      </w:r>
      <w:r w:rsidR="003C52D5" w:rsidRPr="0007278D">
        <w:t xml:space="preserve">los servidores públicos </w:t>
      </w:r>
      <w:r w:rsidR="00192706" w:rsidRPr="0007278D">
        <w:t>apliquen</w:t>
      </w:r>
      <w:r w:rsidR="00A655F6" w:rsidRPr="0007278D">
        <w:t xml:space="preserve"> el principio </w:t>
      </w:r>
      <w:r w:rsidR="00A655F6" w:rsidRPr="0007278D">
        <w:rPr>
          <w:i/>
          <w:iCs/>
        </w:rPr>
        <w:t>pro persona</w:t>
      </w:r>
      <w:r w:rsidR="00A655F6" w:rsidRPr="0007278D">
        <w:t xml:space="preserve"> y el principio de interpretación</w:t>
      </w:r>
      <w:r w:rsidR="00E26996" w:rsidRPr="0007278D">
        <w:t>,</w:t>
      </w:r>
      <w:r w:rsidR="00A655F6" w:rsidRPr="0007278D">
        <w:t xml:space="preserve"> conforme </w:t>
      </w:r>
      <w:r w:rsidR="003C52D5" w:rsidRPr="0007278D">
        <w:t>cumpla</w:t>
      </w:r>
      <w:r w:rsidR="00D55C83" w:rsidRPr="0007278D">
        <w:t>n</w:t>
      </w:r>
      <w:r w:rsidR="003C52D5" w:rsidRPr="0007278D">
        <w:t xml:space="preserve"> con la jurisprudencia de</w:t>
      </w:r>
      <w:r w:rsidR="005066D8" w:rsidRPr="0007278D">
        <w:t xml:space="preserve"> la Corte IDH sobre el debido proceso</w:t>
      </w:r>
      <w:r w:rsidR="00D55C83" w:rsidRPr="0007278D">
        <w:t xml:space="preserve"> </w:t>
      </w:r>
      <w:r w:rsidR="005066D8" w:rsidRPr="0007278D">
        <w:t xml:space="preserve">y, en su caso, </w:t>
      </w:r>
      <w:r w:rsidR="003636E7" w:rsidRPr="0007278D">
        <w:t xml:space="preserve">se </w:t>
      </w:r>
      <w:r w:rsidR="00D55C83" w:rsidRPr="0007278D">
        <w:t xml:space="preserve">incorpore a la </w:t>
      </w:r>
      <w:r w:rsidR="005066D8" w:rsidRPr="0007278D">
        <w:t xml:space="preserve">legislación </w:t>
      </w:r>
      <w:r w:rsidR="00D55C83" w:rsidRPr="0007278D">
        <w:t>de</w:t>
      </w:r>
      <w:r w:rsidR="005066D8" w:rsidRPr="0007278D">
        <w:t xml:space="preserve"> la CNDH.</w:t>
      </w:r>
      <w:r w:rsidR="00632DFE" w:rsidRPr="0007278D">
        <w:t xml:space="preserve"> </w:t>
      </w:r>
      <w:r w:rsidR="006D320D" w:rsidRPr="0007278D">
        <w:rPr>
          <w:lang w:eastAsia="es-MX"/>
        </w:rPr>
        <w:t>En</w:t>
      </w:r>
      <w:r w:rsidR="00F27C18" w:rsidRPr="0007278D">
        <w:rPr>
          <w:lang w:eastAsia="es-MX"/>
        </w:rPr>
        <w:t xml:space="preserve"> consecuencia</w:t>
      </w:r>
      <w:r w:rsidR="006D320D" w:rsidRPr="0007278D">
        <w:rPr>
          <w:lang w:eastAsia="es-MX"/>
        </w:rPr>
        <w:t xml:space="preserve">, </w:t>
      </w:r>
      <w:r w:rsidR="00DB51BE" w:rsidRPr="0007278D">
        <w:rPr>
          <w:lang w:eastAsia="es-MX"/>
        </w:rPr>
        <w:t xml:space="preserve">el quejoso </w:t>
      </w:r>
      <w:r w:rsidR="00D55F85" w:rsidRPr="0007278D">
        <w:rPr>
          <w:lang w:eastAsia="es-MX"/>
        </w:rPr>
        <w:t>gozaría no s</w:t>
      </w:r>
      <w:r w:rsidR="00E26996" w:rsidRPr="0007278D">
        <w:rPr>
          <w:lang w:eastAsia="es-MX"/>
        </w:rPr>
        <w:t>o</w:t>
      </w:r>
      <w:r w:rsidR="00D55F85" w:rsidRPr="0007278D">
        <w:rPr>
          <w:lang w:eastAsia="es-MX"/>
        </w:rPr>
        <w:t xml:space="preserve">lo de </w:t>
      </w:r>
      <w:r w:rsidR="00BD7E46" w:rsidRPr="0007278D">
        <w:rPr>
          <w:lang w:eastAsia="es-MX"/>
        </w:rPr>
        <w:t xml:space="preserve">estas </w:t>
      </w:r>
      <w:r w:rsidR="00D55F85" w:rsidRPr="0007278D">
        <w:rPr>
          <w:lang w:eastAsia="es-MX"/>
        </w:rPr>
        <w:t xml:space="preserve">garantías procesales, sino </w:t>
      </w:r>
      <w:r w:rsidR="00E26996" w:rsidRPr="0007278D">
        <w:rPr>
          <w:lang w:eastAsia="es-MX"/>
        </w:rPr>
        <w:t xml:space="preserve">que </w:t>
      </w:r>
      <w:r w:rsidR="00D55F85" w:rsidRPr="0007278D">
        <w:rPr>
          <w:lang w:eastAsia="es-MX"/>
        </w:rPr>
        <w:t xml:space="preserve">también </w:t>
      </w:r>
      <w:r w:rsidR="00E26996" w:rsidRPr="0007278D">
        <w:rPr>
          <w:lang w:eastAsia="es-MX"/>
        </w:rPr>
        <w:t>tendría derecho a promover</w:t>
      </w:r>
      <w:r w:rsidR="00DB51BE" w:rsidRPr="0007278D">
        <w:rPr>
          <w:lang w:eastAsia="es-MX"/>
        </w:rPr>
        <w:t xml:space="preserve"> el juicio de amparo indirecto </w:t>
      </w:r>
      <w:r w:rsidR="00F27C18" w:rsidRPr="0007278D">
        <w:rPr>
          <w:lang w:eastAsia="es-MX"/>
        </w:rPr>
        <w:t xml:space="preserve">para </w:t>
      </w:r>
      <w:r w:rsidR="00AC3C33" w:rsidRPr="0007278D">
        <w:rPr>
          <w:lang w:eastAsia="es-MX"/>
        </w:rPr>
        <w:t>impugnar</w:t>
      </w:r>
      <w:r w:rsidR="00B24026" w:rsidRPr="0007278D">
        <w:rPr>
          <w:lang w:eastAsia="es-MX"/>
        </w:rPr>
        <w:t xml:space="preserve"> </w:t>
      </w:r>
      <w:r w:rsidR="00DB51BE" w:rsidRPr="0007278D">
        <w:rPr>
          <w:lang w:eastAsia="es-MX"/>
        </w:rPr>
        <w:t xml:space="preserve">actos de autoridad </w:t>
      </w:r>
      <w:r w:rsidR="00D55F85" w:rsidRPr="0007278D">
        <w:rPr>
          <w:lang w:eastAsia="es-MX"/>
        </w:rPr>
        <w:t xml:space="preserve">de la CNDH </w:t>
      </w:r>
      <w:r w:rsidR="00006617" w:rsidRPr="0007278D">
        <w:rPr>
          <w:lang w:eastAsia="es-MX"/>
        </w:rPr>
        <w:t>q</w:t>
      </w:r>
      <w:r w:rsidR="006D320D" w:rsidRPr="0007278D">
        <w:rPr>
          <w:lang w:eastAsia="es-MX"/>
        </w:rPr>
        <w:t>ue violen su derecho humano</w:t>
      </w:r>
      <w:r w:rsidR="00BC0C7C" w:rsidRPr="0007278D">
        <w:rPr>
          <w:lang w:eastAsia="es-MX"/>
        </w:rPr>
        <w:t xml:space="preserve"> </w:t>
      </w:r>
      <w:r w:rsidR="00E26996" w:rsidRPr="0007278D">
        <w:rPr>
          <w:lang w:eastAsia="es-MX"/>
        </w:rPr>
        <w:t>al debido proceso</w:t>
      </w:r>
      <w:r w:rsidR="00206088" w:rsidRPr="0007278D">
        <w:rPr>
          <w:lang w:eastAsia="es-MX"/>
        </w:rPr>
        <w:t>.</w:t>
      </w:r>
      <w:r w:rsidR="006D320D" w:rsidRPr="0007278D">
        <w:rPr>
          <w:lang w:eastAsia="es-MX"/>
        </w:rPr>
        <w:t xml:space="preserve"> </w:t>
      </w:r>
    </w:p>
    <w:p w14:paraId="1AC371BE" w14:textId="4F3C6D46" w:rsidR="009B6EB6" w:rsidRPr="00324EFC" w:rsidRDefault="00324EFC" w:rsidP="00324EFC">
      <w:pPr>
        <w:pStyle w:val="Nivel1BIOL"/>
        <w:rPr>
          <w:lang w:val="es-MX"/>
        </w:rPr>
      </w:pPr>
      <w:r w:rsidRPr="00324EFC">
        <w:rPr>
          <w:rFonts w:eastAsia="Times New Roman"/>
          <w:lang w:val="es-MX" w:eastAsia="es-MX"/>
        </w:rPr>
        <w:t xml:space="preserve">II. </w:t>
      </w:r>
      <w:r w:rsidRPr="00324EFC">
        <w:rPr>
          <w:lang w:val="es-MX"/>
        </w:rPr>
        <w:t>SISTEMA NACIONAL NO JURISDICCIONAL DE PROTECCIÓN DE LOS DERECHOS HUMANOS: INEFICACIA DE LA COMISIÓN NACIONAL DE LOS DERECHOS HUMANOS</w:t>
      </w:r>
    </w:p>
    <w:p w14:paraId="0E39D287" w14:textId="09B2282C" w:rsidR="009B6EB6" w:rsidRPr="0007278D" w:rsidRDefault="00AE129F" w:rsidP="00324EFC">
      <w:pPr>
        <w:pStyle w:val="parrafonormalbiolex"/>
      </w:pPr>
      <w:r w:rsidRPr="0007278D">
        <w:t>Acorde con el primer párrafo del artículo 1 constitucional, l</w:t>
      </w:r>
      <w:r w:rsidR="001F77A9" w:rsidRPr="0007278D">
        <w:t xml:space="preserve">a dignidad </w:t>
      </w:r>
      <w:r w:rsidR="00873DF6" w:rsidRPr="0007278D">
        <w:t>es</w:t>
      </w:r>
      <w:r w:rsidR="001F77A9" w:rsidRPr="0007278D">
        <w:t xml:space="preserve"> el origen y fundamento de todos los derechos humanos</w:t>
      </w:r>
      <w:r w:rsidR="00E26996" w:rsidRPr="0007278D">
        <w:t>, los cuales</w:t>
      </w:r>
      <w:r w:rsidR="00561376" w:rsidRPr="0007278D">
        <w:t xml:space="preserve"> </w:t>
      </w:r>
      <w:r w:rsidR="001F77A9" w:rsidRPr="0007278D">
        <w:t xml:space="preserve">son </w:t>
      </w:r>
      <w:r w:rsidR="00FA793B" w:rsidRPr="0007278D">
        <w:t>definidos</w:t>
      </w:r>
      <w:r w:rsidR="00CC6A71" w:rsidRPr="0007278D">
        <w:t xml:space="preserve"> </w:t>
      </w:r>
      <w:r w:rsidR="001F77A9" w:rsidRPr="0007278D">
        <w:t>como un conjunto de facultades e instituciones que concretan la dignidad y la libertad humana</w:t>
      </w:r>
      <w:r w:rsidR="00E26996" w:rsidRPr="0007278D">
        <w:t>.</w:t>
      </w:r>
      <w:r w:rsidR="001F77A9" w:rsidRPr="0007278D">
        <w:rPr>
          <w:rStyle w:val="Refdenotaalpie"/>
          <w:bCs/>
          <w:color w:val="000000" w:themeColor="text1"/>
        </w:rPr>
        <w:footnoteReference w:id="7"/>
      </w:r>
      <w:r w:rsidR="005C3139" w:rsidRPr="0007278D">
        <w:t xml:space="preserve"> </w:t>
      </w:r>
      <w:r w:rsidR="004062DC" w:rsidRPr="0007278D">
        <w:t xml:space="preserve">Estos </w:t>
      </w:r>
      <w:r w:rsidR="001F77A9" w:rsidRPr="0007278D">
        <w:t>derechos adquieren eficacia si su goce y ejercicio es real, lo cual depende de las garantías establecidas en la ley para su</w:t>
      </w:r>
      <w:r w:rsidR="00324EFC">
        <w:t> </w:t>
      </w:r>
      <w:r w:rsidR="001F77A9" w:rsidRPr="0007278D">
        <w:t>protección</w:t>
      </w:r>
      <w:r w:rsidR="00E26996" w:rsidRPr="0007278D">
        <w:t>.</w:t>
      </w:r>
      <w:r w:rsidR="001F77A9" w:rsidRPr="0007278D">
        <w:rPr>
          <w:rStyle w:val="Refdenotaalpie"/>
          <w:bCs/>
          <w:color w:val="000000" w:themeColor="text1"/>
        </w:rPr>
        <w:footnoteReference w:id="8"/>
      </w:r>
    </w:p>
    <w:p w14:paraId="18B9565F" w14:textId="12450D1C" w:rsidR="001F77A9" w:rsidRPr="0007278D" w:rsidRDefault="00D55C83" w:rsidP="00324EFC">
      <w:pPr>
        <w:pStyle w:val="parrafonormalbiolex"/>
      </w:pPr>
      <w:r w:rsidRPr="0007278D">
        <w:t>L</w:t>
      </w:r>
      <w:r w:rsidR="00813440" w:rsidRPr="0007278D">
        <w:t xml:space="preserve">as garantías </w:t>
      </w:r>
      <w:r w:rsidR="00CF1E61" w:rsidRPr="0007278D">
        <w:t xml:space="preserve">constitucionales </w:t>
      </w:r>
      <w:r w:rsidRPr="0007278D">
        <w:t xml:space="preserve">que protegen los derechos humanos </w:t>
      </w:r>
      <w:r w:rsidR="00632DFE" w:rsidRPr="0007278D">
        <w:t xml:space="preserve">son </w:t>
      </w:r>
      <w:r w:rsidRPr="0007278D">
        <w:t>l</w:t>
      </w:r>
      <w:r w:rsidR="00A04A33" w:rsidRPr="0007278D">
        <w:t xml:space="preserve">os </w:t>
      </w:r>
      <w:r w:rsidR="00813440" w:rsidRPr="0007278D">
        <w:t xml:space="preserve">medios de control constitucional, </w:t>
      </w:r>
      <w:r w:rsidR="001F77A9" w:rsidRPr="0007278D">
        <w:t xml:space="preserve">instrumentos jurídicos y procesales previstos en la Constitución para asegurar su propia vigencia y el éxito de su cumplimiento. </w:t>
      </w:r>
      <w:bookmarkStart w:id="2" w:name="_Hlk208409973"/>
      <w:r w:rsidR="001F77A9" w:rsidRPr="0007278D">
        <w:t xml:space="preserve">La doctrina denomina </w:t>
      </w:r>
      <w:bookmarkStart w:id="3" w:name="_Hlk208410021"/>
      <w:bookmarkEnd w:id="2"/>
      <w:r w:rsidR="001F77A9" w:rsidRPr="0007278D">
        <w:t xml:space="preserve">a </w:t>
      </w:r>
      <w:r w:rsidR="00F547C9" w:rsidRPr="0007278D">
        <w:t>estos</w:t>
      </w:r>
      <w:r w:rsidR="001F77A9" w:rsidRPr="0007278D">
        <w:t xml:space="preserve"> medios </w:t>
      </w:r>
      <w:bookmarkEnd w:id="3"/>
      <w:r w:rsidR="001F77A9" w:rsidRPr="0007278D">
        <w:t xml:space="preserve">como garantías procesales constitucionales, </w:t>
      </w:r>
      <w:r w:rsidR="00F40D08" w:rsidRPr="0007278D">
        <w:t xml:space="preserve">cuyo </w:t>
      </w:r>
      <w:r w:rsidR="001F77A9" w:rsidRPr="0007278D">
        <w:t xml:space="preserve">propósito </w:t>
      </w:r>
      <w:r w:rsidR="00F40D08" w:rsidRPr="0007278D">
        <w:t xml:space="preserve">es </w:t>
      </w:r>
      <w:r w:rsidR="001F77A9" w:rsidRPr="0007278D">
        <w:t>la defensa de los derechos humanos por ser de interés público y no s</w:t>
      </w:r>
      <w:r w:rsidR="00E26996" w:rsidRPr="0007278D">
        <w:t>o</w:t>
      </w:r>
      <w:r w:rsidR="001F77A9" w:rsidRPr="0007278D">
        <w:t>lo particular</w:t>
      </w:r>
      <w:r w:rsidR="00E26996" w:rsidRPr="0007278D">
        <w:t>.</w:t>
      </w:r>
      <w:r w:rsidR="001F77A9" w:rsidRPr="0007278D">
        <w:rPr>
          <w:rStyle w:val="Refdenotaalpie"/>
          <w:bCs/>
          <w:color w:val="000000" w:themeColor="text1"/>
        </w:rPr>
        <w:footnoteReference w:id="9"/>
      </w:r>
      <w:r w:rsidR="001F77A9" w:rsidRPr="0007278D">
        <w:t xml:space="preserve"> </w:t>
      </w:r>
      <w:r w:rsidR="00F547C9" w:rsidRPr="0007278D">
        <w:t>L</w:t>
      </w:r>
      <w:r w:rsidR="00813440" w:rsidRPr="0007278D">
        <w:t xml:space="preserve">as </w:t>
      </w:r>
      <w:r w:rsidR="001F77A9" w:rsidRPr="0007278D">
        <w:t xml:space="preserve">garantías </w:t>
      </w:r>
      <w:r w:rsidR="006B0FEA" w:rsidRPr="0007278D">
        <w:t xml:space="preserve">procesales </w:t>
      </w:r>
      <w:r w:rsidR="001F77A9" w:rsidRPr="0007278D">
        <w:t xml:space="preserve">constitucionales se </w:t>
      </w:r>
      <w:r w:rsidR="00F547C9" w:rsidRPr="0007278D">
        <w:t xml:space="preserve">integran por </w:t>
      </w:r>
      <w:r w:rsidR="001F77A9" w:rsidRPr="0007278D">
        <w:t xml:space="preserve">el </w:t>
      </w:r>
      <w:r w:rsidR="00E26996" w:rsidRPr="0007278D">
        <w:lastRenderedPageBreak/>
        <w:t>sistema jurisdiccional de protección de los derechos humanos y el sistema no jurisdiccional de protección de los derechos humanos</w:t>
      </w:r>
      <w:r w:rsidR="001F77A9" w:rsidRPr="0007278D">
        <w:t xml:space="preserve">. </w:t>
      </w:r>
    </w:p>
    <w:p w14:paraId="1F9878C5" w14:textId="76C1075D" w:rsidR="00AE44D1" w:rsidRPr="0007278D" w:rsidRDefault="001F77A9" w:rsidP="00324EFC">
      <w:pPr>
        <w:pStyle w:val="parrafonormalbiolex"/>
      </w:pPr>
      <w:r w:rsidRPr="0007278D">
        <w:t xml:space="preserve">El </w:t>
      </w:r>
      <w:r w:rsidR="00E26996" w:rsidRPr="0007278D">
        <w:t xml:space="preserve">sistema no jurisdiccional de protección de los derechos humanos </w:t>
      </w:r>
      <w:r w:rsidRPr="0007278D">
        <w:t>está integrado por la CNDH y sus homologas en las diversas entidades federativas del país</w:t>
      </w:r>
      <w:r w:rsidRPr="0007278D">
        <w:rPr>
          <w:rStyle w:val="Refdenotaalpie"/>
          <w:bCs/>
          <w:color w:val="000000" w:themeColor="text1"/>
        </w:rPr>
        <w:footnoteReference w:id="10"/>
      </w:r>
      <w:r w:rsidRPr="0007278D">
        <w:t xml:space="preserve">, como lo señala el artículo </w:t>
      </w:r>
      <w:r w:rsidRPr="0007278D">
        <w:rPr>
          <w:rFonts w:eastAsia="Times New Roman"/>
          <w:lang w:eastAsia="es-MX"/>
        </w:rPr>
        <w:t>102, apartado B, de la Ley Fundamental</w:t>
      </w:r>
      <w:r w:rsidR="00E26996" w:rsidRPr="0007278D">
        <w:rPr>
          <w:rFonts w:eastAsia="Times New Roman"/>
          <w:lang w:eastAsia="es-MX"/>
        </w:rPr>
        <w:t>.</w:t>
      </w:r>
      <w:r w:rsidRPr="0007278D">
        <w:rPr>
          <w:rStyle w:val="Refdenotaalpie"/>
          <w:bCs/>
          <w:color w:val="000000" w:themeColor="text1"/>
        </w:rPr>
        <w:footnoteReference w:id="11"/>
      </w:r>
      <w:r w:rsidRPr="0007278D">
        <w:rPr>
          <w:rStyle w:val="bold"/>
          <w:bCs/>
          <w:color w:val="000000" w:themeColor="text1"/>
        </w:rPr>
        <w:t xml:space="preserve"> </w:t>
      </w:r>
      <w:r w:rsidRPr="0007278D">
        <w:t xml:space="preserve">De acuerdo con </w:t>
      </w:r>
      <w:r w:rsidR="00A35F1C" w:rsidRPr="0007278D">
        <w:t>este</w:t>
      </w:r>
      <w:r w:rsidRPr="0007278D">
        <w:t xml:space="preserve"> precepto constitucional</w:t>
      </w:r>
      <w:r w:rsidR="00E26996" w:rsidRPr="0007278D">
        <w:t>,</w:t>
      </w:r>
      <w:r w:rsidRPr="0007278D">
        <w:t xml:space="preserve"> </w:t>
      </w:r>
      <w:r w:rsidR="00A35F1C" w:rsidRPr="0007278D">
        <w:t>la CNDH es un organismo constitucional autónomo, su</w:t>
      </w:r>
      <w:r w:rsidRPr="0007278D">
        <w:t xml:space="preserve"> naturaleza funcional </w:t>
      </w:r>
      <w:r w:rsidR="00813440" w:rsidRPr="0007278D">
        <w:t>consiste en</w:t>
      </w:r>
      <w:r w:rsidRPr="0007278D">
        <w:t xml:space="preserve"> conocer de quejas en contra de cualquier autoridad o servidor público federal de carácter administrativo que viole estos derechos, formular recomendaciones públicas no vinculatorias, </w:t>
      </w:r>
      <w:r w:rsidR="006B0FEA" w:rsidRPr="0007278D">
        <w:t xml:space="preserve">así como </w:t>
      </w:r>
      <w:r w:rsidR="00A3712F" w:rsidRPr="0007278D">
        <w:t xml:space="preserve">presentar </w:t>
      </w:r>
      <w:r w:rsidRPr="0007278D">
        <w:t xml:space="preserve">denuncias y quejas </w:t>
      </w:r>
      <w:r w:rsidR="00F40D08" w:rsidRPr="0007278D">
        <w:t xml:space="preserve">ante </w:t>
      </w:r>
      <w:r w:rsidRPr="0007278D">
        <w:t>las autoridades respectivas</w:t>
      </w:r>
      <w:r w:rsidR="00291840" w:rsidRPr="0007278D">
        <w:t>.</w:t>
      </w:r>
    </w:p>
    <w:p w14:paraId="5AC5DC99" w14:textId="00D51057" w:rsidR="001F77A9" w:rsidRPr="0007278D" w:rsidRDefault="00F40D08" w:rsidP="00324EFC">
      <w:pPr>
        <w:pStyle w:val="parrafonormalbiolex"/>
      </w:pPr>
      <w:r w:rsidRPr="0007278D">
        <w:t>Cuando</w:t>
      </w:r>
      <w:r w:rsidR="00EC0C70" w:rsidRPr="0007278D">
        <w:t xml:space="preserve"> un</w:t>
      </w:r>
      <w:r w:rsidR="00622A75" w:rsidRPr="0007278D">
        <w:t>a autoridad de las señaladas</w:t>
      </w:r>
      <w:r w:rsidR="00EC0C70" w:rsidRPr="0007278D">
        <w:t xml:space="preserve"> viol</w:t>
      </w:r>
      <w:r w:rsidRPr="0007278D">
        <w:t>a</w:t>
      </w:r>
      <w:r w:rsidR="00EC0C70" w:rsidRPr="0007278D">
        <w:t xml:space="preserve"> </w:t>
      </w:r>
      <w:r w:rsidRPr="0007278D">
        <w:t xml:space="preserve">los </w:t>
      </w:r>
      <w:r w:rsidR="00EC0C70" w:rsidRPr="0007278D">
        <w:t>derechos humanos, las personas tienen el derecho fundamental de tutela no jurisdiccional</w:t>
      </w:r>
      <w:r w:rsidR="0082006A" w:rsidRPr="0007278D">
        <w:t>, el cual se puede ejercer</w:t>
      </w:r>
      <w:r w:rsidR="00EC0C70" w:rsidRPr="0007278D">
        <w:t xml:space="preserve"> </w:t>
      </w:r>
      <w:r w:rsidR="006B1F26" w:rsidRPr="0007278D">
        <w:t>acudiendo a</w:t>
      </w:r>
      <w:r w:rsidR="00EC0C70" w:rsidRPr="0007278D">
        <w:t xml:space="preserve"> la CNDH</w:t>
      </w:r>
      <w:r w:rsidR="006B1F26" w:rsidRPr="0007278D">
        <w:t xml:space="preserve"> a presentar su queja</w:t>
      </w:r>
      <w:r w:rsidR="00EC0C70" w:rsidRPr="0007278D">
        <w:t xml:space="preserve">. </w:t>
      </w:r>
      <w:r w:rsidR="00720503" w:rsidRPr="0007278D">
        <w:t xml:space="preserve">Los servidores públicos de </w:t>
      </w:r>
      <w:r w:rsidR="006B1F26" w:rsidRPr="0007278D">
        <w:t xml:space="preserve">este organismo constitucional </w:t>
      </w:r>
      <w:r w:rsidR="00720503" w:rsidRPr="0007278D">
        <w:rPr>
          <w:rFonts w:eastAsia="Times New Roman"/>
          <w:lang w:eastAsia="es-MX"/>
        </w:rPr>
        <w:t>(Ley de la CNDH, art. 74) reciben los escritos de queja y los califican</w:t>
      </w:r>
      <w:r w:rsidR="0082006A" w:rsidRPr="0007278D">
        <w:rPr>
          <w:rFonts w:eastAsia="Times New Roman"/>
          <w:lang w:eastAsia="es-MX"/>
        </w:rPr>
        <w:t>.</w:t>
      </w:r>
      <w:r w:rsidR="0082006A" w:rsidRPr="0007278D">
        <w:t xml:space="preserve"> E</w:t>
      </w:r>
      <w:r w:rsidR="00720503" w:rsidRPr="0007278D">
        <w:t xml:space="preserve">n caso de </w:t>
      </w:r>
      <w:r w:rsidR="006D3876" w:rsidRPr="0007278D">
        <w:t>ser aceptados</w:t>
      </w:r>
      <w:r w:rsidR="00720503" w:rsidRPr="0007278D">
        <w:t>, forman un expediente que finalmente res</w:t>
      </w:r>
      <w:r w:rsidRPr="0007278D">
        <w:t>uelven</w:t>
      </w:r>
      <w:r w:rsidR="00720503" w:rsidRPr="0007278D">
        <w:t xml:space="preserve"> por alguna </w:t>
      </w:r>
      <w:r w:rsidR="00C56A2D" w:rsidRPr="0007278D">
        <w:t xml:space="preserve">de las causas </w:t>
      </w:r>
      <w:r w:rsidR="00720503" w:rsidRPr="0007278D">
        <w:rPr>
          <w:rFonts w:eastAsia="Times New Roman"/>
          <w:lang w:eastAsia="es-MX"/>
        </w:rPr>
        <w:t>previst</w:t>
      </w:r>
      <w:r w:rsidR="00C56A2D" w:rsidRPr="0007278D">
        <w:rPr>
          <w:rFonts w:eastAsia="Times New Roman"/>
          <w:lang w:eastAsia="es-MX"/>
        </w:rPr>
        <w:t>a</w:t>
      </w:r>
      <w:r w:rsidR="00720503" w:rsidRPr="0007278D">
        <w:rPr>
          <w:rFonts w:eastAsia="Times New Roman"/>
          <w:lang w:eastAsia="es-MX"/>
        </w:rPr>
        <w:t xml:space="preserve">s en el artículo 125 del </w:t>
      </w:r>
      <w:r w:rsidR="0082006A" w:rsidRPr="0007278D">
        <w:rPr>
          <w:rFonts w:eastAsia="Times New Roman"/>
          <w:lang w:eastAsia="es-MX"/>
        </w:rPr>
        <w:t>re</w:t>
      </w:r>
      <w:r w:rsidR="00720503" w:rsidRPr="0007278D">
        <w:rPr>
          <w:rFonts w:eastAsia="Times New Roman"/>
          <w:lang w:eastAsia="es-MX"/>
        </w:rPr>
        <w:t xml:space="preserve">glamento </w:t>
      </w:r>
      <w:r w:rsidR="00291840" w:rsidRPr="0007278D">
        <w:rPr>
          <w:rFonts w:eastAsia="Times New Roman"/>
          <w:lang w:eastAsia="es-MX"/>
        </w:rPr>
        <w:t xml:space="preserve">de la </w:t>
      </w:r>
      <w:r w:rsidR="00720503" w:rsidRPr="0007278D">
        <w:rPr>
          <w:rFonts w:eastAsia="Times New Roman"/>
          <w:lang w:eastAsia="es-MX"/>
        </w:rPr>
        <w:t>CNDH.</w:t>
      </w:r>
      <w:r w:rsidR="001F77A9" w:rsidRPr="0007278D">
        <w:rPr>
          <w:rFonts w:eastAsia="Times New Roman"/>
          <w:lang w:eastAsia="es-MX"/>
        </w:rPr>
        <w:t xml:space="preserve"> </w:t>
      </w:r>
      <w:r w:rsidR="00622A75" w:rsidRPr="0007278D">
        <w:rPr>
          <w:rFonts w:eastAsia="Times New Roman"/>
          <w:lang w:eastAsia="es-MX"/>
        </w:rPr>
        <w:t>Por su forma de resolución</w:t>
      </w:r>
      <w:r w:rsidR="0082006A" w:rsidRPr="0007278D">
        <w:rPr>
          <w:rFonts w:eastAsia="Times New Roman"/>
          <w:lang w:eastAsia="es-MX"/>
        </w:rPr>
        <w:t>,</w:t>
      </w:r>
      <w:r w:rsidR="00622A75" w:rsidRPr="0007278D">
        <w:rPr>
          <w:rFonts w:eastAsia="Times New Roman"/>
          <w:lang w:eastAsia="es-MX"/>
        </w:rPr>
        <w:t xml:space="preserve"> s</w:t>
      </w:r>
      <w:r w:rsidR="000E707E" w:rsidRPr="0007278D">
        <w:rPr>
          <w:rFonts w:eastAsia="Times New Roman"/>
          <w:lang w:eastAsia="es-MX"/>
        </w:rPr>
        <w:t xml:space="preserve">e puede decir que </w:t>
      </w:r>
      <w:r w:rsidR="00C56A2D" w:rsidRPr="0007278D">
        <w:rPr>
          <w:rFonts w:eastAsia="Times New Roman"/>
          <w:lang w:eastAsia="es-MX"/>
        </w:rPr>
        <w:t>las quejas son de dos tipos</w:t>
      </w:r>
      <w:r w:rsidR="00291840" w:rsidRPr="0007278D">
        <w:rPr>
          <w:rFonts w:eastAsia="Times New Roman"/>
          <w:lang w:eastAsia="es-MX"/>
        </w:rPr>
        <w:t>:</w:t>
      </w:r>
      <w:r w:rsidR="001F77A9" w:rsidRPr="0007278D">
        <w:rPr>
          <w:rFonts w:eastAsia="Times New Roman"/>
          <w:lang w:eastAsia="es-MX"/>
        </w:rPr>
        <w:t xml:space="preserve"> primero</w:t>
      </w:r>
      <w:r w:rsidR="00291840" w:rsidRPr="0007278D">
        <w:rPr>
          <w:rFonts w:eastAsia="Times New Roman"/>
          <w:lang w:eastAsia="es-MX"/>
        </w:rPr>
        <w:t>,</w:t>
      </w:r>
      <w:r w:rsidR="001F77A9" w:rsidRPr="0007278D">
        <w:rPr>
          <w:rFonts w:eastAsia="Times New Roman"/>
          <w:lang w:eastAsia="es-MX"/>
        </w:rPr>
        <w:t xml:space="preserve"> </w:t>
      </w:r>
      <w:r w:rsidR="001F77A9" w:rsidRPr="0007278D">
        <w:t>l</w:t>
      </w:r>
      <w:r w:rsidR="00C56A2D" w:rsidRPr="0007278D">
        <w:t>a</w:t>
      </w:r>
      <w:r w:rsidR="001F77A9" w:rsidRPr="0007278D">
        <w:t>s que se</w:t>
      </w:r>
      <w:r w:rsidR="00E30F14" w:rsidRPr="0007278D">
        <w:t xml:space="preserve"> </w:t>
      </w:r>
      <w:r w:rsidR="00C56A2D" w:rsidRPr="0007278D">
        <w:t xml:space="preserve">resuelven </w:t>
      </w:r>
      <w:r w:rsidR="001F77A9" w:rsidRPr="0007278D">
        <w:t xml:space="preserve">sin que exista una investigación </w:t>
      </w:r>
      <w:r w:rsidR="00C56A2D" w:rsidRPr="0007278D">
        <w:t xml:space="preserve">sobre </w:t>
      </w:r>
      <w:r w:rsidR="00CA7CA8" w:rsidRPr="0007278D">
        <w:t xml:space="preserve">el fondo </w:t>
      </w:r>
      <w:r w:rsidR="00841614" w:rsidRPr="0007278D">
        <w:t xml:space="preserve">de </w:t>
      </w:r>
      <w:r w:rsidR="00CA7CA8" w:rsidRPr="0007278D">
        <w:t xml:space="preserve">la queja </w:t>
      </w:r>
      <w:r w:rsidR="001F77A9" w:rsidRPr="0007278D">
        <w:t xml:space="preserve">como </w:t>
      </w:r>
      <w:r w:rsidR="0082006A" w:rsidRPr="0007278D">
        <w:t>las</w:t>
      </w:r>
      <w:r w:rsidR="001F77A9" w:rsidRPr="0007278D">
        <w:t xml:space="preserve"> resueltas durante el trámite</w:t>
      </w:r>
      <w:r w:rsidR="008B0CFF" w:rsidRPr="0007278D">
        <w:t>,</w:t>
      </w:r>
      <w:r w:rsidR="001F77A9" w:rsidRPr="0007278D">
        <w:t xml:space="preserve"> por conciliación</w:t>
      </w:r>
      <w:r w:rsidR="008B0CFF" w:rsidRPr="0007278D">
        <w:t>,</w:t>
      </w:r>
      <w:r w:rsidR="001F77A9" w:rsidRPr="0007278D">
        <w:t xml:space="preserve"> acumulación de expedientes</w:t>
      </w:r>
      <w:r w:rsidR="008B0CFF" w:rsidRPr="0007278D">
        <w:t>,</w:t>
      </w:r>
      <w:r w:rsidR="001F77A9" w:rsidRPr="0007278D">
        <w:t xml:space="preserve"> falta de interés de la persona quejosa</w:t>
      </w:r>
      <w:r w:rsidR="008B0CFF" w:rsidRPr="0007278D">
        <w:t>,</w:t>
      </w:r>
      <w:r w:rsidR="001F77A9" w:rsidRPr="0007278D">
        <w:t xml:space="preserve"> desistimiento</w:t>
      </w:r>
      <w:r w:rsidR="008B0CFF" w:rsidRPr="0007278D">
        <w:t>,</w:t>
      </w:r>
      <w:r w:rsidR="001F77A9" w:rsidRPr="0007278D">
        <w:t xml:space="preserve"> orientación</w:t>
      </w:r>
      <w:r w:rsidR="008B0CFF" w:rsidRPr="0007278D">
        <w:t>,</w:t>
      </w:r>
      <w:r w:rsidR="001F77A9" w:rsidRPr="0007278D">
        <w:t xml:space="preserve"> por no existir materia y por no competencia</w:t>
      </w:r>
      <w:r w:rsidR="00291840" w:rsidRPr="0007278D">
        <w:t>.</w:t>
      </w:r>
      <w:r w:rsidR="001F77A9" w:rsidRPr="0007278D">
        <w:t xml:space="preserve"> Segundo, las que </w:t>
      </w:r>
      <w:r w:rsidR="00A01E77" w:rsidRPr="0007278D">
        <w:t xml:space="preserve">ameritan </w:t>
      </w:r>
      <w:r w:rsidR="00AE129F" w:rsidRPr="0007278D">
        <w:t xml:space="preserve">una </w:t>
      </w:r>
      <w:r w:rsidR="001F77A9" w:rsidRPr="0007278D">
        <w:t>investigación</w:t>
      </w:r>
      <w:r w:rsidR="004062DC" w:rsidRPr="0007278D">
        <w:t xml:space="preserve"> </w:t>
      </w:r>
      <w:r w:rsidR="00291840" w:rsidRPr="0007278D">
        <w:t xml:space="preserve">que resuelve el </w:t>
      </w:r>
      <w:r w:rsidR="004062DC" w:rsidRPr="0007278D">
        <w:t>de fondo</w:t>
      </w:r>
      <w:r w:rsidR="00291840" w:rsidRPr="0007278D">
        <w:t xml:space="preserve"> de</w:t>
      </w:r>
      <w:r w:rsidR="00A01E77" w:rsidRPr="0007278D">
        <w:t xml:space="preserve"> la queja</w:t>
      </w:r>
      <w:r w:rsidR="001F77A9" w:rsidRPr="0007278D">
        <w:t>, a saber</w:t>
      </w:r>
      <w:r w:rsidR="008B0CFF" w:rsidRPr="0007278D">
        <w:t>,</w:t>
      </w:r>
      <w:r w:rsidR="001F77A9" w:rsidRPr="0007278D">
        <w:t xml:space="preserve"> por </w:t>
      </w:r>
      <w:r w:rsidR="00700D94" w:rsidRPr="0007278D">
        <w:t>r</w:t>
      </w:r>
      <w:r w:rsidR="001F77A9" w:rsidRPr="0007278D">
        <w:t>ecomendación</w:t>
      </w:r>
      <w:r w:rsidR="006B1F26" w:rsidRPr="0007278D">
        <w:t>,</w:t>
      </w:r>
      <w:r w:rsidR="001F77A9" w:rsidRPr="0007278D">
        <w:t xml:space="preserve"> </w:t>
      </w:r>
      <w:r w:rsidR="00700D94" w:rsidRPr="0007278D">
        <w:t>r</w:t>
      </w:r>
      <w:r w:rsidR="001F77A9" w:rsidRPr="0007278D">
        <w:t xml:space="preserve">ecomendación por </w:t>
      </w:r>
      <w:r w:rsidR="00700D94" w:rsidRPr="0007278D">
        <w:t>v</w:t>
      </w:r>
      <w:r w:rsidR="001F77A9" w:rsidRPr="0007278D">
        <w:t xml:space="preserve">iolación </w:t>
      </w:r>
      <w:r w:rsidR="00700D94" w:rsidRPr="0007278D">
        <w:t>g</w:t>
      </w:r>
      <w:r w:rsidR="001F77A9" w:rsidRPr="0007278D">
        <w:t>rave</w:t>
      </w:r>
      <w:r w:rsidR="00E51C84" w:rsidRPr="0007278D">
        <w:t xml:space="preserve"> y documento de no responsabilidad. </w:t>
      </w:r>
    </w:p>
    <w:p w14:paraId="3F4CA4BE" w14:textId="285EF089" w:rsidR="00EC0C70" w:rsidRPr="0007278D" w:rsidRDefault="00EC0C70" w:rsidP="00324EFC">
      <w:pPr>
        <w:pStyle w:val="parrafonormalbiolex"/>
        <w:rPr>
          <w:rFonts w:cstheme="minorBidi"/>
        </w:rPr>
      </w:pPr>
      <w:r w:rsidRPr="0007278D">
        <w:rPr>
          <w:rFonts w:eastAsia="Times New Roman"/>
          <w:lang w:eastAsia="es-MX"/>
        </w:rPr>
        <w:t xml:space="preserve">Según los artículos 44 y 46 de la </w:t>
      </w:r>
      <w:r w:rsidRPr="0007278D">
        <w:t>Ley de la CNDH, una</w:t>
      </w:r>
      <w:r w:rsidRPr="0007278D">
        <w:rPr>
          <w:rFonts w:eastAsia="Times New Roman"/>
          <w:lang w:eastAsia="es-MX"/>
        </w:rPr>
        <w:t xml:space="preserve"> recomendación es la efectiva restitución de los afectados en sus derechos </w:t>
      </w:r>
      <w:r w:rsidR="006B1F26" w:rsidRPr="0007278D">
        <w:rPr>
          <w:rFonts w:eastAsia="Times New Roman"/>
          <w:lang w:eastAsia="es-MX"/>
        </w:rPr>
        <w:t>humanos</w:t>
      </w:r>
      <w:r w:rsidRPr="0007278D">
        <w:rPr>
          <w:rFonts w:eastAsia="Times New Roman"/>
          <w:lang w:eastAsia="es-MX"/>
        </w:rPr>
        <w:t xml:space="preserve"> y, en su caso, para la reparación de los daños y perjuicios que se hubiesen ocasionado. Se señala que la recomendación será pública y autónoma</w:t>
      </w:r>
      <w:r w:rsidR="008B0CFF" w:rsidRPr="0007278D">
        <w:rPr>
          <w:rFonts w:eastAsia="Times New Roman"/>
          <w:lang w:eastAsia="es-MX"/>
        </w:rPr>
        <w:t xml:space="preserve"> </w:t>
      </w:r>
      <w:r w:rsidRPr="0007278D">
        <w:rPr>
          <w:rFonts w:eastAsia="Times New Roman"/>
          <w:lang w:eastAsia="es-MX"/>
        </w:rPr>
        <w:t xml:space="preserve">y no tendrá carácter vinculante para la autoridad o servidor público. </w:t>
      </w:r>
      <w:r w:rsidR="00611BB0" w:rsidRPr="0007278D">
        <w:t xml:space="preserve">La consecuencia de la emisión de una recomendación se limita, esencialmente, a su publicación, con el efecto indirecto que ello pueda generar en el prestigio ético de la autoridad responsable. </w:t>
      </w:r>
      <w:r w:rsidRPr="0007278D">
        <w:rPr>
          <w:rFonts w:eastAsia="Times New Roman"/>
          <w:lang w:eastAsia="es-MX"/>
        </w:rPr>
        <w:t>Las recomendaciones s</w:t>
      </w:r>
      <w:r w:rsidRPr="0007278D">
        <w:t>erán dadas a conocer a la opinión pública mediante su publicación en diversos medios de comunicación (</w:t>
      </w:r>
      <w:r w:rsidRPr="0007278D">
        <w:rPr>
          <w:rFonts w:eastAsia="Times New Roman"/>
          <w:lang w:eastAsia="es-MX"/>
        </w:rPr>
        <w:t>Reglamento Interno de la Comisión Nacional de los Derechos Humanos</w:t>
      </w:r>
      <w:r w:rsidR="00611BB0" w:rsidRPr="0007278D">
        <w:rPr>
          <w:rFonts w:eastAsia="Times New Roman"/>
          <w:lang w:eastAsia="es-MX"/>
        </w:rPr>
        <w:t>,</w:t>
      </w:r>
      <w:r w:rsidRPr="0007278D">
        <w:rPr>
          <w:rStyle w:val="Refdenotaalpie"/>
          <w:rFonts w:eastAsia="Times New Roman"/>
          <w:bCs/>
          <w:color w:val="000000" w:themeColor="text1"/>
          <w:lang w:eastAsia="es-MX"/>
        </w:rPr>
        <w:footnoteReference w:id="12"/>
      </w:r>
      <w:r w:rsidRPr="0007278D">
        <w:rPr>
          <w:rFonts w:eastAsia="Times New Roman"/>
          <w:lang w:eastAsia="es-MX"/>
        </w:rPr>
        <w:t xml:space="preserve"> </w:t>
      </w:r>
      <w:r w:rsidR="00F9559F" w:rsidRPr="0007278D">
        <w:rPr>
          <w:rFonts w:eastAsia="Times New Roman"/>
          <w:lang w:eastAsia="es-MX"/>
        </w:rPr>
        <w:t xml:space="preserve">art. 136, </w:t>
      </w:r>
      <w:r w:rsidRPr="0007278D">
        <w:rPr>
          <w:rFonts w:eastAsia="Times New Roman"/>
          <w:lang w:eastAsia="es-MX"/>
        </w:rPr>
        <w:t xml:space="preserve">en adelante Reglamento de la CNDH) y de no ser aceptadas, la negativa se hará del conocimiento de la opinión pública. </w:t>
      </w:r>
    </w:p>
    <w:p w14:paraId="4652BC57" w14:textId="4839AAB8" w:rsidR="00D05DCC" w:rsidRPr="0007278D" w:rsidRDefault="001B4FF1" w:rsidP="00324EFC">
      <w:pPr>
        <w:pStyle w:val="parrafonormalbiolex"/>
        <w:rPr>
          <w:rFonts w:eastAsia="Times New Roman"/>
          <w:lang w:eastAsia="es-MX"/>
        </w:rPr>
      </w:pPr>
      <w:r w:rsidRPr="0007278D">
        <w:rPr>
          <w:rFonts w:eastAsia="Times New Roman"/>
          <w:lang w:eastAsia="es-MX"/>
        </w:rPr>
        <w:t xml:space="preserve">Desde la creación de </w:t>
      </w:r>
      <w:r w:rsidR="00F83AF5" w:rsidRPr="0007278D">
        <w:rPr>
          <w:rFonts w:eastAsia="Times New Roman"/>
          <w:lang w:eastAsia="es-MX"/>
        </w:rPr>
        <w:t xml:space="preserve">la CNDH </w:t>
      </w:r>
      <w:r w:rsidRPr="0007278D">
        <w:rPr>
          <w:rFonts w:eastAsia="Times New Roman"/>
          <w:lang w:eastAsia="es-MX"/>
        </w:rPr>
        <w:t xml:space="preserve">en 1990 </w:t>
      </w:r>
      <w:r w:rsidR="007203DA" w:rsidRPr="0007278D">
        <w:rPr>
          <w:rFonts w:eastAsia="Times New Roman"/>
          <w:lang w:eastAsia="es-MX"/>
        </w:rPr>
        <w:t xml:space="preserve">y </w:t>
      </w:r>
      <w:r w:rsidRPr="0007278D">
        <w:rPr>
          <w:rFonts w:eastAsia="Times New Roman"/>
          <w:lang w:eastAsia="es-MX"/>
        </w:rPr>
        <w:t xml:space="preserve">hasta 2024, el promedio de recomendaciones </w:t>
      </w:r>
      <w:r w:rsidR="007203DA" w:rsidRPr="0007278D">
        <w:rPr>
          <w:rFonts w:eastAsia="Times New Roman"/>
          <w:lang w:eastAsia="es-MX"/>
        </w:rPr>
        <w:t>emitidas</w:t>
      </w:r>
      <w:r w:rsidRPr="0007278D">
        <w:rPr>
          <w:rFonts w:eastAsia="Times New Roman"/>
          <w:lang w:eastAsia="es-MX"/>
        </w:rPr>
        <w:t xml:space="preserve"> anualmente es de 1</w:t>
      </w:r>
      <w:r w:rsidR="00611BB0" w:rsidRPr="0007278D">
        <w:rPr>
          <w:rFonts w:eastAsia="Times New Roman"/>
          <w:lang w:eastAsia="es-MX"/>
        </w:rPr>
        <w:t xml:space="preserve"> </w:t>
      </w:r>
      <w:r w:rsidRPr="0007278D">
        <w:rPr>
          <w:rFonts w:eastAsia="Times New Roman"/>
          <w:lang w:eastAsia="es-MX"/>
        </w:rPr>
        <w:t xml:space="preserve">%, un porcentaje </w:t>
      </w:r>
      <w:r w:rsidR="003418E3" w:rsidRPr="0007278D">
        <w:rPr>
          <w:rFonts w:eastAsia="Times New Roman"/>
          <w:lang w:eastAsia="es-MX"/>
        </w:rPr>
        <w:t xml:space="preserve">mínimo </w:t>
      </w:r>
      <w:r w:rsidRPr="0007278D">
        <w:rPr>
          <w:rFonts w:eastAsia="Times New Roman"/>
          <w:lang w:eastAsia="es-MX"/>
        </w:rPr>
        <w:t xml:space="preserve">que contradice las estadísticas </w:t>
      </w:r>
      <w:r w:rsidRPr="0007278D">
        <w:rPr>
          <w:rFonts w:eastAsia="Times New Roman"/>
          <w:lang w:eastAsia="es-MX"/>
        </w:rPr>
        <w:lastRenderedPageBreak/>
        <w:t xml:space="preserve">internacionales que indican que México es uno de los países del mundo con mayor incidencia en este </w:t>
      </w:r>
      <w:r w:rsidR="00F83AF5" w:rsidRPr="0007278D">
        <w:rPr>
          <w:rFonts w:eastAsia="Times New Roman"/>
          <w:lang w:eastAsia="es-MX"/>
        </w:rPr>
        <w:t>problema</w:t>
      </w:r>
      <w:r w:rsidR="007203DA" w:rsidRPr="0007278D">
        <w:rPr>
          <w:rFonts w:eastAsia="Times New Roman"/>
          <w:lang w:eastAsia="es-MX"/>
        </w:rPr>
        <w:t>.</w:t>
      </w:r>
      <w:r w:rsidR="00F83AF5" w:rsidRPr="0007278D">
        <w:rPr>
          <w:rStyle w:val="Refdenotaalpie"/>
          <w:rFonts w:eastAsia="Times New Roman"/>
          <w:bCs/>
          <w:color w:val="000000" w:themeColor="text1"/>
          <w:lang w:eastAsia="es-MX"/>
        </w:rPr>
        <w:footnoteReference w:id="13"/>
      </w:r>
      <w:r w:rsidR="00F83AF5" w:rsidRPr="0007278D">
        <w:rPr>
          <w:rFonts w:eastAsia="Times New Roman"/>
          <w:lang w:eastAsia="es-MX"/>
        </w:rPr>
        <w:t xml:space="preserve"> </w:t>
      </w:r>
      <w:r w:rsidR="00BB6182" w:rsidRPr="0007278D">
        <w:rPr>
          <w:rFonts w:eastAsia="Times New Roman"/>
          <w:lang w:eastAsia="es-MX"/>
        </w:rPr>
        <w:t>S</w:t>
      </w:r>
      <w:r w:rsidR="00802A40" w:rsidRPr="0007278D">
        <w:rPr>
          <w:rFonts w:eastAsia="Times New Roman"/>
          <w:lang w:eastAsia="es-MX"/>
        </w:rPr>
        <w:t xml:space="preserve">i se analizan los informes de los últimos cuatro años, </w:t>
      </w:r>
      <w:r w:rsidR="00D05DCC" w:rsidRPr="0007278D">
        <w:rPr>
          <w:rFonts w:eastAsia="Times New Roman"/>
          <w:lang w:eastAsia="es-MX"/>
        </w:rPr>
        <w:t>el número y porcentaje de recomendaciones emitidas por violaciones graves y las emitidas por violaciones no graves, con pruebas de cumplimiento total, son las siguientes:</w:t>
      </w:r>
    </w:p>
    <w:p w14:paraId="6F10398F" w14:textId="470ADBCF" w:rsidR="00D05DCC" w:rsidRPr="0007278D" w:rsidRDefault="00D05DCC" w:rsidP="00324EFC">
      <w:pPr>
        <w:pStyle w:val="parrafonormalbiolex"/>
        <w:rPr>
          <w:rFonts w:eastAsia="Times New Roman"/>
          <w:lang w:eastAsia="es-MX"/>
        </w:rPr>
      </w:pPr>
      <w:r w:rsidRPr="0007278D">
        <w:rPr>
          <w:rFonts w:eastAsia="Times New Roman"/>
          <w:b/>
          <w:lang w:eastAsia="es-MX"/>
        </w:rPr>
        <w:t>Informe de 2021.</w:t>
      </w:r>
      <w:r w:rsidRPr="0007278D">
        <w:rPr>
          <w:rFonts w:eastAsia="Times New Roman"/>
          <w:lang w:eastAsia="es-MX"/>
        </w:rPr>
        <w:t xml:space="preserve"> Número total de expedientes por presuntas violaciones a derechos humanos: 11</w:t>
      </w:r>
      <w:r w:rsidR="007203DA" w:rsidRPr="0007278D">
        <w:rPr>
          <w:rFonts w:eastAsia="Times New Roman"/>
          <w:lang w:eastAsia="es-MX"/>
        </w:rPr>
        <w:t xml:space="preserve"> </w:t>
      </w:r>
      <w:r w:rsidRPr="0007278D">
        <w:rPr>
          <w:rFonts w:eastAsia="Times New Roman"/>
          <w:lang w:eastAsia="es-MX"/>
        </w:rPr>
        <w:t>903</w:t>
      </w:r>
      <w:r w:rsidR="006F7EEE" w:rsidRPr="0007278D">
        <w:rPr>
          <w:rFonts w:eastAsia="Times New Roman"/>
          <w:lang w:eastAsia="es-MX"/>
        </w:rPr>
        <w:t>,</w:t>
      </w:r>
      <w:r w:rsidRPr="0007278D">
        <w:rPr>
          <w:rFonts w:eastAsia="Times New Roman"/>
          <w:lang w:eastAsia="es-MX"/>
        </w:rPr>
        <w:t xml:space="preserve"> </w:t>
      </w:r>
      <w:r w:rsidR="006F7EEE" w:rsidRPr="0007278D">
        <w:rPr>
          <w:rFonts w:eastAsia="Times New Roman"/>
          <w:lang w:eastAsia="es-MX"/>
        </w:rPr>
        <w:t>r</w:t>
      </w:r>
      <w:r w:rsidRPr="0007278D">
        <w:rPr>
          <w:rFonts w:eastAsia="Times New Roman"/>
          <w:lang w:eastAsia="es-MX"/>
        </w:rPr>
        <w:t>ecomendaciones: 127</w:t>
      </w:r>
      <w:r w:rsidR="006F7EEE" w:rsidRPr="0007278D">
        <w:rPr>
          <w:rFonts w:eastAsia="Times New Roman"/>
          <w:lang w:eastAsia="es-MX"/>
        </w:rPr>
        <w:t>,</w:t>
      </w:r>
      <w:r w:rsidRPr="0007278D">
        <w:rPr>
          <w:rFonts w:eastAsia="Times New Roman"/>
          <w:lang w:eastAsia="es-MX"/>
        </w:rPr>
        <w:t xml:space="preserve"> </w:t>
      </w:r>
      <w:r w:rsidR="006F7EEE" w:rsidRPr="0007278D">
        <w:rPr>
          <w:rFonts w:eastAsia="Times New Roman"/>
          <w:lang w:eastAsia="es-MX"/>
        </w:rPr>
        <w:t>p</w:t>
      </w:r>
      <w:r w:rsidRPr="0007278D">
        <w:rPr>
          <w:rFonts w:eastAsia="Times New Roman"/>
          <w:lang w:eastAsia="es-MX"/>
        </w:rPr>
        <w:t>orcentaje: 1.1</w:t>
      </w:r>
      <w:r w:rsidR="006F7EEE" w:rsidRPr="0007278D">
        <w:rPr>
          <w:rFonts w:eastAsia="Times New Roman"/>
          <w:lang w:eastAsia="es-MX"/>
        </w:rPr>
        <w:t xml:space="preserve"> </w:t>
      </w:r>
      <w:r w:rsidRPr="0007278D">
        <w:rPr>
          <w:rFonts w:eastAsia="Times New Roman"/>
          <w:lang w:eastAsia="es-MX"/>
        </w:rPr>
        <w:t xml:space="preserve">%. Recomendación por </w:t>
      </w:r>
      <w:r w:rsidR="006F7EEE" w:rsidRPr="0007278D">
        <w:rPr>
          <w:rFonts w:eastAsia="Times New Roman"/>
          <w:lang w:eastAsia="es-MX"/>
        </w:rPr>
        <w:t>violación grave</w:t>
      </w:r>
      <w:r w:rsidRPr="0007278D">
        <w:rPr>
          <w:rFonts w:eastAsia="Times New Roman"/>
          <w:lang w:eastAsia="es-MX"/>
        </w:rPr>
        <w:t>: 7, porcentaje: 0.1</w:t>
      </w:r>
      <w:r w:rsidR="006F7EEE" w:rsidRPr="0007278D">
        <w:rPr>
          <w:rFonts w:eastAsia="Times New Roman"/>
          <w:lang w:eastAsia="es-MX"/>
        </w:rPr>
        <w:t xml:space="preserve"> </w:t>
      </w:r>
      <w:r w:rsidRPr="0007278D">
        <w:rPr>
          <w:rFonts w:eastAsia="Times New Roman"/>
          <w:lang w:eastAsia="es-MX"/>
        </w:rPr>
        <w:t>%. Aceptadas, con pruebas de cumplimiento total: 29, porcentaje: 19</w:t>
      </w:r>
      <w:r w:rsidR="006F7EEE" w:rsidRPr="0007278D">
        <w:rPr>
          <w:rFonts w:eastAsia="Times New Roman"/>
          <w:lang w:eastAsia="es-MX"/>
        </w:rPr>
        <w:t xml:space="preserve"> </w:t>
      </w:r>
      <w:r w:rsidRPr="0007278D">
        <w:rPr>
          <w:rFonts w:eastAsia="Times New Roman"/>
          <w:lang w:eastAsia="es-MX"/>
        </w:rPr>
        <w:t>%. Porcentaje entre el número total de expedientes y el porcentaje de pruebas de cumplimiento total: 0.24</w:t>
      </w:r>
      <w:r w:rsidR="006F7EEE" w:rsidRPr="0007278D">
        <w:rPr>
          <w:rFonts w:eastAsia="Times New Roman"/>
          <w:lang w:eastAsia="es-MX"/>
        </w:rPr>
        <w:t xml:space="preserve"> </w:t>
      </w:r>
      <w:r w:rsidRPr="0007278D">
        <w:rPr>
          <w:rFonts w:eastAsia="Times New Roman"/>
          <w:lang w:eastAsia="es-MX"/>
        </w:rPr>
        <w:t>%.</w:t>
      </w:r>
      <w:r w:rsidR="007C6C72" w:rsidRPr="0007278D">
        <w:rPr>
          <w:rStyle w:val="Refdenotaalpie"/>
          <w:rFonts w:eastAsia="Times New Roman"/>
          <w:bCs/>
          <w:color w:val="000000" w:themeColor="text1"/>
          <w:lang w:eastAsia="es-MX"/>
        </w:rPr>
        <w:footnoteReference w:id="14"/>
      </w:r>
    </w:p>
    <w:p w14:paraId="5C7D08A0" w14:textId="0B18AD38" w:rsidR="00D05DCC" w:rsidRPr="0007278D" w:rsidRDefault="00D05DCC" w:rsidP="00324EFC">
      <w:pPr>
        <w:pStyle w:val="parrafonormalbiolex"/>
        <w:rPr>
          <w:rFonts w:eastAsia="Times New Roman"/>
          <w:lang w:eastAsia="es-MX"/>
        </w:rPr>
      </w:pPr>
      <w:r w:rsidRPr="0007278D">
        <w:rPr>
          <w:rFonts w:eastAsia="Times New Roman"/>
          <w:b/>
          <w:lang w:eastAsia="es-MX"/>
        </w:rPr>
        <w:t>Informe de 2022.</w:t>
      </w:r>
      <w:r w:rsidRPr="0007278D">
        <w:rPr>
          <w:rFonts w:eastAsia="Times New Roman"/>
          <w:lang w:eastAsia="es-MX"/>
        </w:rPr>
        <w:t xml:space="preserve"> Número total de expedientes por presuntas violaciones a derechos humanos: 15</w:t>
      </w:r>
      <w:r w:rsidR="006F7EEE" w:rsidRPr="0007278D">
        <w:rPr>
          <w:rFonts w:eastAsia="Times New Roman"/>
          <w:lang w:eastAsia="es-MX"/>
        </w:rPr>
        <w:t xml:space="preserve"> </w:t>
      </w:r>
      <w:r w:rsidRPr="0007278D">
        <w:rPr>
          <w:rFonts w:eastAsia="Times New Roman"/>
          <w:lang w:eastAsia="es-MX"/>
        </w:rPr>
        <w:t>369</w:t>
      </w:r>
      <w:r w:rsidR="006F7EEE" w:rsidRPr="0007278D">
        <w:rPr>
          <w:rFonts w:eastAsia="Times New Roman"/>
          <w:lang w:eastAsia="es-MX"/>
        </w:rPr>
        <w:t>,</w:t>
      </w:r>
      <w:r w:rsidRPr="0007278D">
        <w:rPr>
          <w:rFonts w:eastAsia="Times New Roman"/>
          <w:lang w:eastAsia="es-MX"/>
        </w:rPr>
        <w:t xml:space="preserve"> </w:t>
      </w:r>
      <w:r w:rsidR="006F7EEE" w:rsidRPr="0007278D">
        <w:rPr>
          <w:rFonts w:eastAsia="Times New Roman"/>
          <w:lang w:eastAsia="es-MX"/>
        </w:rPr>
        <w:t>r</w:t>
      </w:r>
      <w:r w:rsidRPr="0007278D">
        <w:rPr>
          <w:rFonts w:eastAsia="Times New Roman"/>
          <w:lang w:eastAsia="es-MX"/>
        </w:rPr>
        <w:t>ecomendaciones: 261, porcentaje: 1.63</w:t>
      </w:r>
      <w:r w:rsidR="006F7EEE" w:rsidRPr="0007278D">
        <w:rPr>
          <w:rFonts w:eastAsia="Times New Roman"/>
          <w:lang w:eastAsia="es-MX"/>
        </w:rPr>
        <w:t xml:space="preserve"> </w:t>
      </w:r>
      <w:r w:rsidRPr="0007278D">
        <w:rPr>
          <w:rFonts w:eastAsia="Times New Roman"/>
          <w:lang w:eastAsia="es-MX"/>
        </w:rPr>
        <w:t xml:space="preserve">%. Recomendación por </w:t>
      </w:r>
      <w:r w:rsidR="006F7EEE" w:rsidRPr="0007278D">
        <w:rPr>
          <w:rFonts w:eastAsia="Times New Roman"/>
          <w:lang w:eastAsia="es-MX"/>
        </w:rPr>
        <w:t>violación grave</w:t>
      </w:r>
      <w:r w:rsidRPr="0007278D">
        <w:rPr>
          <w:rFonts w:eastAsia="Times New Roman"/>
          <w:lang w:eastAsia="es-MX"/>
        </w:rPr>
        <w:t>: 36, porcentaje: 0.23</w:t>
      </w:r>
      <w:r w:rsidR="006F7EEE" w:rsidRPr="0007278D">
        <w:rPr>
          <w:rFonts w:eastAsia="Times New Roman"/>
          <w:lang w:eastAsia="es-MX"/>
        </w:rPr>
        <w:t xml:space="preserve"> </w:t>
      </w:r>
      <w:r w:rsidRPr="0007278D">
        <w:rPr>
          <w:rFonts w:eastAsia="Times New Roman"/>
          <w:lang w:eastAsia="es-MX"/>
        </w:rPr>
        <w:t>%. Aceptadas, con pruebas de cumplimiento total: 32, porcentaje: 10.78</w:t>
      </w:r>
      <w:r w:rsidR="006F7EEE" w:rsidRPr="0007278D">
        <w:rPr>
          <w:rFonts w:eastAsia="Times New Roman"/>
          <w:lang w:eastAsia="es-MX"/>
        </w:rPr>
        <w:t xml:space="preserve"> </w:t>
      </w:r>
      <w:r w:rsidRPr="0007278D">
        <w:rPr>
          <w:rFonts w:eastAsia="Times New Roman"/>
          <w:lang w:eastAsia="es-MX"/>
        </w:rPr>
        <w:t>%.  Porcentaje entre el número total de expedientes y el porcentaje de pruebas de cumplimiento total: 0.21</w:t>
      </w:r>
      <w:r w:rsidR="006F7EEE" w:rsidRPr="0007278D">
        <w:rPr>
          <w:rFonts w:eastAsia="Times New Roman"/>
          <w:lang w:eastAsia="es-MX"/>
        </w:rPr>
        <w:t xml:space="preserve"> </w:t>
      </w:r>
      <w:r w:rsidRPr="0007278D">
        <w:rPr>
          <w:rFonts w:eastAsia="Times New Roman"/>
          <w:lang w:eastAsia="es-MX"/>
        </w:rPr>
        <w:t>%.</w:t>
      </w:r>
      <w:r w:rsidR="007C6C72" w:rsidRPr="0007278D">
        <w:rPr>
          <w:rStyle w:val="Refdenotaalpie"/>
          <w:rFonts w:eastAsia="Times New Roman"/>
          <w:bCs/>
          <w:color w:val="000000" w:themeColor="text1"/>
          <w:lang w:eastAsia="es-MX"/>
        </w:rPr>
        <w:footnoteReference w:id="15"/>
      </w:r>
    </w:p>
    <w:p w14:paraId="43C0CEB2" w14:textId="1746B836" w:rsidR="00D05DCC" w:rsidRPr="0007278D" w:rsidRDefault="00D05DCC" w:rsidP="00324EFC">
      <w:pPr>
        <w:pStyle w:val="parrafonormalbiolex"/>
        <w:rPr>
          <w:rFonts w:eastAsia="Times New Roman"/>
          <w:lang w:eastAsia="es-MX"/>
        </w:rPr>
      </w:pPr>
      <w:r w:rsidRPr="0007278D">
        <w:rPr>
          <w:rFonts w:eastAsia="Times New Roman"/>
          <w:b/>
          <w:lang w:eastAsia="es-MX"/>
        </w:rPr>
        <w:t>Informe de 2023.</w:t>
      </w:r>
      <w:r w:rsidRPr="0007278D">
        <w:rPr>
          <w:rFonts w:eastAsia="Times New Roman"/>
          <w:lang w:eastAsia="es-MX"/>
        </w:rPr>
        <w:t xml:space="preserve"> Número total de expedientes por presuntas violaciones a derechos humanos: 19</w:t>
      </w:r>
      <w:r w:rsidR="006F7EEE" w:rsidRPr="0007278D">
        <w:rPr>
          <w:rFonts w:eastAsia="Times New Roman"/>
          <w:lang w:eastAsia="es-MX"/>
        </w:rPr>
        <w:t xml:space="preserve"> </w:t>
      </w:r>
      <w:r w:rsidRPr="0007278D">
        <w:rPr>
          <w:rFonts w:eastAsia="Times New Roman"/>
          <w:lang w:eastAsia="es-MX"/>
        </w:rPr>
        <w:t>916. Recomendaciones: 294, porcentaje: 1.43</w:t>
      </w:r>
      <w:r w:rsidR="006F7EEE" w:rsidRPr="0007278D">
        <w:rPr>
          <w:rFonts w:eastAsia="Times New Roman"/>
          <w:lang w:eastAsia="es-MX"/>
        </w:rPr>
        <w:t xml:space="preserve"> </w:t>
      </w:r>
      <w:r w:rsidRPr="0007278D">
        <w:rPr>
          <w:rFonts w:eastAsia="Times New Roman"/>
          <w:lang w:eastAsia="es-MX"/>
        </w:rPr>
        <w:t xml:space="preserve">%. Recomendación por </w:t>
      </w:r>
      <w:r w:rsidR="006F7EEE" w:rsidRPr="0007278D">
        <w:rPr>
          <w:rFonts w:eastAsia="Times New Roman"/>
          <w:lang w:eastAsia="es-MX"/>
        </w:rPr>
        <w:t>violación grave</w:t>
      </w:r>
      <w:r w:rsidRPr="0007278D">
        <w:rPr>
          <w:rFonts w:eastAsia="Times New Roman"/>
          <w:lang w:eastAsia="es-MX"/>
        </w:rPr>
        <w:t>: 59, porcentaje: 0.29</w:t>
      </w:r>
      <w:r w:rsidR="006F7EEE" w:rsidRPr="0007278D">
        <w:rPr>
          <w:rFonts w:eastAsia="Times New Roman"/>
          <w:lang w:eastAsia="es-MX"/>
        </w:rPr>
        <w:t xml:space="preserve"> </w:t>
      </w:r>
      <w:r w:rsidRPr="0007278D">
        <w:rPr>
          <w:rFonts w:eastAsia="Times New Roman"/>
          <w:lang w:eastAsia="es-MX"/>
        </w:rPr>
        <w:t>%. Aceptadas, con pruebas de cumplimiento total: 2, porcentaje: 0.57</w:t>
      </w:r>
      <w:r w:rsidR="006F7EEE" w:rsidRPr="0007278D">
        <w:rPr>
          <w:rFonts w:eastAsia="Times New Roman"/>
          <w:lang w:eastAsia="es-MX"/>
        </w:rPr>
        <w:t xml:space="preserve"> %</w:t>
      </w:r>
      <w:r w:rsidRPr="0007278D">
        <w:rPr>
          <w:rFonts w:eastAsia="Times New Roman"/>
          <w:lang w:eastAsia="es-MX"/>
        </w:rPr>
        <w:t>. Porcentaje entre el número total de expedientes y porcentaje de pruebas de cumplimiento total:  0.01</w:t>
      </w:r>
      <w:r w:rsidR="006F7EEE" w:rsidRPr="0007278D">
        <w:rPr>
          <w:rFonts w:eastAsia="Times New Roman"/>
          <w:lang w:eastAsia="es-MX"/>
        </w:rPr>
        <w:t xml:space="preserve"> </w:t>
      </w:r>
      <w:r w:rsidRPr="0007278D">
        <w:rPr>
          <w:rFonts w:eastAsia="Times New Roman"/>
          <w:lang w:eastAsia="es-MX"/>
        </w:rPr>
        <w:t>%.</w:t>
      </w:r>
      <w:r w:rsidR="007C6C72" w:rsidRPr="0007278D">
        <w:rPr>
          <w:rStyle w:val="Refdenotaalpie"/>
          <w:rFonts w:eastAsia="Times New Roman"/>
          <w:bCs/>
          <w:color w:val="000000" w:themeColor="text1"/>
          <w:lang w:eastAsia="es-MX"/>
        </w:rPr>
        <w:footnoteReference w:id="16"/>
      </w:r>
    </w:p>
    <w:p w14:paraId="3032A557" w14:textId="4BD6C4A0" w:rsidR="00D05DCC" w:rsidRPr="0007278D" w:rsidRDefault="00D05DCC" w:rsidP="00324EFC">
      <w:pPr>
        <w:pStyle w:val="parrafonormalbiolex"/>
      </w:pPr>
      <w:r w:rsidRPr="0007278D">
        <w:rPr>
          <w:rFonts w:eastAsia="Times New Roman"/>
          <w:b/>
          <w:lang w:eastAsia="es-MX"/>
        </w:rPr>
        <w:t>Informe de 2024.</w:t>
      </w:r>
      <w:r w:rsidRPr="0007278D">
        <w:rPr>
          <w:rFonts w:eastAsia="Times New Roman"/>
          <w:lang w:eastAsia="es-MX"/>
        </w:rPr>
        <w:t xml:space="preserve"> Número total de expedientes por presuntas violaciones de derechos humanos: 18</w:t>
      </w:r>
      <w:r w:rsidR="006F7EEE" w:rsidRPr="0007278D">
        <w:rPr>
          <w:rFonts w:eastAsia="Times New Roman"/>
          <w:lang w:eastAsia="es-MX"/>
        </w:rPr>
        <w:t xml:space="preserve"> </w:t>
      </w:r>
      <w:r w:rsidRPr="0007278D">
        <w:rPr>
          <w:rFonts w:eastAsia="Times New Roman"/>
          <w:lang w:eastAsia="es-MX"/>
        </w:rPr>
        <w:t>650. Recomendaciones: 265, porcentaje 1.38</w:t>
      </w:r>
      <w:r w:rsidR="006F7EEE" w:rsidRPr="0007278D">
        <w:rPr>
          <w:rFonts w:eastAsia="Times New Roman"/>
          <w:lang w:eastAsia="es-MX"/>
        </w:rPr>
        <w:t xml:space="preserve"> </w:t>
      </w:r>
      <w:r w:rsidRPr="0007278D">
        <w:rPr>
          <w:rFonts w:eastAsia="Times New Roman"/>
          <w:lang w:eastAsia="es-MX"/>
        </w:rPr>
        <w:t xml:space="preserve">%. Recomendaciones por </w:t>
      </w:r>
      <w:r w:rsidR="006F7EEE" w:rsidRPr="0007278D">
        <w:rPr>
          <w:rFonts w:eastAsia="Times New Roman"/>
          <w:lang w:eastAsia="es-MX"/>
        </w:rPr>
        <w:t>violación grave</w:t>
      </w:r>
      <w:r w:rsidRPr="0007278D">
        <w:rPr>
          <w:rFonts w:eastAsia="Times New Roman"/>
          <w:lang w:eastAsia="es-MX"/>
        </w:rPr>
        <w:t>; 30, porcentaje 0.16</w:t>
      </w:r>
      <w:r w:rsidR="006F7EEE" w:rsidRPr="0007278D">
        <w:rPr>
          <w:rFonts w:eastAsia="Times New Roman"/>
          <w:lang w:eastAsia="es-MX"/>
        </w:rPr>
        <w:t xml:space="preserve"> </w:t>
      </w:r>
      <w:r w:rsidRPr="0007278D">
        <w:rPr>
          <w:rFonts w:eastAsia="Times New Roman"/>
          <w:lang w:eastAsia="es-MX"/>
        </w:rPr>
        <w:t>%. Aceptadas, con pruebas de cumplimiento total: 2. Aceptadas en tiempo para presentar pruebas de cumplimiento total: 2</w:t>
      </w:r>
      <w:r w:rsidR="006F7EEE" w:rsidRPr="0007278D">
        <w:rPr>
          <w:rFonts w:eastAsia="Times New Roman"/>
          <w:lang w:eastAsia="es-MX"/>
        </w:rPr>
        <w:t xml:space="preserve"> </w:t>
      </w:r>
      <w:r w:rsidRPr="0007278D">
        <w:rPr>
          <w:rFonts w:eastAsia="Times New Roman"/>
          <w:lang w:eastAsia="es-MX"/>
        </w:rPr>
        <w:t>%. Porcentaje entre el número total de expedientes y el porcentaje de pruebas de cumplimiento total:  0.01</w:t>
      </w:r>
      <w:r w:rsidR="006F7EEE" w:rsidRPr="0007278D">
        <w:rPr>
          <w:rFonts w:eastAsia="Times New Roman"/>
          <w:lang w:eastAsia="es-MX"/>
        </w:rPr>
        <w:t xml:space="preserve"> </w:t>
      </w:r>
      <w:r w:rsidRPr="0007278D">
        <w:rPr>
          <w:rFonts w:eastAsia="Times New Roman"/>
          <w:lang w:eastAsia="es-MX"/>
        </w:rPr>
        <w:t>%</w:t>
      </w:r>
      <w:r w:rsidR="006F7EEE" w:rsidRPr="0007278D">
        <w:rPr>
          <w:rFonts w:eastAsia="Times New Roman"/>
          <w:lang w:eastAsia="es-MX"/>
        </w:rPr>
        <w:t xml:space="preserve"> y</w:t>
      </w:r>
      <w:r w:rsidRPr="0007278D">
        <w:rPr>
          <w:rFonts w:eastAsia="Times New Roman"/>
          <w:lang w:eastAsia="es-MX"/>
        </w:rPr>
        <w:t xml:space="preserve"> </w:t>
      </w:r>
      <w:r w:rsidRPr="0007278D">
        <w:t>98.5</w:t>
      </w:r>
      <w:r w:rsidR="006F7EEE" w:rsidRPr="0007278D">
        <w:t xml:space="preserve"> </w:t>
      </w:r>
      <w:r w:rsidRPr="0007278D">
        <w:t>%</w:t>
      </w:r>
      <w:r w:rsidRPr="0007278D">
        <w:rPr>
          <w:rStyle w:val="Refdenotaalpie"/>
          <w:bCs/>
          <w:color w:val="000000" w:themeColor="text1"/>
        </w:rPr>
        <w:footnoteReference w:id="17"/>
      </w:r>
      <w:r w:rsidRPr="0007278D">
        <w:t>.</w:t>
      </w:r>
    </w:p>
    <w:p w14:paraId="47FB35AE" w14:textId="2EE81511" w:rsidR="003B2375" w:rsidRPr="0007278D" w:rsidRDefault="006F7EEE" w:rsidP="00324EFC">
      <w:pPr>
        <w:pStyle w:val="parrafonormalbiolex"/>
        <w:rPr>
          <w:rFonts w:eastAsia="Times New Roman"/>
          <w:lang w:eastAsia="es-MX"/>
        </w:rPr>
      </w:pPr>
      <w:r w:rsidRPr="0007278D">
        <w:rPr>
          <w:rFonts w:eastAsia="Times New Roman"/>
          <w:lang w:eastAsia="es-MX"/>
        </w:rPr>
        <w:t>La CNDH anota que</w:t>
      </w:r>
      <w:r w:rsidR="00D05DCC" w:rsidRPr="0007278D">
        <w:rPr>
          <w:rFonts w:eastAsia="Times New Roman"/>
          <w:lang w:eastAsia="es-MX"/>
        </w:rPr>
        <w:t xml:space="preserve"> </w:t>
      </w:r>
      <w:r w:rsidRPr="0007278D">
        <w:rPr>
          <w:rFonts w:eastAsia="Times New Roman"/>
          <w:lang w:eastAsia="es-MX"/>
        </w:rPr>
        <w:t>e</w:t>
      </w:r>
      <w:r w:rsidR="00D05DCC" w:rsidRPr="0007278D">
        <w:rPr>
          <w:rFonts w:eastAsia="Times New Roman"/>
          <w:lang w:eastAsia="es-MX"/>
        </w:rPr>
        <w:t>l número total de hechos violatorios señalados no necesariamente coincide con el número total de expedientes de presuntas violaciones a derechos humanos, toda vez que un mismo expediente puede integrar uno o más hechos presuntamente violatorios.</w:t>
      </w:r>
    </w:p>
    <w:p w14:paraId="47265CF8" w14:textId="60C07959" w:rsidR="001F77A9" w:rsidRPr="0007278D" w:rsidRDefault="001F77A9" w:rsidP="00324EFC">
      <w:pPr>
        <w:pStyle w:val="parrafonormalbiolex"/>
      </w:pPr>
      <w:r w:rsidRPr="0007278D">
        <w:t xml:space="preserve">Debido </w:t>
      </w:r>
      <w:r w:rsidR="0007278D">
        <w:t xml:space="preserve">a </w:t>
      </w:r>
      <w:r w:rsidRPr="0007278D">
        <w:rPr>
          <w:rFonts w:eastAsia="Times New Roman"/>
          <w:lang w:eastAsia="es-MX"/>
        </w:rPr>
        <w:t>resultados</w:t>
      </w:r>
      <w:r w:rsidR="007C6C72" w:rsidRPr="0007278D">
        <w:rPr>
          <w:rFonts w:eastAsia="Times New Roman"/>
          <w:lang w:eastAsia="es-MX"/>
        </w:rPr>
        <w:t xml:space="preserve"> prácticamente nulos</w:t>
      </w:r>
      <w:r w:rsidRPr="0007278D">
        <w:rPr>
          <w:rFonts w:eastAsia="Times New Roman"/>
          <w:lang w:eastAsia="es-MX"/>
        </w:rPr>
        <w:t xml:space="preserve">, diversos estudiosos del tema han señalado que </w:t>
      </w:r>
      <w:r w:rsidR="00E42A2A" w:rsidRPr="0007278D">
        <w:rPr>
          <w:rFonts w:eastAsia="Times New Roman"/>
          <w:lang w:eastAsia="es-MX"/>
        </w:rPr>
        <w:t xml:space="preserve">la CNDH </w:t>
      </w:r>
      <w:r w:rsidR="007C6C72" w:rsidRPr="0007278D">
        <w:rPr>
          <w:rFonts w:eastAsia="Times New Roman"/>
          <w:lang w:eastAsia="es-MX"/>
        </w:rPr>
        <w:t>se trata de un</w:t>
      </w:r>
      <w:r w:rsidRPr="0007278D">
        <w:rPr>
          <w:rFonts w:eastAsia="Times New Roman"/>
          <w:lang w:eastAsia="es-MX"/>
        </w:rPr>
        <w:t xml:space="preserve"> organismo ineficaz </w:t>
      </w:r>
      <w:r w:rsidR="00E42A2A" w:rsidRPr="0007278D">
        <w:rPr>
          <w:rFonts w:eastAsia="Times New Roman"/>
          <w:lang w:eastAsia="es-MX"/>
        </w:rPr>
        <w:t>para garantizar</w:t>
      </w:r>
      <w:r w:rsidR="0052253F" w:rsidRPr="0007278D">
        <w:rPr>
          <w:rFonts w:eastAsia="Times New Roman"/>
          <w:lang w:eastAsia="es-MX"/>
        </w:rPr>
        <w:t xml:space="preserve"> </w:t>
      </w:r>
      <w:r w:rsidRPr="0007278D">
        <w:rPr>
          <w:rFonts w:eastAsia="Times New Roman"/>
          <w:lang w:eastAsia="es-MX"/>
        </w:rPr>
        <w:t xml:space="preserve">los derechos humanos. </w:t>
      </w:r>
      <w:r w:rsidR="00CB691E" w:rsidRPr="0007278D">
        <w:rPr>
          <w:rFonts w:eastAsia="Times New Roman"/>
          <w:lang w:eastAsia="es-MX"/>
        </w:rPr>
        <w:t xml:space="preserve">Al respecto, </w:t>
      </w:r>
      <w:r w:rsidRPr="0007278D">
        <w:t xml:space="preserve">el </w:t>
      </w:r>
      <w:r w:rsidRPr="0007278D">
        <w:lastRenderedPageBreak/>
        <w:t>jurista</w:t>
      </w:r>
      <w:r w:rsidR="00CC6A71" w:rsidRPr="0007278D">
        <w:rPr>
          <w:rStyle w:val="bold"/>
          <w:bCs/>
          <w:color w:val="000000" w:themeColor="text1"/>
        </w:rPr>
        <w:t xml:space="preserve"> Carpizo</w:t>
      </w:r>
      <w:r w:rsidR="00CC6A71" w:rsidRPr="0007278D">
        <w:rPr>
          <w:rStyle w:val="Refdenotaalpie"/>
          <w:bCs/>
          <w:color w:val="000000" w:themeColor="text1"/>
        </w:rPr>
        <w:footnoteReference w:id="18"/>
      </w:r>
      <w:r w:rsidRPr="0007278D">
        <w:t xml:space="preserve"> dice que </w:t>
      </w:r>
      <w:r w:rsidR="00E42A2A" w:rsidRPr="0007278D">
        <w:t>la</w:t>
      </w:r>
      <w:r w:rsidR="00E42A2A" w:rsidRPr="0007278D">
        <w:rPr>
          <w:rFonts w:eastAsia="Times New Roman"/>
          <w:lang w:eastAsia="es-MX"/>
        </w:rPr>
        <w:t xml:space="preserve"> </w:t>
      </w:r>
      <w:r w:rsidRPr="0007278D">
        <w:rPr>
          <w:rFonts w:eastAsia="Times New Roman"/>
          <w:lang w:eastAsia="es-MX"/>
        </w:rPr>
        <w:t xml:space="preserve">ineficacia de la </w:t>
      </w:r>
      <w:r w:rsidR="00E42A2A" w:rsidRPr="0007278D">
        <w:rPr>
          <w:rFonts w:eastAsia="Times New Roman"/>
          <w:lang w:eastAsia="es-MX"/>
        </w:rPr>
        <w:t xml:space="preserve">institución </w:t>
      </w:r>
      <w:r w:rsidRPr="0007278D">
        <w:rPr>
          <w:rFonts w:eastAsia="Times New Roman"/>
          <w:lang w:eastAsia="es-MX"/>
        </w:rPr>
        <w:t xml:space="preserve">se debe a las siguientes razones: </w:t>
      </w:r>
      <w:r w:rsidRPr="0007278D">
        <w:rPr>
          <w:shd w:val="clear" w:color="auto" w:fill="FFFFFF"/>
        </w:rPr>
        <w:t xml:space="preserve">la estructura argumentativa de la </w:t>
      </w:r>
      <w:r w:rsidR="00AE129F" w:rsidRPr="0007278D">
        <w:rPr>
          <w:shd w:val="clear" w:color="auto" w:fill="FFFFFF"/>
        </w:rPr>
        <w:t>r</w:t>
      </w:r>
      <w:r w:rsidRPr="0007278D">
        <w:rPr>
          <w:shd w:val="clear" w:color="auto" w:fill="FFFFFF"/>
        </w:rPr>
        <w:t>ecomendación carece de una sólida base jurídica o de plano carece de ella, por lo que la autoridad responsable encuentra razones para no aceptarla; por el nulo seguimiento en el cumplimiento de las pocas recomendaciones que emite;</w:t>
      </w:r>
      <w:r w:rsidR="00E42A2A" w:rsidRPr="0007278D">
        <w:rPr>
          <w:shd w:val="clear" w:color="auto" w:fill="FFFFFF"/>
        </w:rPr>
        <w:t xml:space="preserve"> y</w:t>
      </w:r>
      <w:r w:rsidRPr="0007278D">
        <w:rPr>
          <w:shd w:val="clear" w:color="auto" w:fill="FFFFFF"/>
        </w:rPr>
        <w:t xml:space="preserve"> </w:t>
      </w:r>
      <w:r w:rsidR="00E51C84" w:rsidRPr="0007278D">
        <w:rPr>
          <w:shd w:val="clear" w:color="auto" w:fill="FFFFFF"/>
        </w:rPr>
        <w:t xml:space="preserve">por la </w:t>
      </w:r>
      <w:r w:rsidRPr="0007278D">
        <w:rPr>
          <w:rFonts w:eastAsia="Times New Roman"/>
          <w:lang w:eastAsia="es-MX"/>
        </w:rPr>
        <w:t xml:space="preserve">escasa legitimidad </w:t>
      </w:r>
      <w:r w:rsidRPr="0007278D">
        <w:t>ante la sociedad por la impunidad en que deja a los servidores públicos que violan los derechos humanos.</w:t>
      </w:r>
    </w:p>
    <w:p w14:paraId="25C97C86" w14:textId="304E63F6" w:rsidR="001F77A9" w:rsidRPr="0007278D" w:rsidRDefault="001F77A9" w:rsidP="00324EFC">
      <w:pPr>
        <w:pStyle w:val="parrafonormalbiolex"/>
        <w:rPr>
          <w:rFonts w:eastAsia="Times New Roman"/>
          <w:lang w:eastAsia="es-MX"/>
        </w:rPr>
      </w:pPr>
      <w:r w:rsidRPr="0007278D">
        <w:rPr>
          <w:rFonts w:eastAsia="Times New Roman"/>
          <w:lang w:eastAsia="es-MX"/>
        </w:rPr>
        <w:t>En opinión de</w:t>
      </w:r>
      <w:r w:rsidR="00CC6A71" w:rsidRPr="0007278D">
        <w:rPr>
          <w:rFonts w:eastAsia="Times New Roman"/>
          <w:lang w:eastAsia="es-MX"/>
        </w:rPr>
        <w:t xml:space="preserve"> </w:t>
      </w:r>
      <w:r w:rsidR="00CC6A71" w:rsidRPr="0007278D">
        <w:rPr>
          <w:rStyle w:val="bold"/>
          <w:bCs/>
          <w:color w:val="000000" w:themeColor="text1"/>
        </w:rPr>
        <w:t>Báez</w:t>
      </w:r>
      <w:r w:rsidR="00E42A2A" w:rsidRPr="0007278D">
        <w:rPr>
          <w:rStyle w:val="bold"/>
          <w:bCs/>
          <w:color w:val="000000" w:themeColor="text1"/>
        </w:rPr>
        <w:t>,</w:t>
      </w:r>
      <w:r w:rsidR="00CC6A71" w:rsidRPr="0007278D">
        <w:rPr>
          <w:rStyle w:val="Refdenotaalpie"/>
          <w:bCs/>
          <w:color w:val="000000" w:themeColor="text1"/>
        </w:rPr>
        <w:footnoteReference w:id="19"/>
      </w:r>
      <w:r w:rsidRPr="0007278D">
        <w:rPr>
          <w:rFonts w:eastAsia="Times New Roman"/>
          <w:lang w:eastAsia="es-MX"/>
        </w:rPr>
        <w:t xml:space="preserve"> </w:t>
      </w:r>
      <w:r w:rsidRPr="0007278D">
        <w:t>el bajo porcentaje de recomendaciones es prueba empírica de que la CNDH tiene cuantitativamente escasa eficacia. Las causas se deben a lo siguiente: las recomendaciones s</w:t>
      </w:r>
      <w:r w:rsidR="00E42A2A" w:rsidRPr="0007278D">
        <w:t>o</w:t>
      </w:r>
      <w:r w:rsidRPr="0007278D">
        <w:t>lo tienen un carácter axiológico;</w:t>
      </w:r>
      <w:r w:rsidR="00E42A2A" w:rsidRPr="0007278D">
        <w:t xml:space="preserve"> la</w:t>
      </w:r>
      <w:r w:rsidRPr="0007278D">
        <w:t xml:space="preserve"> deficiente fundamentación de sus resoluciones; exigua publicidad; su casi nula reputación ante la sociedad; </w:t>
      </w:r>
      <w:r w:rsidR="00E42A2A" w:rsidRPr="0007278D">
        <w:t xml:space="preserve">y </w:t>
      </w:r>
      <w:r w:rsidRPr="0007278D">
        <w:rPr>
          <w:rFonts w:eastAsia="Times New Roman"/>
          <w:lang w:eastAsia="es-MX"/>
        </w:rPr>
        <w:t xml:space="preserve">la distancia que existe entre la formalidad jurídica y la realidad de su cumplimiento. </w:t>
      </w:r>
    </w:p>
    <w:p w14:paraId="4CA106B4" w14:textId="1376E045" w:rsidR="00C12892" w:rsidRPr="0007278D" w:rsidRDefault="001F77A9" w:rsidP="00324EFC">
      <w:pPr>
        <w:pStyle w:val="parrafonormalbiolex"/>
        <w:rPr>
          <w:shd w:val="clear" w:color="auto" w:fill="FFFFFF"/>
        </w:rPr>
      </w:pPr>
      <w:r w:rsidRPr="0007278D">
        <w:t>Ante este problema</w:t>
      </w:r>
      <w:r w:rsidR="0052253F" w:rsidRPr="0007278D">
        <w:t xml:space="preserve"> de ineficacia</w:t>
      </w:r>
      <w:r w:rsidRPr="0007278D">
        <w:t>, en el informe de actividades 2023</w:t>
      </w:r>
      <w:r w:rsidR="00E42A2A" w:rsidRPr="0007278D">
        <w:t>,</w:t>
      </w:r>
      <w:r w:rsidRPr="0007278D">
        <w:t xml:space="preserve"> la </w:t>
      </w:r>
      <w:r w:rsidR="00E42A2A" w:rsidRPr="0007278D">
        <w:t>p</w:t>
      </w:r>
      <w:r w:rsidRPr="0007278D">
        <w:t xml:space="preserve">residenta de este organismo anunció </w:t>
      </w:r>
      <w:r w:rsidR="000236A4" w:rsidRPr="0007278D">
        <w:t>que el actual modelo de la CNDH ya no responde a las necesidades del pueblo de México</w:t>
      </w:r>
      <w:r w:rsidR="00E42A2A" w:rsidRPr="0007278D">
        <w:t>,</w:t>
      </w:r>
      <w:r w:rsidR="000236A4" w:rsidRPr="0007278D">
        <w:rPr>
          <w:rStyle w:val="Refdenotaalpie"/>
          <w:bCs/>
          <w:color w:val="000000" w:themeColor="text1"/>
        </w:rPr>
        <w:footnoteReference w:id="20"/>
      </w:r>
      <w:r w:rsidR="000236A4" w:rsidRPr="0007278D">
        <w:rPr>
          <w:shd w:val="clear" w:color="auto" w:fill="FFFFFF"/>
        </w:rPr>
        <w:t xml:space="preserve"> por lo </w:t>
      </w:r>
      <w:r w:rsidRPr="0007278D">
        <w:t xml:space="preserve">que va a impulsar una </w:t>
      </w:r>
      <w:r w:rsidR="00E42A2A" w:rsidRPr="0007278D">
        <w:t xml:space="preserve">defensoría nacional de los derechos del pueblo </w:t>
      </w:r>
      <w:r w:rsidRPr="0007278D">
        <w:t>que realmente sirva a las víctimas.</w:t>
      </w:r>
      <w:r w:rsidRPr="0007278D">
        <w:rPr>
          <w:shd w:val="clear" w:color="auto" w:fill="FFFFFF"/>
        </w:rPr>
        <w:t xml:space="preserve"> Si bien es explícita al reconocer que </w:t>
      </w:r>
      <w:r w:rsidR="0045301C" w:rsidRPr="0007278D">
        <w:rPr>
          <w:shd w:val="clear" w:color="auto" w:fill="FFFFFF"/>
        </w:rPr>
        <w:t>se trata de un</w:t>
      </w:r>
      <w:r w:rsidRPr="0007278D">
        <w:rPr>
          <w:shd w:val="clear" w:color="auto" w:fill="FFFFFF"/>
        </w:rPr>
        <w:t xml:space="preserve"> organismo ineficaz </w:t>
      </w:r>
      <w:r w:rsidRPr="0007278D">
        <w:t>en la protección de los derechos humanos</w:t>
      </w:r>
      <w:r w:rsidRPr="0007278D">
        <w:rPr>
          <w:shd w:val="clear" w:color="auto" w:fill="FFFFFF"/>
        </w:rPr>
        <w:t xml:space="preserve">, no va más allá para identificar y resolver </w:t>
      </w:r>
      <w:r w:rsidR="00615FFF" w:rsidRPr="0007278D">
        <w:rPr>
          <w:shd w:val="clear" w:color="auto" w:fill="FFFFFF"/>
        </w:rPr>
        <w:t>las causas d</w:t>
      </w:r>
      <w:r w:rsidRPr="0007278D">
        <w:rPr>
          <w:shd w:val="clear" w:color="auto" w:fill="FFFFFF"/>
        </w:rPr>
        <w:t>el problema, por lo cual, mientras continúe existiendo o aun cuando sea sustituid</w:t>
      </w:r>
      <w:r w:rsidR="0052253F" w:rsidRPr="0007278D">
        <w:rPr>
          <w:shd w:val="clear" w:color="auto" w:fill="FFFFFF"/>
        </w:rPr>
        <w:t>o</w:t>
      </w:r>
      <w:r w:rsidRPr="0007278D">
        <w:rPr>
          <w:shd w:val="clear" w:color="auto" w:fill="FFFFFF"/>
        </w:rPr>
        <w:t xml:space="preserve"> por otro </w:t>
      </w:r>
      <w:r w:rsidR="006D3876" w:rsidRPr="0007278D">
        <w:rPr>
          <w:shd w:val="clear" w:color="auto" w:fill="FFFFFF"/>
        </w:rPr>
        <w:t>semejante</w:t>
      </w:r>
      <w:r w:rsidRPr="0007278D">
        <w:rPr>
          <w:shd w:val="clear" w:color="auto" w:fill="FFFFFF"/>
        </w:rPr>
        <w:t xml:space="preserve">, es necesario conocer las causas </w:t>
      </w:r>
      <w:r w:rsidR="00C12892" w:rsidRPr="0007278D">
        <w:rPr>
          <w:shd w:val="clear" w:color="auto" w:fill="FFFFFF"/>
        </w:rPr>
        <w:t>que originan este</w:t>
      </w:r>
      <w:r w:rsidRPr="0007278D">
        <w:rPr>
          <w:shd w:val="clear" w:color="auto" w:fill="FFFFFF"/>
        </w:rPr>
        <w:t xml:space="preserve"> problema </w:t>
      </w:r>
      <w:r w:rsidR="009A20E9" w:rsidRPr="0007278D">
        <w:rPr>
          <w:shd w:val="clear" w:color="auto" w:fill="FFFFFF"/>
        </w:rPr>
        <w:t xml:space="preserve">de ineficacia </w:t>
      </w:r>
      <w:r w:rsidRPr="0007278D">
        <w:rPr>
          <w:shd w:val="clear" w:color="auto" w:fill="FFFFFF"/>
        </w:rPr>
        <w:t xml:space="preserve">para </w:t>
      </w:r>
      <w:r w:rsidR="00901767" w:rsidRPr="0007278D">
        <w:rPr>
          <w:shd w:val="clear" w:color="auto" w:fill="FFFFFF"/>
        </w:rPr>
        <w:t xml:space="preserve">poder contribuir a </w:t>
      </w:r>
      <w:r w:rsidR="00C12892" w:rsidRPr="0007278D">
        <w:rPr>
          <w:shd w:val="clear" w:color="auto" w:fill="FFFFFF"/>
        </w:rPr>
        <w:t>su</w:t>
      </w:r>
      <w:r w:rsidR="00324EFC">
        <w:rPr>
          <w:shd w:val="clear" w:color="auto" w:fill="FFFFFF"/>
        </w:rPr>
        <w:t> </w:t>
      </w:r>
      <w:r w:rsidR="00901767" w:rsidRPr="0007278D">
        <w:rPr>
          <w:shd w:val="clear" w:color="auto" w:fill="FFFFFF"/>
        </w:rPr>
        <w:t>solución</w:t>
      </w:r>
      <w:r w:rsidR="00C12892" w:rsidRPr="0007278D">
        <w:rPr>
          <w:shd w:val="clear" w:color="auto" w:fill="FFFFFF"/>
        </w:rPr>
        <w:t>.</w:t>
      </w:r>
    </w:p>
    <w:p w14:paraId="528D2A7A" w14:textId="70BD0236" w:rsidR="001B725A" w:rsidRPr="0007278D" w:rsidRDefault="001F77A9" w:rsidP="00324EFC">
      <w:pPr>
        <w:pStyle w:val="parrafonormalbiolex"/>
      </w:pPr>
      <w:r w:rsidRPr="0007278D">
        <w:t xml:space="preserve">Desde la perspectiva del presente </w:t>
      </w:r>
      <w:r w:rsidR="0012798C" w:rsidRPr="0007278D">
        <w:t>análisis</w:t>
      </w:r>
      <w:r w:rsidR="009A20E9" w:rsidRPr="0007278D">
        <w:t xml:space="preserve">, una de las principales causas </w:t>
      </w:r>
      <w:r w:rsidR="00901767" w:rsidRPr="0007278D">
        <w:t xml:space="preserve">de este problema </w:t>
      </w:r>
      <w:r w:rsidRPr="0007278D">
        <w:t xml:space="preserve">tiene su origen en la </w:t>
      </w:r>
      <w:r w:rsidR="00326BAC" w:rsidRPr="0007278D">
        <w:t>L</w:t>
      </w:r>
      <w:r w:rsidRPr="0007278D">
        <w:t>ey de la CNDH</w:t>
      </w:r>
      <w:r w:rsidR="00071416" w:rsidRPr="0007278D">
        <w:t xml:space="preserve">, la cual </w:t>
      </w:r>
      <w:r w:rsidR="009A20E9" w:rsidRPr="0007278D">
        <w:t xml:space="preserve">contiene un procedimiento que </w:t>
      </w:r>
      <w:r w:rsidRPr="0007278D">
        <w:t xml:space="preserve">confiere facultades discrecionales a sus </w:t>
      </w:r>
      <w:r w:rsidR="009F2B85" w:rsidRPr="0007278D">
        <w:t xml:space="preserve">servidores públicos </w:t>
      </w:r>
      <w:r w:rsidRPr="0007278D">
        <w:t>para que puedan dirigir y resolver los expedientes de queja</w:t>
      </w:r>
      <w:r w:rsidR="00A76849" w:rsidRPr="0007278D">
        <w:t xml:space="preserve"> a su criterio. </w:t>
      </w:r>
      <w:r w:rsidRPr="0007278D">
        <w:t xml:space="preserve"> </w:t>
      </w:r>
    </w:p>
    <w:p w14:paraId="2B6018A3" w14:textId="63C0832E" w:rsidR="009317FC" w:rsidRPr="00324EFC" w:rsidRDefault="00324EFC" w:rsidP="00324EFC">
      <w:pPr>
        <w:pStyle w:val="Nivel1BIOL"/>
        <w:rPr>
          <w:lang w:val="es-MX"/>
        </w:rPr>
      </w:pPr>
      <w:r w:rsidRPr="00324EFC">
        <w:rPr>
          <w:lang w:val="es-MX"/>
        </w:rPr>
        <w:t>III. PROCEDIMIENTO NO JURISDICCIONAL DE LA CNDH</w:t>
      </w:r>
    </w:p>
    <w:p w14:paraId="5F0E8FF3" w14:textId="5F013D2C" w:rsidR="000C1F11" w:rsidRPr="0007278D" w:rsidRDefault="009317FC" w:rsidP="00324EFC">
      <w:pPr>
        <w:pStyle w:val="parrafonormalbiolex"/>
      </w:pPr>
      <w:bookmarkStart w:id="4" w:name="_Hlk165432835"/>
      <w:r w:rsidRPr="0007278D">
        <w:rPr>
          <w:rFonts w:eastAsia="Times New Roman"/>
          <w:lang w:eastAsia="es-MX"/>
        </w:rPr>
        <w:t>El procedimiento para l</w:t>
      </w:r>
      <w:r w:rsidRPr="0007278D">
        <w:t xml:space="preserve">a tutela no jurisdiccional de los derechos humanos </w:t>
      </w:r>
      <w:r w:rsidRPr="0007278D">
        <w:rPr>
          <w:rFonts w:eastAsia="Times New Roman"/>
          <w:lang w:eastAsia="es-MX"/>
        </w:rPr>
        <w:t xml:space="preserve">tiene características sustantivas </w:t>
      </w:r>
      <w:r w:rsidR="00326BAC" w:rsidRPr="0007278D">
        <w:rPr>
          <w:rFonts w:eastAsia="Times New Roman"/>
          <w:lang w:eastAsia="es-MX"/>
        </w:rPr>
        <w:t xml:space="preserve">y </w:t>
      </w:r>
      <w:r w:rsidRPr="0007278D">
        <w:rPr>
          <w:rFonts w:eastAsia="Times New Roman"/>
          <w:lang w:eastAsia="es-MX"/>
        </w:rPr>
        <w:t xml:space="preserve">procesales muy particulares, como lo indica </w:t>
      </w:r>
      <w:r w:rsidRPr="0007278D">
        <w:t>el artículo 4 de la Ley de la CNDH. Este precepto establece que los procesos de investigación, sanción y reparación por la violación de derechos humanos deberán ser breves y sencillos, y s</w:t>
      </w:r>
      <w:r w:rsidR="00326BAC" w:rsidRPr="0007278D">
        <w:t>o</w:t>
      </w:r>
      <w:r w:rsidRPr="0007278D">
        <w:t>lo estarán sujetos a formalidades esenciales que requiera la documentación de los expedientes respectivos</w:t>
      </w:r>
      <w:r w:rsidR="00326BAC" w:rsidRPr="0007278D">
        <w:t>.</w:t>
      </w:r>
      <w:r w:rsidRPr="0007278D">
        <w:t xml:space="preserve"> </w:t>
      </w:r>
      <w:r w:rsidR="00326BAC" w:rsidRPr="0007278D">
        <w:t>A</w:t>
      </w:r>
      <w:r w:rsidR="000236A4" w:rsidRPr="0007278D">
        <w:t>demás</w:t>
      </w:r>
      <w:r w:rsidR="00326BAC" w:rsidRPr="0007278D">
        <w:t>,</w:t>
      </w:r>
      <w:r w:rsidR="000236A4" w:rsidRPr="0007278D">
        <w:t xml:space="preserve"> </w:t>
      </w:r>
      <w:r w:rsidRPr="0007278D">
        <w:t>seguirán</w:t>
      </w:r>
      <w:r w:rsidR="000236A4" w:rsidRPr="0007278D">
        <w:t xml:space="preserve"> </w:t>
      </w:r>
      <w:r w:rsidRPr="0007278D">
        <w:t>los principios de inmediatez, concentración y rapidez.</w:t>
      </w:r>
    </w:p>
    <w:p w14:paraId="0CCBC27B" w14:textId="5CFB14AC" w:rsidR="00A33F37" w:rsidRPr="0007278D" w:rsidRDefault="00AE6DE4" w:rsidP="00324EFC">
      <w:pPr>
        <w:pStyle w:val="parrafonormalbiolex"/>
      </w:pPr>
      <w:r w:rsidRPr="0007278D">
        <w:lastRenderedPageBreak/>
        <w:t xml:space="preserve">Sin embargo, la </w:t>
      </w:r>
      <w:r w:rsidR="00326BAC" w:rsidRPr="0007278D">
        <w:t>l</w:t>
      </w:r>
      <w:r w:rsidRPr="0007278D">
        <w:t xml:space="preserve">ey y el </w:t>
      </w:r>
      <w:r w:rsidR="00952FA3" w:rsidRPr="0007278D">
        <w:t>R</w:t>
      </w:r>
      <w:r w:rsidRPr="0007278D">
        <w:t xml:space="preserve">eglamento de la CNDH no </w:t>
      </w:r>
      <w:r w:rsidR="00DC3C65" w:rsidRPr="0007278D">
        <w:t>delimit</w:t>
      </w:r>
      <w:r w:rsidRPr="0007278D">
        <w:t>a</w:t>
      </w:r>
      <w:r w:rsidR="00326BAC" w:rsidRPr="0007278D">
        <w:t>n</w:t>
      </w:r>
      <w:r w:rsidR="00DC3C65" w:rsidRPr="0007278D">
        <w:t xml:space="preserve"> de forma clara el alcance de la discrecionalidad que pued</w:t>
      </w:r>
      <w:r w:rsidRPr="0007278D">
        <w:t>a</w:t>
      </w:r>
      <w:r w:rsidR="00DC3C65" w:rsidRPr="0007278D">
        <w:t xml:space="preserve"> ejercer la autoridad, así como no define</w:t>
      </w:r>
      <w:r w:rsidR="00326BAC" w:rsidRPr="0007278D">
        <w:t>n</w:t>
      </w:r>
      <w:r w:rsidR="00DC3C65" w:rsidRPr="0007278D">
        <w:t xml:space="preserve"> las circunstancias en las que puede ser ejercida, lo cual vulnera la garantía procesal de la previsibilidad de la norma. </w:t>
      </w:r>
    </w:p>
    <w:p w14:paraId="68412E1C" w14:textId="7F2CB14B" w:rsidR="00DC3C65" w:rsidRPr="0007278D" w:rsidRDefault="00DC3C65" w:rsidP="00324EFC">
      <w:pPr>
        <w:pStyle w:val="parrafonormalbiolex"/>
      </w:pPr>
      <w:r w:rsidRPr="0007278D">
        <w:t>La previsibilidad de la norma tiene el propósito de establecer las garantías idóneas para evitar abusos, lo que permite examinar las consecuencias y los resultados de su interpretación y ejecución en el asunto concreto</w:t>
      </w:r>
      <w:r w:rsidR="00E32FD2" w:rsidRPr="0007278D">
        <w:t>.</w:t>
      </w:r>
      <w:r w:rsidRPr="0007278D">
        <w:t xml:space="preserve"> </w:t>
      </w:r>
      <w:r w:rsidR="00E32FD2" w:rsidRPr="0007278D">
        <w:t>E</w:t>
      </w:r>
      <w:r w:rsidRPr="0007278D">
        <w:t>n caso contrario</w:t>
      </w:r>
      <w:r w:rsidR="00326BAC" w:rsidRPr="0007278D">
        <w:t>,</w:t>
      </w:r>
      <w:r w:rsidRPr="0007278D">
        <w:t xml:space="preserve"> la imprevisibilidad </w:t>
      </w:r>
      <w:r w:rsidR="00E32FD2" w:rsidRPr="0007278D">
        <w:t xml:space="preserve">de la norma </w:t>
      </w:r>
      <w:r w:rsidRPr="0007278D">
        <w:rPr>
          <w:shd w:val="clear" w:color="auto" w:fill="FFFFFF"/>
        </w:rPr>
        <w:t>puede lesionar valores jurídicos fundamentales como los de justicia y seguridad jurídica en su aplicación</w:t>
      </w:r>
      <w:r w:rsidR="00326BAC" w:rsidRPr="0007278D">
        <w:rPr>
          <w:shd w:val="clear" w:color="auto" w:fill="FFFFFF"/>
        </w:rPr>
        <w:t>.</w:t>
      </w:r>
      <w:r w:rsidRPr="0007278D">
        <w:rPr>
          <w:rStyle w:val="Refdenotaalpie"/>
          <w:bCs/>
          <w:color w:val="000000" w:themeColor="text1"/>
          <w:shd w:val="clear" w:color="auto" w:fill="FFFFFF"/>
        </w:rPr>
        <w:footnoteReference w:id="21"/>
      </w:r>
      <w:r w:rsidRPr="0007278D">
        <w:rPr>
          <w:shd w:val="clear" w:color="auto" w:fill="FFFFFF"/>
        </w:rPr>
        <w:t xml:space="preserve"> </w:t>
      </w:r>
      <w:r w:rsidRPr="0007278D">
        <w:t>La Corte IDH señala que una norma puede conceder a la autoridad algún tipo de indeterminación, siempre que se indique con suficiente claridad el alcance de la discrecionalidad y la forma en que se debe ejercer, para evitar una interferencia arbitraria</w:t>
      </w:r>
      <w:r w:rsidR="00326BAC" w:rsidRPr="0007278D">
        <w:t>.</w:t>
      </w:r>
      <w:r w:rsidRPr="0007278D">
        <w:rPr>
          <w:rStyle w:val="Refdenotaalpie"/>
          <w:bCs/>
          <w:color w:val="000000" w:themeColor="text1"/>
        </w:rPr>
        <w:footnoteReference w:id="22"/>
      </w:r>
    </w:p>
    <w:bookmarkEnd w:id="4"/>
    <w:p w14:paraId="09C3D0CF" w14:textId="774B17F6" w:rsidR="00A21B54" w:rsidRPr="0007278D" w:rsidRDefault="007F0872" w:rsidP="00324EFC">
      <w:pPr>
        <w:pStyle w:val="parrafonormalbiolex"/>
      </w:pPr>
      <w:r w:rsidRPr="0007278D">
        <w:t xml:space="preserve">Por otro lado, </w:t>
      </w:r>
      <w:r w:rsidR="00A33F37" w:rsidRPr="0007278D">
        <w:t xml:space="preserve">tanto la ley como el </w:t>
      </w:r>
      <w:r w:rsidR="00952FA3" w:rsidRPr="0007278D">
        <w:t>R</w:t>
      </w:r>
      <w:r w:rsidR="00A33F37" w:rsidRPr="0007278D">
        <w:t xml:space="preserve">eglamento de la CNDH </w:t>
      </w:r>
      <w:r w:rsidR="00E32FD2" w:rsidRPr="0007278D">
        <w:t>trata</w:t>
      </w:r>
      <w:r w:rsidR="006C2383" w:rsidRPr="0007278D">
        <w:t>n</w:t>
      </w:r>
      <w:r w:rsidR="00E32FD2" w:rsidRPr="0007278D">
        <w:t xml:space="preserve"> al </w:t>
      </w:r>
      <w:r w:rsidRPr="0007278D">
        <w:t>quejoso como objeto del proce</w:t>
      </w:r>
      <w:r w:rsidR="00202F47" w:rsidRPr="0007278D">
        <w:t>dimiento</w:t>
      </w:r>
      <w:r w:rsidRPr="0007278D">
        <w:t xml:space="preserve"> y no como sujeto del </w:t>
      </w:r>
      <w:r w:rsidR="00326BAC" w:rsidRPr="0007278D">
        <w:t>mismo</w:t>
      </w:r>
      <w:r w:rsidR="00AE6DE4" w:rsidRPr="0007278D">
        <w:t>,</w:t>
      </w:r>
      <w:r w:rsidR="008D0712" w:rsidRPr="0007278D">
        <w:t xml:space="preserve"> </w:t>
      </w:r>
      <w:r w:rsidR="00AE6DE4" w:rsidRPr="0007278D">
        <w:t xml:space="preserve">sin </w:t>
      </w:r>
      <w:r w:rsidR="00A21B54" w:rsidRPr="0007278D">
        <w:t>prev</w:t>
      </w:r>
      <w:r w:rsidR="00AE6DE4" w:rsidRPr="0007278D">
        <w:t>er</w:t>
      </w:r>
      <w:r w:rsidR="00A21B54" w:rsidRPr="0007278D">
        <w:t xml:space="preserve"> derechos para </w:t>
      </w:r>
      <w:r w:rsidR="008D0712" w:rsidRPr="0007278D">
        <w:t xml:space="preserve">ser parte activa en </w:t>
      </w:r>
      <w:r w:rsidR="00A21B54" w:rsidRPr="0007278D">
        <w:t xml:space="preserve">la defensa de su interés de conocer la verdad sobre la violación o no de sus derechos humanos y de su derecho a la reparación del daño material y de su dignidad. </w:t>
      </w:r>
    </w:p>
    <w:p w14:paraId="14FC4944" w14:textId="16E3283D" w:rsidR="009317FC" w:rsidRPr="0007278D" w:rsidRDefault="009317FC" w:rsidP="00324EFC">
      <w:pPr>
        <w:pStyle w:val="parrafonormalbiolex"/>
      </w:pPr>
      <w:r w:rsidRPr="0007278D">
        <w:t>Enseguida</w:t>
      </w:r>
      <w:r w:rsidR="00997387" w:rsidRPr="0007278D">
        <w:t>,</w:t>
      </w:r>
      <w:r w:rsidRPr="0007278D">
        <w:t xml:space="preserve"> se analizan las principales normas de la Ley de la CNDH que</w:t>
      </w:r>
      <w:r w:rsidR="00E06F65" w:rsidRPr="0007278D">
        <w:t>,</w:t>
      </w:r>
      <w:r w:rsidRPr="0007278D">
        <w:t xml:space="preserve"> </w:t>
      </w:r>
      <w:r w:rsidR="00AD4B43" w:rsidRPr="0007278D">
        <w:t xml:space="preserve">durante el procedimiento de queja, </w:t>
      </w:r>
      <w:r w:rsidRPr="0007278D">
        <w:t xml:space="preserve">confieren facultades discrecionales a sus </w:t>
      </w:r>
      <w:r w:rsidR="000823B1" w:rsidRPr="0007278D">
        <w:t>servidores públicos</w:t>
      </w:r>
      <w:r w:rsidR="00973495" w:rsidRPr="0007278D">
        <w:t xml:space="preserve"> sin </w:t>
      </w:r>
      <w:r w:rsidR="00AE6DE4" w:rsidRPr="0007278D">
        <w:t xml:space="preserve">que al quejoso se le reconozcan derechos para </w:t>
      </w:r>
      <w:r w:rsidR="0018035F" w:rsidRPr="0007278D">
        <w:t>la</w:t>
      </w:r>
      <w:r w:rsidR="00AE6DE4" w:rsidRPr="0007278D">
        <w:t xml:space="preserve"> </w:t>
      </w:r>
      <w:r w:rsidR="00202F47" w:rsidRPr="0007278D">
        <w:t>defensa</w:t>
      </w:r>
      <w:r w:rsidR="0018035F" w:rsidRPr="0007278D">
        <w:t xml:space="preserve"> de sus intereses</w:t>
      </w:r>
      <w:r w:rsidR="00973495" w:rsidRPr="0007278D">
        <w:t xml:space="preserve">. </w:t>
      </w:r>
      <w:r w:rsidRPr="0007278D">
        <w:t xml:space="preserve"> </w:t>
      </w:r>
    </w:p>
    <w:p w14:paraId="28A7254D" w14:textId="35FA7537" w:rsidR="004A17D8" w:rsidRPr="00324EFC" w:rsidRDefault="00816D2B" w:rsidP="00324EFC">
      <w:pPr>
        <w:pStyle w:val="vietas"/>
        <w:rPr>
          <w:sz w:val="24"/>
          <w:szCs w:val="24"/>
        </w:rPr>
      </w:pPr>
      <w:r w:rsidRPr="00324EFC">
        <w:rPr>
          <w:b/>
          <w:sz w:val="24"/>
          <w:szCs w:val="24"/>
        </w:rPr>
        <w:t>A</w:t>
      </w:r>
      <w:r w:rsidR="004A17D8" w:rsidRPr="00324EFC">
        <w:rPr>
          <w:b/>
          <w:sz w:val="24"/>
          <w:szCs w:val="24"/>
        </w:rPr>
        <w:t>.</w:t>
      </w:r>
      <w:r w:rsidR="004A17D8" w:rsidRPr="00324EFC">
        <w:rPr>
          <w:sz w:val="24"/>
          <w:szCs w:val="24"/>
        </w:rPr>
        <w:t xml:space="preserve"> </w:t>
      </w:r>
      <w:r w:rsidR="00323F03" w:rsidRPr="00324EFC">
        <w:rPr>
          <w:sz w:val="24"/>
          <w:szCs w:val="24"/>
        </w:rPr>
        <w:t>El quejoso no tiene derecho a recursos de impugnación</w:t>
      </w:r>
      <w:r w:rsidR="00E06F65" w:rsidRPr="00324EFC">
        <w:rPr>
          <w:sz w:val="24"/>
          <w:szCs w:val="24"/>
        </w:rPr>
        <w:t xml:space="preserve"> </w:t>
      </w:r>
      <w:r w:rsidR="00E94123" w:rsidRPr="00324EFC">
        <w:rPr>
          <w:sz w:val="24"/>
          <w:szCs w:val="24"/>
        </w:rPr>
        <w:t xml:space="preserve">contra las resoluciones de la CNDH, </w:t>
      </w:r>
      <w:r w:rsidR="00683988" w:rsidRPr="00324EFC">
        <w:rPr>
          <w:sz w:val="24"/>
          <w:szCs w:val="24"/>
        </w:rPr>
        <w:t>como señala l</w:t>
      </w:r>
      <w:r w:rsidR="004A17D8" w:rsidRPr="00324EFC">
        <w:rPr>
          <w:sz w:val="24"/>
          <w:szCs w:val="24"/>
        </w:rPr>
        <w:t xml:space="preserve">a </w:t>
      </w:r>
      <w:r w:rsidR="00A33F37" w:rsidRPr="00324EFC">
        <w:rPr>
          <w:sz w:val="24"/>
          <w:szCs w:val="24"/>
        </w:rPr>
        <w:t>l</w:t>
      </w:r>
      <w:r w:rsidR="004A17D8" w:rsidRPr="00324EFC">
        <w:rPr>
          <w:sz w:val="24"/>
          <w:szCs w:val="24"/>
        </w:rPr>
        <w:t>ey</w:t>
      </w:r>
      <w:r w:rsidR="00093095" w:rsidRPr="00324EFC">
        <w:rPr>
          <w:sz w:val="24"/>
          <w:szCs w:val="24"/>
        </w:rPr>
        <w:t>:</w:t>
      </w:r>
      <w:r w:rsidR="004A17D8" w:rsidRPr="00324EFC">
        <w:rPr>
          <w:sz w:val="24"/>
          <w:szCs w:val="24"/>
        </w:rPr>
        <w:t xml:space="preserve"> “Artículo 47.- En contra de las Recomendaciones, acuerdos o resoluciones definitivas de la</w:t>
      </w:r>
      <w:r w:rsidR="00093095" w:rsidRPr="00324EFC">
        <w:rPr>
          <w:sz w:val="24"/>
          <w:szCs w:val="24"/>
        </w:rPr>
        <w:t xml:space="preserve"> Comisión Nacional</w:t>
      </w:r>
      <w:r w:rsidR="004A17D8" w:rsidRPr="00324EFC">
        <w:rPr>
          <w:sz w:val="24"/>
          <w:szCs w:val="24"/>
        </w:rPr>
        <w:t xml:space="preserve"> </w:t>
      </w:r>
      <w:r w:rsidR="00E06F65" w:rsidRPr="00324EFC">
        <w:rPr>
          <w:sz w:val="24"/>
          <w:szCs w:val="24"/>
        </w:rPr>
        <w:t>de los Derechos Humanos</w:t>
      </w:r>
      <w:r w:rsidR="004A17D8" w:rsidRPr="00324EFC">
        <w:rPr>
          <w:sz w:val="24"/>
          <w:szCs w:val="24"/>
        </w:rPr>
        <w:t>, no procederá ningún recurso”</w:t>
      </w:r>
      <w:r w:rsidR="00A33F37" w:rsidRPr="00324EFC">
        <w:rPr>
          <w:sz w:val="24"/>
          <w:szCs w:val="24"/>
        </w:rPr>
        <w:t>.</w:t>
      </w:r>
      <w:r w:rsidR="00022657" w:rsidRPr="00324EFC">
        <w:rPr>
          <w:sz w:val="24"/>
          <w:szCs w:val="24"/>
        </w:rPr>
        <w:t xml:space="preserve"> Esta disposición deja en total estado de indefensión y desamparo al quejoso, pues cualquiera que sea la decisión de la CNDH no tiene derecho de inconformarse.</w:t>
      </w:r>
    </w:p>
    <w:p w14:paraId="7276B493" w14:textId="13C45E4E" w:rsidR="002D36B5" w:rsidRPr="00324EFC" w:rsidRDefault="00816D2B" w:rsidP="00324EFC">
      <w:pPr>
        <w:pStyle w:val="vietas"/>
        <w:rPr>
          <w:sz w:val="24"/>
          <w:szCs w:val="24"/>
        </w:rPr>
      </w:pPr>
      <w:bookmarkStart w:id="5" w:name="_Hlk170485208"/>
      <w:r w:rsidRPr="00324EFC">
        <w:rPr>
          <w:b/>
          <w:sz w:val="24"/>
          <w:szCs w:val="24"/>
        </w:rPr>
        <w:t>B</w:t>
      </w:r>
      <w:r w:rsidR="009317FC" w:rsidRPr="00324EFC">
        <w:rPr>
          <w:b/>
          <w:sz w:val="24"/>
          <w:szCs w:val="24"/>
        </w:rPr>
        <w:t>.</w:t>
      </w:r>
      <w:r w:rsidR="009317FC" w:rsidRPr="00324EFC">
        <w:rPr>
          <w:sz w:val="24"/>
          <w:szCs w:val="24"/>
        </w:rPr>
        <w:t xml:space="preserve"> </w:t>
      </w:r>
      <w:r w:rsidR="00535A9B" w:rsidRPr="00324EFC">
        <w:rPr>
          <w:sz w:val="24"/>
          <w:szCs w:val="24"/>
        </w:rPr>
        <w:t>Resoluciones de expedientes de queja mediante recomendaci</w:t>
      </w:r>
      <w:r w:rsidR="00453B5D" w:rsidRPr="00324EFC">
        <w:rPr>
          <w:sz w:val="24"/>
          <w:szCs w:val="24"/>
        </w:rPr>
        <w:t>ón</w:t>
      </w:r>
      <w:r w:rsidR="00535A9B" w:rsidRPr="00324EFC">
        <w:rPr>
          <w:sz w:val="24"/>
          <w:szCs w:val="24"/>
        </w:rPr>
        <w:t xml:space="preserve">. </w:t>
      </w:r>
      <w:r w:rsidR="009317FC" w:rsidRPr="00324EFC">
        <w:rPr>
          <w:sz w:val="24"/>
          <w:szCs w:val="24"/>
        </w:rPr>
        <w:t>La Ley de la CNDH</w:t>
      </w:r>
      <w:r w:rsidR="00A33F37" w:rsidRPr="00324EFC">
        <w:rPr>
          <w:sz w:val="24"/>
          <w:szCs w:val="24"/>
        </w:rPr>
        <w:t>,</w:t>
      </w:r>
      <w:r w:rsidR="009317FC" w:rsidRPr="00324EFC">
        <w:rPr>
          <w:sz w:val="24"/>
          <w:szCs w:val="24"/>
        </w:rPr>
        <w:t xml:space="preserve"> en los artículos 119 y 98, establece una lista de violaciones graves de derechos humanos que únicamente pueden ser resueltos por </w:t>
      </w:r>
      <w:r w:rsidR="00174C50" w:rsidRPr="00324EFC">
        <w:rPr>
          <w:sz w:val="24"/>
          <w:szCs w:val="24"/>
        </w:rPr>
        <w:t>r</w:t>
      </w:r>
      <w:r w:rsidR="009317FC" w:rsidRPr="00324EFC">
        <w:rPr>
          <w:sz w:val="24"/>
          <w:szCs w:val="24"/>
        </w:rPr>
        <w:t>ecomendación o por documento de no responsabilidad</w:t>
      </w:r>
      <w:r w:rsidR="00683988" w:rsidRPr="00324EFC">
        <w:rPr>
          <w:sz w:val="24"/>
          <w:szCs w:val="24"/>
        </w:rPr>
        <w:t xml:space="preserve">: </w:t>
      </w:r>
      <w:r w:rsidR="009317FC" w:rsidRPr="00324EFC">
        <w:rPr>
          <w:sz w:val="24"/>
          <w:szCs w:val="24"/>
        </w:rPr>
        <w:t>atentados a la vida, tortura, desaparición forzada</w:t>
      </w:r>
      <w:r w:rsidR="003F3D40" w:rsidRPr="00324EFC">
        <w:rPr>
          <w:sz w:val="24"/>
          <w:szCs w:val="24"/>
        </w:rPr>
        <w:t xml:space="preserve"> y</w:t>
      </w:r>
      <w:r w:rsidR="009317FC" w:rsidRPr="00324EFC">
        <w:rPr>
          <w:sz w:val="24"/>
          <w:szCs w:val="24"/>
        </w:rPr>
        <w:t xml:space="preserve"> todas las demás violaciones de lesa humanidad o cuando las anteriores infracciones atenten en contra de una comunidad o grupo social en su conjunto. </w:t>
      </w:r>
      <w:r w:rsidR="002D36B5" w:rsidRPr="00324EFC">
        <w:rPr>
          <w:sz w:val="24"/>
          <w:szCs w:val="24"/>
        </w:rPr>
        <w:t xml:space="preserve">La lista de violaciones graves </w:t>
      </w:r>
      <w:r w:rsidR="00AE3407" w:rsidRPr="00324EFC">
        <w:rPr>
          <w:sz w:val="24"/>
          <w:szCs w:val="24"/>
        </w:rPr>
        <w:t xml:space="preserve">es mínima y </w:t>
      </w:r>
      <w:r w:rsidR="002D36B5" w:rsidRPr="00324EFC">
        <w:rPr>
          <w:sz w:val="24"/>
          <w:szCs w:val="24"/>
        </w:rPr>
        <w:t xml:space="preserve">excluye </w:t>
      </w:r>
      <w:r w:rsidR="00836BA4" w:rsidRPr="00324EFC">
        <w:rPr>
          <w:sz w:val="24"/>
          <w:szCs w:val="24"/>
        </w:rPr>
        <w:t xml:space="preserve">numerosos </w:t>
      </w:r>
      <w:r w:rsidR="002D36B5" w:rsidRPr="00324EFC">
        <w:rPr>
          <w:sz w:val="24"/>
          <w:szCs w:val="24"/>
        </w:rPr>
        <w:t xml:space="preserve">derechos fundamentales como la dignidad humana, el libre desarrollo de la personalidad, la libertad, la igualdad, la no discriminación, la violencia de género, </w:t>
      </w:r>
      <w:r w:rsidR="003163CC" w:rsidRPr="00324EFC">
        <w:rPr>
          <w:sz w:val="24"/>
          <w:szCs w:val="24"/>
        </w:rPr>
        <w:t>etcétera</w:t>
      </w:r>
      <w:r w:rsidR="00952FA3" w:rsidRPr="00324EFC">
        <w:rPr>
          <w:sz w:val="24"/>
          <w:szCs w:val="24"/>
        </w:rPr>
        <w:t>; l</w:t>
      </w:r>
      <w:r w:rsidR="00751B2F" w:rsidRPr="00324EFC">
        <w:rPr>
          <w:sz w:val="24"/>
          <w:szCs w:val="24"/>
        </w:rPr>
        <w:t xml:space="preserve">as </w:t>
      </w:r>
      <w:r w:rsidR="002D36B5" w:rsidRPr="00324EFC">
        <w:rPr>
          <w:sz w:val="24"/>
          <w:szCs w:val="24"/>
        </w:rPr>
        <w:t>que</w:t>
      </w:r>
      <w:r w:rsidR="003163CC" w:rsidRPr="00324EFC">
        <w:rPr>
          <w:sz w:val="24"/>
          <w:szCs w:val="24"/>
        </w:rPr>
        <w:t xml:space="preserve"> </w:t>
      </w:r>
      <w:r w:rsidR="00477528" w:rsidRPr="00324EFC">
        <w:rPr>
          <w:sz w:val="24"/>
          <w:szCs w:val="24"/>
        </w:rPr>
        <w:t xml:space="preserve">a criterio de la CNDH </w:t>
      </w:r>
      <w:r w:rsidR="003163CC" w:rsidRPr="00324EFC">
        <w:rPr>
          <w:sz w:val="24"/>
          <w:szCs w:val="24"/>
        </w:rPr>
        <w:t xml:space="preserve">se resuelven por conciliación o por las </w:t>
      </w:r>
      <w:r w:rsidR="003163CC" w:rsidRPr="00324EFC">
        <w:rPr>
          <w:sz w:val="24"/>
          <w:szCs w:val="24"/>
        </w:rPr>
        <w:lastRenderedPageBreak/>
        <w:t>otras causas</w:t>
      </w:r>
      <w:r w:rsidR="002D36B5" w:rsidRPr="00324EFC">
        <w:rPr>
          <w:sz w:val="24"/>
          <w:szCs w:val="24"/>
        </w:rPr>
        <w:t xml:space="preserve"> </w:t>
      </w:r>
      <w:r w:rsidR="003163CC" w:rsidRPr="00324EFC">
        <w:rPr>
          <w:sz w:val="24"/>
          <w:szCs w:val="24"/>
        </w:rPr>
        <w:t xml:space="preserve">que </w:t>
      </w:r>
      <w:r w:rsidR="009308DA" w:rsidRPr="00324EFC">
        <w:rPr>
          <w:sz w:val="24"/>
          <w:szCs w:val="24"/>
        </w:rPr>
        <w:t xml:space="preserve">no ameritan </w:t>
      </w:r>
      <w:r w:rsidR="002D36B5" w:rsidRPr="00324EFC">
        <w:rPr>
          <w:sz w:val="24"/>
          <w:szCs w:val="24"/>
        </w:rPr>
        <w:t>realizar una investigación sobre el fondo de la queja</w:t>
      </w:r>
      <w:r w:rsidR="00EC0D8B" w:rsidRPr="00324EFC">
        <w:rPr>
          <w:sz w:val="24"/>
          <w:szCs w:val="24"/>
        </w:rPr>
        <w:t xml:space="preserve"> </w:t>
      </w:r>
      <w:r w:rsidR="00AE3407" w:rsidRPr="00324EFC">
        <w:rPr>
          <w:sz w:val="24"/>
          <w:szCs w:val="24"/>
        </w:rPr>
        <w:t xml:space="preserve">y </w:t>
      </w:r>
      <w:r w:rsidR="00EC0D8B" w:rsidRPr="00324EFC">
        <w:rPr>
          <w:sz w:val="24"/>
          <w:szCs w:val="24"/>
        </w:rPr>
        <w:t>que derive</w:t>
      </w:r>
      <w:r w:rsidR="00AE3407" w:rsidRPr="00324EFC">
        <w:rPr>
          <w:sz w:val="24"/>
          <w:szCs w:val="24"/>
        </w:rPr>
        <w:t>n</w:t>
      </w:r>
      <w:r w:rsidR="00EC0D8B" w:rsidRPr="00324EFC">
        <w:rPr>
          <w:sz w:val="24"/>
          <w:szCs w:val="24"/>
        </w:rPr>
        <w:t xml:space="preserve"> en una recomendación o </w:t>
      </w:r>
      <w:r w:rsidR="00BB4016" w:rsidRPr="00324EFC">
        <w:rPr>
          <w:sz w:val="24"/>
          <w:szCs w:val="24"/>
        </w:rPr>
        <w:t xml:space="preserve">en un </w:t>
      </w:r>
      <w:r w:rsidR="00EC0D8B" w:rsidRPr="00324EFC">
        <w:rPr>
          <w:sz w:val="24"/>
          <w:szCs w:val="24"/>
        </w:rPr>
        <w:t xml:space="preserve">documento de no responsabilidad. </w:t>
      </w:r>
      <w:r w:rsidR="002D36B5" w:rsidRPr="00324EFC">
        <w:rPr>
          <w:sz w:val="24"/>
          <w:szCs w:val="24"/>
        </w:rPr>
        <w:t xml:space="preserve"> </w:t>
      </w:r>
    </w:p>
    <w:p w14:paraId="11B99704" w14:textId="255A15EF" w:rsidR="002D36B5" w:rsidRPr="00324EFC" w:rsidRDefault="00816D2B" w:rsidP="00324EFC">
      <w:pPr>
        <w:pStyle w:val="vietas"/>
        <w:rPr>
          <w:sz w:val="24"/>
          <w:szCs w:val="24"/>
        </w:rPr>
      </w:pPr>
      <w:r w:rsidRPr="00324EFC">
        <w:rPr>
          <w:b/>
          <w:sz w:val="24"/>
          <w:szCs w:val="24"/>
        </w:rPr>
        <w:t>C</w:t>
      </w:r>
      <w:r w:rsidR="0028712E" w:rsidRPr="00324EFC">
        <w:rPr>
          <w:b/>
          <w:sz w:val="24"/>
          <w:szCs w:val="24"/>
        </w:rPr>
        <w:t>.</w:t>
      </w:r>
      <w:r w:rsidR="0028712E" w:rsidRPr="00324EFC">
        <w:rPr>
          <w:sz w:val="24"/>
          <w:szCs w:val="24"/>
        </w:rPr>
        <w:t xml:space="preserve"> </w:t>
      </w:r>
      <w:r w:rsidR="00535A9B" w:rsidRPr="00324EFC">
        <w:rPr>
          <w:sz w:val="24"/>
          <w:szCs w:val="24"/>
        </w:rPr>
        <w:t xml:space="preserve">Resoluciones de expedientes de queja por conciliación u otras causas. </w:t>
      </w:r>
      <w:r w:rsidR="0022784D" w:rsidRPr="00324EFC">
        <w:rPr>
          <w:sz w:val="24"/>
          <w:szCs w:val="24"/>
        </w:rPr>
        <w:t xml:space="preserve">Tratándose de los expedientes de queja </w:t>
      </w:r>
      <w:r w:rsidR="0031395E" w:rsidRPr="00324EFC">
        <w:rPr>
          <w:sz w:val="24"/>
          <w:szCs w:val="24"/>
        </w:rPr>
        <w:t xml:space="preserve">que </w:t>
      </w:r>
      <w:r w:rsidR="0022784D" w:rsidRPr="00324EFC">
        <w:rPr>
          <w:sz w:val="24"/>
          <w:szCs w:val="24"/>
        </w:rPr>
        <w:t xml:space="preserve">no se </w:t>
      </w:r>
      <w:r w:rsidR="0031395E" w:rsidRPr="00324EFC">
        <w:rPr>
          <w:sz w:val="24"/>
          <w:szCs w:val="24"/>
        </w:rPr>
        <w:t xml:space="preserve">resuelven por </w:t>
      </w:r>
      <w:r w:rsidR="0022784D" w:rsidRPr="00324EFC">
        <w:rPr>
          <w:sz w:val="24"/>
          <w:szCs w:val="24"/>
        </w:rPr>
        <w:t>recomendación, son l</w:t>
      </w:r>
      <w:r w:rsidR="00F104D8" w:rsidRPr="00324EFC">
        <w:rPr>
          <w:sz w:val="24"/>
          <w:szCs w:val="24"/>
        </w:rPr>
        <w:t>os servidores públicos de la CNDH</w:t>
      </w:r>
      <w:r w:rsidR="00952FA3" w:rsidRPr="00324EFC">
        <w:rPr>
          <w:sz w:val="24"/>
          <w:szCs w:val="24"/>
        </w:rPr>
        <w:t>,</w:t>
      </w:r>
      <w:r w:rsidR="00F104D8" w:rsidRPr="00324EFC">
        <w:rPr>
          <w:sz w:val="24"/>
          <w:szCs w:val="24"/>
        </w:rPr>
        <w:t xml:space="preserve"> </w:t>
      </w:r>
      <w:r w:rsidR="002426A1" w:rsidRPr="00324EFC">
        <w:rPr>
          <w:sz w:val="24"/>
          <w:szCs w:val="24"/>
        </w:rPr>
        <w:t xml:space="preserve">quienes </w:t>
      </w:r>
      <w:r w:rsidR="00F104D8" w:rsidRPr="00324EFC">
        <w:rPr>
          <w:sz w:val="24"/>
          <w:szCs w:val="24"/>
        </w:rPr>
        <w:t xml:space="preserve">tienen la facultad de elaborar el contenido de la propuesta de conciliación </w:t>
      </w:r>
      <w:r w:rsidR="002426A1" w:rsidRPr="00324EFC">
        <w:rPr>
          <w:sz w:val="24"/>
          <w:szCs w:val="24"/>
        </w:rPr>
        <w:t xml:space="preserve">sin </w:t>
      </w:r>
      <w:r w:rsidR="0022784D" w:rsidRPr="00324EFC">
        <w:rPr>
          <w:sz w:val="24"/>
          <w:szCs w:val="24"/>
        </w:rPr>
        <w:t xml:space="preserve">que intervenga </w:t>
      </w:r>
      <w:r w:rsidR="002426A1" w:rsidRPr="00324EFC">
        <w:rPr>
          <w:sz w:val="24"/>
          <w:szCs w:val="24"/>
        </w:rPr>
        <w:t xml:space="preserve">el quejoso, </w:t>
      </w:r>
      <w:r w:rsidR="00F104D8" w:rsidRPr="00324EFC">
        <w:rPr>
          <w:sz w:val="24"/>
          <w:szCs w:val="24"/>
        </w:rPr>
        <w:t>conforme a l</w:t>
      </w:r>
      <w:r w:rsidR="009317FC" w:rsidRPr="00324EFC">
        <w:rPr>
          <w:sz w:val="24"/>
          <w:szCs w:val="24"/>
        </w:rPr>
        <w:t>os artículos 120 y 121 de</w:t>
      </w:r>
      <w:r w:rsidR="00477528" w:rsidRPr="00324EFC">
        <w:rPr>
          <w:sz w:val="24"/>
          <w:szCs w:val="24"/>
        </w:rPr>
        <w:t xml:space="preserve"> su</w:t>
      </w:r>
      <w:r w:rsidR="009317FC" w:rsidRPr="00324EFC">
        <w:rPr>
          <w:sz w:val="24"/>
          <w:szCs w:val="24"/>
        </w:rPr>
        <w:t xml:space="preserve"> </w:t>
      </w:r>
      <w:r w:rsidR="00952FA3" w:rsidRPr="00324EFC">
        <w:rPr>
          <w:sz w:val="24"/>
          <w:szCs w:val="24"/>
        </w:rPr>
        <w:t>r</w:t>
      </w:r>
      <w:r w:rsidR="009317FC" w:rsidRPr="00324EFC">
        <w:rPr>
          <w:sz w:val="24"/>
          <w:szCs w:val="24"/>
        </w:rPr>
        <w:t>eglamento</w:t>
      </w:r>
      <w:r w:rsidR="00477528" w:rsidRPr="00324EFC">
        <w:rPr>
          <w:sz w:val="24"/>
          <w:szCs w:val="24"/>
        </w:rPr>
        <w:t>.</w:t>
      </w:r>
      <w:r w:rsidR="009317FC" w:rsidRPr="00324EFC">
        <w:rPr>
          <w:sz w:val="24"/>
          <w:szCs w:val="24"/>
        </w:rPr>
        <w:t xml:space="preserve"> </w:t>
      </w:r>
      <w:r w:rsidR="002D36B5" w:rsidRPr="00324EFC">
        <w:rPr>
          <w:sz w:val="24"/>
          <w:szCs w:val="24"/>
        </w:rPr>
        <w:t xml:space="preserve">La autoridad responsable decidirá si la acepta y </w:t>
      </w:r>
      <w:r w:rsidR="00952FA3" w:rsidRPr="00324EFC">
        <w:rPr>
          <w:sz w:val="24"/>
          <w:szCs w:val="24"/>
        </w:rPr>
        <w:t>envía</w:t>
      </w:r>
      <w:r w:rsidR="002D36B5" w:rsidRPr="00324EFC">
        <w:rPr>
          <w:sz w:val="24"/>
          <w:szCs w:val="24"/>
        </w:rPr>
        <w:t>, en su caso, las pruebas correspondientes. Si la autoridad no acepta dicha propuesta</w:t>
      </w:r>
      <w:r w:rsidR="00952FA3" w:rsidRPr="00324EFC">
        <w:rPr>
          <w:sz w:val="24"/>
          <w:szCs w:val="24"/>
        </w:rPr>
        <w:t>,</w:t>
      </w:r>
      <w:r w:rsidR="002D36B5" w:rsidRPr="00324EFC">
        <w:rPr>
          <w:sz w:val="24"/>
          <w:szCs w:val="24"/>
        </w:rPr>
        <w:t xml:space="preserve"> la CNDH inicia el proceso de investigación. </w:t>
      </w:r>
    </w:p>
    <w:p w14:paraId="2EF1FA50" w14:textId="25034614" w:rsidR="00112CA6" w:rsidRPr="00324EFC" w:rsidRDefault="00324EFC" w:rsidP="00324EFC">
      <w:pPr>
        <w:pStyle w:val="vietas"/>
        <w:rPr>
          <w:sz w:val="24"/>
          <w:szCs w:val="24"/>
        </w:rPr>
      </w:pPr>
      <w:r w:rsidRPr="00324EFC">
        <w:rPr>
          <w:sz w:val="24"/>
          <w:szCs w:val="24"/>
        </w:rPr>
        <w:t xml:space="preserve">      </w:t>
      </w:r>
      <w:r w:rsidR="00F104D8" w:rsidRPr="00324EFC">
        <w:rPr>
          <w:sz w:val="24"/>
          <w:szCs w:val="24"/>
        </w:rPr>
        <w:t xml:space="preserve">Al quejoso se le dará aviso del mecanismo de conciliación </w:t>
      </w:r>
      <w:r w:rsidR="008E6DAA" w:rsidRPr="00324EFC">
        <w:rPr>
          <w:sz w:val="24"/>
          <w:szCs w:val="24"/>
        </w:rPr>
        <w:t>(</w:t>
      </w:r>
      <w:r w:rsidR="00952FA3" w:rsidRPr="00324EFC">
        <w:rPr>
          <w:sz w:val="24"/>
          <w:szCs w:val="24"/>
        </w:rPr>
        <w:t>R</w:t>
      </w:r>
      <w:r w:rsidR="00F104D8" w:rsidRPr="00324EFC">
        <w:rPr>
          <w:sz w:val="24"/>
          <w:szCs w:val="24"/>
        </w:rPr>
        <w:t>eglamento de la CNDH, art. 1</w:t>
      </w:r>
      <w:r w:rsidR="009317FC" w:rsidRPr="00324EFC">
        <w:rPr>
          <w:sz w:val="24"/>
          <w:szCs w:val="24"/>
        </w:rPr>
        <w:t>22</w:t>
      </w:r>
      <w:r w:rsidR="00F104D8" w:rsidRPr="00324EFC">
        <w:rPr>
          <w:sz w:val="24"/>
          <w:szCs w:val="24"/>
        </w:rPr>
        <w:t>)</w:t>
      </w:r>
      <w:r w:rsidR="0056304F" w:rsidRPr="00324EFC">
        <w:rPr>
          <w:sz w:val="24"/>
          <w:szCs w:val="24"/>
        </w:rPr>
        <w:t xml:space="preserve"> </w:t>
      </w:r>
      <w:r w:rsidR="00E928DC" w:rsidRPr="00324EFC">
        <w:rPr>
          <w:sz w:val="24"/>
          <w:szCs w:val="24"/>
        </w:rPr>
        <w:t xml:space="preserve">y en caso de no aceptarlo </w:t>
      </w:r>
      <w:r w:rsidR="009317FC" w:rsidRPr="00324EFC">
        <w:rPr>
          <w:sz w:val="24"/>
          <w:szCs w:val="24"/>
        </w:rPr>
        <w:t xml:space="preserve">carece del </w:t>
      </w:r>
      <w:r w:rsidR="003428BA" w:rsidRPr="00324EFC">
        <w:rPr>
          <w:sz w:val="24"/>
          <w:szCs w:val="24"/>
        </w:rPr>
        <w:t>derecho de impugnación</w:t>
      </w:r>
      <w:r w:rsidR="00E928DC" w:rsidRPr="00324EFC">
        <w:rPr>
          <w:sz w:val="24"/>
          <w:szCs w:val="24"/>
        </w:rPr>
        <w:t xml:space="preserve">, por lo que de hecho </w:t>
      </w:r>
      <w:r w:rsidR="000306E7" w:rsidRPr="00324EFC">
        <w:rPr>
          <w:sz w:val="24"/>
          <w:szCs w:val="24"/>
        </w:rPr>
        <w:t xml:space="preserve">su rechazo implica </w:t>
      </w:r>
      <w:r w:rsidR="00E928DC" w:rsidRPr="00324EFC">
        <w:rPr>
          <w:sz w:val="24"/>
          <w:szCs w:val="24"/>
        </w:rPr>
        <w:t xml:space="preserve">renuncia </w:t>
      </w:r>
      <w:r w:rsidR="000306E7" w:rsidRPr="00324EFC">
        <w:rPr>
          <w:sz w:val="24"/>
          <w:szCs w:val="24"/>
        </w:rPr>
        <w:t>a</w:t>
      </w:r>
      <w:r w:rsidR="00E928DC" w:rsidRPr="00324EFC">
        <w:rPr>
          <w:sz w:val="24"/>
          <w:szCs w:val="24"/>
        </w:rPr>
        <w:t>l procedimiento</w:t>
      </w:r>
      <w:r w:rsidR="000306E7" w:rsidRPr="00324EFC">
        <w:rPr>
          <w:sz w:val="24"/>
          <w:szCs w:val="24"/>
        </w:rPr>
        <w:t xml:space="preserve"> de queja</w:t>
      </w:r>
      <w:r w:rsidR="00E928DC" w:rsidRPr="00324EFC">
        <w:rPr>
          <w:sz w:val="24"/>
          <w:szCs w:val="24"/>
        </w:rPr>
        <w:t>.</w:t>
      </w:r>
      <w:r w:rsidR="001879A9" w:rsidRPr="00324EFC">
        <w:rPr>
          <w:sz w:val="24"/>
          <w:szCs w:val="24"/>
        </w:rPr>
        <w:t xml:space="preserve"> </w:t>
      </w:r>
      <w:r w:rsidR="00F104D8" w:rsidRPr="00324EFC">
        <w:rPr>
          <w:sz w:val="24"/>
          <w:szCs w:val="24"/>
        </w:rPr>
        <w:t xml:space="preserve">Lo anterior es contrario a lo previsto por </w:t>
      </w:r>
      <w:r w:rsidR="00112CA6" w:rsidRPr="00324EFC">
        <w:rPr>
          <w:sz w:val="24"/>
          <w:szCs w:val="24"/>
        </w:rPr>
        <w:t>el artículo 17 constitucional</w:t>
      </w:r>
      <w:r w:rsidR="00F104D8" w:rsidRPr="00324EFC">
        <w:rPr>
          <w:sz w:val="24"/>
          <w:szCs w:val="24"/>
        </w:rPr>
        <w:t xml:space="preserve">, que establece </w:t>
      </w:r>
      <w:r w:rsidR="003428BA" w:rsidRPr="00324EFC">
        <w:rPr>
          <w:sz w:val="24"/>
          <w:szCs w:val="24"/>
        </w:rPr>
        <w:t>la conciliación</w:t>
      </w:r>
      <w:r w:rsidR="00112CA6" w:rsidRPr="00324EFC">
        <w:rPr>
          <w:sz w:val="24"/>
          <w:szCs w:val="24"/>
        </w:rPr>
        <w:t xml:space="preserve"> </w:t>
      </w:r>
      <w:r w:rsidR="00F104D8" w:rsidRPr="00324EFC">
        <w:rPr>
          <w:sz w:val="24"/>
          <w:szCs w:val="24"/>
        </w:rPr>
        <w:t>como</w:t>
      </w:r>
      <w:r w:rsidR="00112CA6" w:rsidRPr="00324EFC">
        <w:rPr>
          <w:sz w:val="24"/>
          <w:szCs w:val="24"/>
        </w:rPr>
        <w:t xml:space="preserve"> un mecanismo alternativo de resolución de conflictos de carácter voluntario</w:t>
      </w:r>
      <w:r w:rsidR="00477528" w:rsidRPr="00324EFC">
        <w:rPr>
          <w:sz w:val="24"/>
          <w:szCs w:val="24"/>
        </w:rPr>
        <w:t xml:space="preserve"> y no </w:t>
      </w:r>
      <w:r w:rsidR="00112CA6" w:rsidRPr="00324EFC">
        <w:rPr>
          <w:sz w:val="24"/>
          <w:szCs w:val="24"/>
        </w:rPr>
        <w:t>obligatorio para las partes</w:t>
      </w:r>
      <w:r w:rsidR="00952FA3" w:rsidRPr="00324EFC">
        <w:rPr>
          <w:sz w:val="24"/>
          <w:szCs w:val="24"/>
        </w:rPr>
        <w:t>.</w:t>
      </w:r>
      <w:r w:rsidR="0024108D" w:rsidRPr="00324EFC">
        <w:rPr>
          <w:rStyle w:val="Refdenotaalpie"/>
          <w:bCs/>
          <w:color w:val="000000" w:themeColor="text1"/>
          <w:sz w:val="24"/>
          <w:szCs w:val="24"/>
        </w:rPr>
        <w:footnoteReference w:id="23"/>
      </w:r>
    </w:p>
    <w:p w14:paraId="25C0D23C" w14:textId="7754B655" w:rsidR="0088059A" w:rsidRPr="00324EFC" w:rsidRDefault="00324EFC" w:rsidP="00324EFC">
      <w:pPr>
        <w:pStyle w:val="vietas"/>
        <w:rPr>
          <w:sz w:val="24"/>
          <w:szCs w:val="24"/>
          <w:shd w:val="clear" w:color="auto" w:fill="FFFFFF"/>
        </w:rPr>
      </w:pPr>
      <w:r w:rsidRPr="00324EFC">
        <w:rPr>
          <w:sz w:val="24"/>
          <w:szCs w:val="24"/>
        </w:rPr>
        <w:t xml:space="preserve">       </w:t>
      </w:r>
      <w:r w:rsidR="009317FC" w:rsidRPr="00324EFC">
        <w:rPr>
          <w:sz w:val="24"/>
          <w:szCs w:val="24"/>
        </w:rPr>
        <w:t>La Ley de la CNDH</w:t>
      </w:r>
      <w:r w:rsidR="00952FA3" w:rsidRPr="00324EFC">
        <w:rPr>
          <w:sz w:val="24"/>
          <w:szCs w:val="24"/>
        </w:rPr>
        <w:t>,</w:t>
      </w:r>
      <w:r w:rsidR="00927DC2" w:rsidRPr="00324EFC">
        <w:rPr>
          <w:sz w:val="24"/>
          <w:szCs w:val="24"/>
        </w:rPr>
        <w:t xml:space="preserve"> </w:t>
      </w:r>
      <w:r w:rsidR="00D2365C" w:rsidRPr="00324EFC">
        <w:rPr>
          <w:sz w:val="24"/>
          <w:szCs w:val="24"/>
        </w:rPr>
        <w:t>al imponer como obligatoria la conciliación</w:t>
      </w:r>
      <w:r w:rsidR="00997387" w:rsidRPr="00324EFC">
        <w:rPr>
          <w:sz w:val="24"/>
          <w:szCs w:val="24"/>
        </w:rPr>
        <w:t xml:space="preserve">, </w:t>
      </w:r>
      <w:r w:rsidR="00E114BC" w:rsidRPr="00324EFC">
        <w:rPr>
          <w:sz w:val="24"/>
          <w:szCs w:val="24"/>
        </w:rPr>
        <w:t xml:space="preserve">priva al quejoso del derecho de saber </w:t>
      </w:r>
      <w:r w:rsidR="009317FC" w:rsidRPr="00324EFC">
        <w:rPr>
          <w:sz w:val="24"/>
          <w:szCs w:val="24"/>
        </w:rPr>
        <w:t xml:space="preserve">si se violaron o no sus derechos humanos, </w:t>
      </w:r>
      <w:r w:rsidR="0088059A" w:rsidRPr="00324EFC">
        <w:rPr>
          <w:sz w:val="24"/>
          <w:szCs w:val="24"/>
        </w:rPr>
        <w:t>y en caso de ser así</w:t>
      </w:r>
      <w:r w:rsidR="00997387" w:rsidRPr="00324EFC">
        <w:rPr>
          <w:sz w:val="24"/>
          <w:szCs w:val="24"/>
        </w:rPr>
        <w:t xml:space="preserve">, </w:t>
      </w:r>
      <w:r w:rsidR="0088059A" w:rsidRPr="00324EFC">
        <w:rPr>
          <w:sz w:val="24"/>
          <w:szCs w:val="24"/>
        </w:rPr>
        <w:t xml:space="preserve">obtener una recomendación que </w:t>
      </w:r>
      <w:r w:rsidR="00D366E8" w:rsidRPr="00324EFC">
        <w:rPr>
          <w:sz w:val="24"/>
          <w:szCs w:val="24"/>
        </w:rPr>
        <w:t xml:space="preserve">le </w:t>
      </w:r>
      <w:r w:rsidR="0088059A" w:rsidRPr="00324EFC">
        <w:rPr>
          <w:sz w:val="24"/>
          <w:szCs w:val="24"/>
        </w:rPr>
        <w:t xml:space="preserve">repare </w:t>
      </w:r>
      <w:r w:rsidR="00D366E8" w:rsidRPr="00324EFC">
        <w:rPr>
          <w:sz w:val="24"/>
          <w:szCs w:val="24"/>
        </w:rPr>
        <w:t xml:space="preserve">el daño material causado y, principalmente, </w:t>
      </w:r>
      <w:r w:rsidR="0088059A" w:rsidRPr="00324EFC">
        <w:rPr>
          <w:sz w:val="24"/>
          <w:szCs w:val="24"/>
        </w:rPr>
        <w:t>la afectación a la dignidad humana</w:t>
      </w:r>
      <w:r w:rsidR="00997387" w:rsidRPr="00324EFC">
        <w:rPr>
          <w:sz w:val="24"/>
          <w:szCs w:val="24"/>
        </w:rPr>
        <w:t>,</w:t>
      </w:r>
      <w:r w:rsidR="0088059A" w:rsidRPr="00324EFC">
        <w:rPr>
          <w:rStyle w:val="Refdenotaalpie"/>
          <w:bCs/>
          <w:color w:val="000000" w:themeColor="text1"/>
          <w:sz w:val="24"/>
          <w:szCs w:val="24"/>
        </w:rPr>
        <w:footnoteReference w:id="24"/>
      </w:r>
      <w:r w:rsidR="0088059A" w:rsidRPr="00324EFC">
        <w:rPr>
          <w:sz w:val="24"/>
          <w:szCs w:val="24"/>
        </w:rPr>
        <w:t xml:space="preserve"> que es la finalidad primordial de </w:t>
      </w:r>
      <w:r w:rsidR="00D366E8" w:rsidRPr="00324EFC">
        <w:rPr>
          <w:sz w:val="24"/>
          <w:szCs w:val="24"/>
        </w:rPr>
        <w:t>este órgano</w:t>
      </w:r>
      <w:r w:rsidR="0088059A" w:rsidRPr="00324EFC">
        <w:rPr>
          <w:sz w:val="24"/>
          <w:szCs w:val="24"/>
        </w:rPr>
        <w:t xml:space="preserve"> de control constitucional.</w:t>
      </w:r>
    </w:p>
    <w:bookmarkEnd w:id="5"/>
    <w:p w14:paraId="40933D23" w14:textId="0E442BDC" w:rsidR="009317FC" w:rsidRPr="00324EFC" w:rsidRDefault="00816D2B" w:rsidP="00324EFC">
      <w:pPr>
        <w:pStyle w:val="vietas"/>
        <w:rPr>
          <w:sz w:val="24"/>
          <w:szCs w:val="24"/>
        </w:rPr>
      </w:pPr>
      <w:r w:rsidRPr="00324EFC">
        <w:rPr>
          <w:b/>
          <w:sz w:val="24"/>
          <w:szCs w:val="24"/>
        </w:rPr>
        <w:t>D</w:t>
      </w:r>
      <w:r w:rsidR="009317FC" w:rsidRPr="00324EFC">
        <w:rPr>
          <w:b/>
          <w:sz w:val="24"/>
          <w:szCs w:val="24"/>
        </w:rPr>
        <w:t>.</w:t>
      </w:r>
      <w:r w:rsidR="009317FC" w:rsidRPr="00324EFC">
        <w:rPr>
          <w:sz w:val="24"/>
          <w:szCs w:val="24"/>
        </w:rPr>
        <w:t xml:space="preserve"> </w:t>
      </w:r>
      <w:r w:rsidR="00324EFC" w:rsidRPr="00324EFC">
        <w:rPr>
          <w:sz w:val="24"/>
          <w:szCs w:val="24"/>
        </w:rPr>
        <w:t xml:space="preserve"> </w:t>
      </w:r>
      <w:r w:rsidR="00324EFC">
        <w:rPr>
          <w:sz w:val="24"/>
          <w:szCs w:val="24"/>
        </w:rPr>
        <w:t xml:space="preserve"> </w:t>
      </w:r>
      <w:r w:rsidR="009317FC" w:rsidRPr="00324EFC">
        <w:rPr>
          <w:sz w:val="24"/>
          <w:szCs w:val="24"/>
        </w:rPr>
        <w:t xml:space="preserve">La CNDH tiene la facultad de decidir si </w:t>
      </w:r>
      <w:r w:rsidR="0007278D" w:rsidRPr="00324EFC">
        <w:rPr>
          <w:sz w:val="24"/>
          <w:szCs w:val="24"/>
        </w:rPr>
        <w:t>entrega o</w:t>
      </w:r>
      <w:r w:rsidR="009317FC" w:rsidRPr="00324EFC">
        <w:rPr>
          <w:sz w:val="24"/>
          <w:szCs w:val="24"/>
        </w:rPr>
        <w:t xml:space="preserve"> no al quejoso las pruebas o constancias </w:t>
      </w:r>
      <w:r w:rsidR="00997387" w:rsidRPr="00324EFC">
        <w:rPr>
          <w:sz w:val="24"/>
          <w:szCs w:val="24"/>
        </w:rPr>
        <w:t xml:space="preserve">que integran el </w:t>
      </w:r>
      <w:r w:rsidR="00621F7B" w:rsidRPr="00324EFC">
        <w:rPr>
          <w:sz w:val="24"/>
          <w:szCs w:val="24"/>
        </w:rPr>
        <w:t xml:space="preserve">expediente de queja </w:t>
      </w:r>
      <w:r w:rsidR="00997387" w:rsidRPr="00324EFC">
        <w:rPr>
          <w:sz w:val="24"/>
          <w:szCs w:val="24"/>
        </w:rPr>
        <w:t xml:space="preserve">y que </w:t>
      </w:r>
      <w:r w:rsidR="00621F7B" w:rsidRPr="00324EFC">
        <w:rPr>
          <w:sz w:val="24"/>
          <w:szCs w:val="24"/>
        </w:rPr>
        <w:t xml:space="preserve">fueron </w:t>
      </w:r>
      <w:r w:rsidR="009317FC" w:rsidRPr="00324EFC">
        <w:rPr>
          <w:sz w:val="24"/>
          <w:szCs w:val="24"/>
        </w:rPr>
        <w:t xml:space="preserve">presentadas por la autoridad, excepto en los casos en que el quejoso las ofrezca como medio de convicción en un procedimiento jurisdiccional, como lo dispone el artículo 48 de la </w:t>
      </w:r>
      <w:r w:rsidR="00997387" w:rsidRPr="00324EFC">
        <w:rPr>
          <w:sz w:val="24"/>
          <w:szCs w:val="24"/>
        </w:rPr>
        <w:t>l</w:t>
      </w:r>
      <w:r w:rsidR="009317FC" w:rsidRPr="00324EFC">
        <w:rPr>
          <w:sz w:val="24"/>
          <w:szCs w:val="24"/>
        </w:rPr>
        <w:t xml:space="preserve">ey </w:t>
      </w:r>
      <w:r w:rsidR="003B1D88" w:rsidRPr="00324EFC">
        <w:rPr>
          <w:sz w:val="24"/>
          <w:szCs w:val="24"/>
        </w:rPr>
        <w:t>en comento</w:t>
      </w:r>
      <w:r w:rsidR="009317FC" w:rsidRPr="00324EFC">
        <w:rPr>
          <w:sz w:val="24"/>
          <w:szCs w:val="24"/>
        </w:rPr>
        <w:t xml:space="preserve">. </w:t>
      </w:r>
      <w:r w:rsidR="00997387" w:rsidRPr="00324EFC">
        <w:rPr>
          <w:sz w:val="24"/>
          <w:szCs w:val="24"/>
        </w:rPr>
        <w:t>En consecuencia</w:t>
      </w:r>
      <w:r w:rsidR="00664B94" w:rsidRPr="00324EFC">
        <w:rPr>
          <w:sz w:val="24"/>
          <w:szCs w:val="24"/>
        </w:rPr>
        <w:t xml:space="preserve">, </w:t>
      </w:r>
      <w:r w:rsidR="009317FC" w:rsidRPr="00324EFC">
        <w:rPr>
          <w:sz w:val="24"/>
          <w:szCs w:val="24"/>
        </w:rPr>
        <w:t>el quejoso no tiene derecho de acceso al expediente de queja para conocer las pruebas presentadas</w:t>
      </w:r>
      <w:r w:rsidR="00664B94" w:rsidRPr="00324EFC">
        <w:rPr>
          <w:sz w:val="24"/>
          <w:szCs w:val="24"/>
        </w:rPr>
        <w:t xml:space="preserve"> por la autoridad</w:t>
      </w:r>
      <w:r w:rsidR="00621F7B" w:rsidRPr="00324EFC">
        <w:rPr>
          <w:sz w:val="24"/>
          <w:szCs w:val="24"/>
        </w:rPr>
        <w:t>,</w:t>
      </w:r>
      <w:r w:rsidR="00AD4B43" w:rsidRPr="00324EFC">
        <w:rPr>
          <w:sz w:val="24"/>
          <w:szCs w:val="24"/>
        </w:rPr>
        <w:t xml:space="preserve"> </w:t>
      </w:r>
      <w:r w:rsidR="00664B94" w:rsidRPr="00324EFC">
        <w:rPr>
          <w:sz w:val="24"/>
          <w:szCs w:val="24"/>
        </w:rPr>
        <w:t xml:space="preserve">por lo que </w:t>
      </w:r>
      <w:r w:rsidR="00621F7B" w:rsidRPr="00324EFC">
        <w:rPr>
          <w:sz w:val="24"/>
          <w:szCs w:val="24"/>
        </w:rPr>
        <w:t xml:space="preserve">marialmente </w:t>
      </w:r>
      <w:r w:rsidR="009317FC" w:rsidRPr="00324EFC">
        <w:rPr>
          <w:sz w:val="24"/>
          <w:szCs w:val="24"/>
        </w:rPr>
        <w:t xml:space="preserve">desconoce </w:t>
      </w:r>
      <w:r w:rsidR="00621F7B" w:rsidRPr="00324EFC">
        <w:rPr>
          <w:sz w:val="24"/>
          <w:szCs w:val="24"/>
        </w:rPr>
        <w:t>si son verdaderas o falsas y, en su caso</w:t>
      </w:r>
      <w:r w:rsidR="00997387" w:rsidRPr="00324EFC">
        <w:rPr>
          <w:sz w:val="24"/>
          <w:szCs w:val="24"/>
        </w:rPr>
        <w:t>,</w:t>
      </w:r>
      <w:r w:rsidR="00621F7B" w:rsidRPr="00324EFC">
        <w:rPr>
          <w:sz w:val="24"/>
          <w:szCs w:val="24"/>
        </w:rPr>
        <w:t xml:space="preserve"> impugnarlas toda vez que con base en ellas </w:t>
      </w:r>
      <w:r w:rsidR="00494D20" w:rsidRPr="00324EFC">
        <w:rPr>
          <w:sz w:val="24"/>
          <w:szCs w:val="24"/>
        </w:rPr>
        <w:t>la CNDH</w:t>
      </w:r>
      <w:r w:rsidR="00AD4B43" w:rsidRPr="00324EFC">
        <w:rPr>
          <w:sz w:val="24"/>
          <w:szCs w:val="24"/>
        </w:rPr>
        <w:t xml:space="preserve"> res</w:t>
      </w:r>
      <w:r w:rsidR="00621F7B" w:rsidRPr="00324EFC">
        <w:rPr>
          <w:sz w:val="24"/>
          <w:szCs w:val="24"/>
        </w:rPr>
        <w:t>uelve</w:t>
      </w:r>
      <w:r w:rsidR="00AD4B43" w:rsidRPr="00324EFC">
        <w:rPr>
          <w:sz w:val="24"/>
          <w:szCs w:val="24"/>
        </w:rPr>
        <w:t xml:space="preserve"> el expediente de queja</w:t>
      </w:r>
      <w:r w:rsidR="00494D20" w:rsidRPr="00324EFC">
        <w:rPr>
          <w:sz w:val="24"/>
          <w:szCs w:val="24"/>
        </w:rPr>
        <w:t xml:space="preserve">. </w:t>
      </w:r>
    </w:p>
    <w:p w14:paraId="51EAC9E0" w14:textId="4B3A52E0" w:rsidR="001F153F" w:rsidRPr="00324EFC" w:rsidRDefault="00816D2B" w:rsidP="00324EFC">
      <w:pPr>
        <w:pStyle w:val="vietas"/>
        <w:rPr>
          <w:sz w:val="24"/>
          <w:szCs w:val="24"/>
        </w:rPr>
      </w:pPr>
      <w:r w:rsidRPr="00324EFC">
        <w:rPr>
          <w:b/>
          <w:sz w:val="24"/>
          <w:szCs w:val="24"/>
        </w:rPr>
        <w:t>E</w:t>
      </w:r>
      <w:r w:rsidR="009317FC" w:rsidRPr="00324EFC">
        <w:rPr>
          <w:b/>
          <w:sz w:val="24"/>
          <w:szCs w:val="24"/>
        </w:rPr>
        <w:t>.</w:t>
      </w:r>
      <w:r w:rsidR="009317FC" w:rsidRPr="00324EFC">
        <w:rPr>
          <w:sz w:val="24"/>
          <w:szCs w:val="24"/>
        </w:rPr>
        <w:t xml:space="preserve"> </w:t>
      </w:r>
      <w:r w:rsidR="00324EFC" w:rsidRPr="00324EFC">
        <w:rPr>
          <w:sz w:val="24"/>
          <w:szCs w:val="24"/>
        </w:rPr>
        <w:t xml:space="preserve"> </w:t>
      </w:r>
      <w:r w:rsidR="009317FC" w:rsidRPr="00324EFC">
        <w:rPr>
          <w:sz w:val="24"/>
          <w:szCs w:val="24"/>
        </w:rPr>
        <w:t xml:space="preserve">La CNDH </w:t>
      </w:r>
      <w:r w:rsidR="00985D20" w:rsidRPr="00324EFC">
        <w:rPr>
          <w:sz w:val="24"/>
          <w:szCs w:val="24"/>
        </w:rPr>
        <w:t xml:space="preserve">también puede </w:t>
      </w:r>
      <w:r w:rsidR="009317FC" w:rsidRPr="00324EFC">
        <w:rPr>
          <w:sz w:val="24"/>
          <w:szCs w:val="24"/>
        </w:rPr>
        <w:t>concluir la queja mediante un</w:t>
      </w:r>
      <w:r w:rsidR="00985D20" w:rsidRPr="00324EFC">
        <w:rPr>
          <w:sz w:val="24"/>
          <w:szCs w:val="24"/>
        </w:rPr>
        <w:t xml:space="preserve"> </w:t>
      </w:r>
      <w:r w:rsidR="009317FC" w:rsidRPr="00324EFC">
        <w:rPr>
          <w:sz w:val="24"/>
          <w:szCs w:val="24"/>
        </w:rPr>
        <w:t xml:space="preserve">acuerdo de no responsabilidad, conforme a los numerales 44 y 45 de la </w:t>
      </w:r>
      <w:r w:rsidR="00997387" w:rsidRPr="00324EFC">
        <w:rPr>
          <w:sz w:val="24"/>
          <w:szCs w:val="24"/>
        </w:rPr>
        <w:t>l</w:t>
      </w:r>
      <w:r w:rsidR="009317FC" w:rsidRPr="00324EFC">
        <w:rPr>
          <w:sz w:val="24"/>
          <w:szCs w:val="24"/>
        </w:rPr>
        <w:t xml:space="preserve">ey </w:t>
      </w:r>
      <w:r w:rsidR="001A7E36" w:rsidRPr="00324EFC">
        <w:rPr>
          <w:sz w:val="24"/>
          <w:szCs w:val="24"/>
        </w:rPr>
        <w:t>de este organismo</w:t>
      </w:r>
      <w:r w:rsidR="009317FC" w:rsidRPr="00324EFC">
        <w:rPr>
          <w:sz w:val="24"/>
          <w:szCs w:val="24"/>
        </w:rPr>
        <w:t xml:space="preserve">. </w:t>
      </w:r>
      <w:bookmarkStart w:id="7" w:name="_Hlk165581351"/>
      <w:r w:rsidR="001F153F" w:rsidRPr="00324EFC">
        <w:rPr>
          <w:sz w:val="24"/>
          <w:szCs w:val="24"/>
        </w:rPr>
        <w:t>C</w:t>
      </w:r>
      <w:r w:rsidR="00985D20" w:rsidRPr="00324EFC">
        <w:rPr>
          <w:sz w:val="24"/>
          <w:szCs w:val="24"/>
        </w:rPr>
        <w:t xml:space="preserve">ualquiera que </w:t>
      </w:r>
      <w:r w:rsidR="00494D20" w:rsidRPr="00324EFC">
        <w:rPr>
          <w:sz w:val="24"/>
          <w:szCs w:val="24"/>
        </w:rPr>
        <w:t>sea</w:t>
      </w:r>
      <w:r w:rsidR="00985D20" w:rsidRPr="00324EFC">
        <w:rPr>
          <w:sz w:val="24"/>
          <w:szCs w:val="24"/>
        </w:rPr>
        <w:t xml:space="preserve"> la fundamentación o motivación que exponga </w:t>
      </w:r>
      <w:r w:rsidR="001F153F" w:rsidRPr="00324EFC">
        <w:rPr>
          <w:sz w:val="24"/>
          <w:szCs w:val="24"/>
        </w:rPr>
        <w:t xml:space="preserve">la CNDH, </w:t>
      </w:r>
      <w:r w:rsidR="00985D20" w:rsidRPr="00324EFC">
        <w:rPr>
          <w:sz w:val="24"/>
          <w:szCs w:val="24"/>
        </w:rPr>
        <w:t>el quejoso no tiene derecho a un recurso de impugnación</w:t>
      </w:r>
      <w:r w:rsidR="0080201B" w:rsidRPr="00324EFC">
        <w:rPr>
          <w:sz w:val="24"/>
          <w:szCs w:val="24"/>
        </w:rPr>
        <w:t xml:space="preserve"> contra dicho acuerdo</w:t>
      </w:r>
      <w:r w:rsidR="001F153F" w:rsidRPr="00324EFC">
        <w:rPr>
          <w:sz w:val="24"/>
          <w:szCs w:val="24"/>
        </w:rPr>
        <w:t>, por lo que est</w:t>
      </w:r>
      <w:r w:rsidR="0080201B" w:rsidRPr="00324EFC">
        <w:rPr>
          <w:sz w:val="24"/>
          <w:szCs w:val="24"/>
        </w:rPr>
        <w:t>a</w:t>
      </w:r>
      <w:r w:rsidR="001F153F" w:rsidRPr="00324EFC">
        <w:rPr>
          <w:sz w:val="24"/>
          <w:szCs w:val="24"/>
        </w:rPr>
        <w:t xml:space="preserve"> </w:t>
      </w:r>
      <w:r w:rsidR="0080201B" w:rsidRPr="00324EFC">
        <w:rPr>
          <w:sz w:val="24"/>
          <w:szCs w:val="24"/>
        </w:rPr>
        <w:t>decisión</w:t>
      </w:r>
      <w:r w:rsidR="001F153F" w:rsidRPr="00324EFC">
        <w:rPr>
          <w:sz w:val="24"/>
          <w:szCs w:val="24"/>
        </w:rPr>
        <w:t xml:space="preserve"> deviene en una facultad discrecional </w:t>
      </w:r>
      <w:r w:rsidR="00EB3B01" w:rsidRPr="00324EFC">
        <w:rPr>
          <w:sz w:val="24"/>
          <w:szCs w:val="24"/>
        </w:rPr>
        <w:t xml:space="preserve">y arbitraria </w:t>
      </w:r>
      <w:r w:rsidR="001F153F" w:rsidRPr="00324EFC">
        <w:rPr>
          <w:sz w:val="24"/>
          <w:szCs w:val="24"/>
        </w:rPr>
        <w:t xml:space="preserve">de los servidores públicos de la </w:t>
      </w:r>
      <w:r w:rsidR="00997387" w:rsidRPr="00324EFC">
        <w:rPr>
          <w:sz w:val="24"/>
          <w:szCs w:val="24"/>
        </w:rPr>
        <w:t>institución</w:t>
      </w:r>
      <w:r w:rsidR="001F153F" w:rsidRPr="00324EFC">
        <w:rPr>
          <w:sz w:val="24"/>
          <w:szCs w:val="24"/>
        </w:rPr>
        <w:t xml:space="preserve">. </w:t>
      </w:r>
    </w:p>
    <w:p w14:paraId="3AA24B48" w14:textId="2B22BC6C" w:rsidR="00997387" w:rsidRPr="00324EFC" w:rsidRDefault="00816D2B" w:rsidP="00324EFC">
      <w:pPr>
        <w:pStyle w:val="vietas"/>
        <w:rPr>
          <w:sz w:val="24"/>
          <w:szCs w:val="24"/>
        </w:rPr>
      </w:pPr>
      <w:r w:rsidRPr="00324EFC">
        <w:rPr>
          <w:b/>
          <w:sz w:val="24"/>
          <w:szCs w:val="24"/>
        </w:rPr>
        <w:lastRenderedPageBreak/>
        <w:t>F</w:t>
      </w:r>
      <w:r w:rsidR="009317FC" w:rsidRPr="00324EFC">
        <w:rPr>
          <w:b/>
          <w:sz w:val="24"/>
          <w:szCs w:val="24"/>
        </w:rPr>
        <w:t>.</w:t>
      </w:r>
      <w:r w:rsidR="009317FC" w:rsidRPr="00324EFC">
        <w:rPr>
          <w:sz w:val="24"/>
          <w:szCs w:val="24"/>
        </w:rPr>
        <w:t xml:space="preserve"> </w:t>
      </w:r>
      <w:r w:rsidR="00324EFC" w:rsidRPr="00324EFC">
        <w:rPr>
          <w:sz w:val="24"/>
          <w:szCs w:val="24"/>
        </w:rPr>
        <w:t xml:space="preserve">  </w:t>
      </w:r>
      <w:r w:rsidR="009317FC" w:rsidRPr="00324EFC">
        <w:rPr>
          <w:sz w:val="24"/>
          <w:szCs w:val="24"/>
        </w:rPr>
        <w:t>El quejoso</w:t>
      </w:r>
      <w:r w:rsidR="00997387" w:rsidRPr="00324EFC">
        <w:rPr>
          <w:sz w:val="24"/>
          <w:szCs w:val="24"/>
        </w:rPr>
        <w:t>,</w:t>
      </w:r>
      <w:r w:rsidR="009317FC" w:rsidRPr="00324EFC">
        <w:rPr>
          <w:sz w:val="24"/>
          <w:szCs w:val="24"/>
        </w:rPr>
        <w:t xml:space="preserve"> al presentar su documento de queja ante la CNDH, tiene la obligación de conducirse con </w:t>
      </w:r>
      <w:r w:rsidR="00997387" w:rsidRPr="00324EFC">
        <w:rPr>
          <w:sz w:val="24"/>
          <w:szCs w:val="24"/>
        </w:rPr>
        <w:t>la v</w:t>
      </w:r>
      <w:r w:rsidR="009317FC" w:rsidRPr="00324EFC">
        <w:rPr>
          <w:sz w:val="24"/>
          <w:szCs w:val="24"/>
        </w:rPr>
        <w:t>erdad, en caso de no hacerlo incurre en delito de falsedad de declaraciones rendidas ante una autoridad distinta de la judicial</w:t>
      </w:r>
      <w:r w:rsidR="00494D20" w:rsidRPr="00324EFC">
        <w:rPr>
          <w:sz w:val="24"/>
          <w:szCs w:val="24"/>
        </w:rPr>
        <w:t xml:space="preserve">, </w:t>
      </w:r>
      <w:r w:rsidR="009317FC" w:rsidRPr="00324EFC">
        <w:rPr>
          <w:sz w:val="24"/>
          <w:szCs w:val="24"/>
        </w:rPr>
        <w:t xml:space="preserve">que la CNDH deberá denunciar ante la autoridad </w:t>
      </w:r>
      <w:r w:rsidR="00494D20" w:rsidRPr="00324EFC">
        <w:rPr>
          <w:sz w:val="24"/>
          <w:szCs w:val="24"/>
        </w:rPr>
        <w:t>j</w:t>
      </w:r>
      <w:r w:rsidR="009317FC" w:rsidRPr="00324EFC">
        <w:rPr>
          <w:sz w:val="24"/>
          <w:szCs w:val="24"/>
        </w:rPr>
        <w:t xml:space="preserve">udicial (Reglamento de la CNDH, art. 146). </w:t>
      </w:r>
      <w:r w:rsidR="00997387" w:rsidRPr="00324EFC">
        <w:rPr>
          <w:sz w:val="24"/>
          <w:szCs w:val="24"/>
        </w:rPr>
        <w:t>Por el contrario, s</w:t>
      </w:r>
      <w:r w:rsidR="009317FC" w:rsidRPr="00324EFC">
        <w:rPr>
          <w:sz w:val="24"/>
          <w:szCs w:val="24"/>
        </w:rPr>
        <w:t>i la autoridad responsable es quien rinde un informe falso</w:t>
      </w:r>
      <w:r w:rsidR="00997387" w:rsidRPr="00324EFC">
        <w:rPr>
          <w:sz w:val="24"/>
          <w:szCs w:val="24"/>
        </w:rPr>
        <w:t>,</w:t>
      </w:r>
      <w:r w:rsidR="009317FC" w:rsidRPr="00324EFC">
        <w:rPr>
          <w:sz w:val="24"/>
          <w:szCs w:val="24"/>
        </w:rPr>
        <w:t xml:space="preserve"> la Ley de la CNDH no establece </w:t>
      </w:r>
      <w:r w:rsidR="00621F7B" w:rsidRPr="00324EFC">
        <w:rPr>
          <w:sz w:val="24"/>
          <w:szCs w:val="24"/>
        </w:rPr>
        <w:t>ningún recurso de impugnación ni alguna</w:t>
      </w:r>
      <w:r w:rsidR="001F153F" w:rsidRPr="00324EFC">
        <w:rPr>
          <w:sz w:val="24"/>
          <w:szCs w:val="24"/>
        </w:rPr>
        <w:t xml:space="preserve"> sanción </w:t>
      </w:r>
      <w:r w:rsidR="009317FC" w:rsidRPr="00324EFC">
        <w:rPr>
          <w:sz w:val="24"/>
          <w:szCs w:val="24"/>
        </w:rPr>
        <w:t>(Ley de la CNDH, art. 38)</w:t>
      </w:r>
      <w:r w:rsidR="00975237" w:rsidRPr="00324EFC">
        <w:rPr>
          <w:sz w:val="24"/>
          <w:szCs w:val="24"/>
        </w:rPr>
        <w:t>,</w:t>
      </w:r>
      <w:r w:rsidR="009317FC" w:rsidRPr="00324EFC">
        <w:rPr>
          <w:sz w:val="24"/>
          <w:szCs w:val="24"/>
        </w:rPr>
        <w:t xml:space="preserve"> lo cual viola el derecho de igualdad ante la ley.</w:t>
      </w:r>
      <w:r w:rsidR="001F153F" w:rsidRPr="00324EFC">
        <w:rPr>
          <w:sz w:val="24"/>
          <w:szCs w:val="24"/>
        </w:rPr>
        <w:t xml:space="preserve"> </w:t>
      </w:r>
    </w:p>
    <w:p w14:paraId="6FAF3AD3" w14:textId="5DA871CA" w:rsidR="009317FC" w:rsidRPr="0007278D" w:rsidRDefault="009317FC" w:rsidP="00324EFC">
      <w:pPr>
        <w:pStyle w:val="parrafonormalbiolex"/>
        <w:spacing w:before="120"/>
      </w:pPr>
      <w:r w:rsidRPr="0007278D">
        <w:t xml:space="preserve">Otro trato desigual es que la </w:t>
      </w:r>
      <w:r w:rsidR="00174C50" w:rsidRPr="0007278D">
        <w:t>r</w:t>
      </w:r>
      <w:r w:rsidRPr="0007278D">
        <w:t xml:space="preserve">ecomendación </w:t>
      </w:r>
      <w:r w:rsidR="001A7E36" w:rsidRPr="0007278D">
        <w:t xml:space="preserve">es definitiva para el quejoso sin derecho de impugnarla, pero </w:t>
      </w:r>
      <w:r w:rsidRPr="0007278D">
        <w:t xml:space="preserve">no es definitiva para la autoridad declarada responsable, </w:t>
      </w:r>
      <w:r w:rsidR="00A76807" w:rsidRPr="0007278D">
        <w:t xml:space="preserve">pues </w:t>
      </w:r>
      <w:r w:rsidRPr="0007278D">
        <w:t>tiene el derecho de presentar argumentos para no aceptarla o cumplirla</w:t>
      </w:r>
      <w:r w:rsidR="002C7E35" w:rsidRPr="0007278D">
        <w:t>. S</w:t>
      </w:r>
      <w:r w:rsidRPr="0007278D">
        <w:t xml:space="preserve">i la CNDH y los órganos legislativos consideran que la fundamentación y motivación son suficientes, entonces la </w:t>
      </w:r>
      <w:r w:rsidR="00174C50" w:rsidRPr="0007278D">
        <w:t>r</w:t>
      </w:r>
      <w:r w:rsidRPr="0007278D">
        <w:t>ecomendación queda sin efectos. La víctima n</w:t>
      </w:r>
      <w:r w:rsidR="00945D9E" w:rsidRPr="0007278D">
        <w:t>o</w:t>
      </w:r>
      <w:r w:rsidRPr="0007278D">
        <w:t xml:space="preserve"> tiene derecho de impugnar los argumentos de la autoridad responsable para no cumplir la </w:t>
      </w:r>
      <w:r w:rsidR="00174C50" w:rsidRPr="0007278D">
        <w:t>r</w:t>
      </w:r>
      <w:r w:rsidRPr="0007278D">
        <w:t>ecomendación (Ley de la CNDH, art. 46).</w:t>
      </w:r>
    </w:p>
    <w:bookmarkEnd w:id="7"/>
    <w:p w14:paraId="38702CA1" w14:textId="5AE6BD2E" w:rsidR="001F77A9" w:rsidRPr="00324EFC" w:rsidRDefault="00324EFC" w:rsidP="00324EFC">
      <w:pPr>
        <w:pStyle w:val="Nivel1BIOL"/>
        <w:rPr>
          <w:lang w:val="es-MX"/>
        </w:rPr>
      </w:pPr>
      <w:r w:rsidRPr="00324EFC">
        <w:rPr>
          <w:lang w:val="es-MX"/>
        </w:rPr>
        <w:t>IV. LA CNDH COMO AUTORIDAD RESPONSABLE PARA EFECTOS DEL JUICIO DE AMPARO</w:t>
      </w:r>
    </w:p>
    <w:p w14:paraId="147FD0C3" w14:textId="0558385E" w:rsidR="00151452" w:rsidRPr="0007278D" w:rsidRDefault="006B5ADB" w:rsidP="00324EFC">
      <w:pPr>
        <w:pStyle w:val="parrafonormalbiolex"/>
      </w:pPr>
      <w:r w:rsidRPr="0007278D">
        <w:t xml:space="preserve">Ante las facultades discrecionales que la Ley de la CNDH confiere a sus servidores públicos durante el procedimiento no jurisdiccional </w:t>
      </w:r>
      <w:r w:rsidR="00C70841" w:rsidRPr="0007278D">
        <w:t xml:space="preserve">y la ausencia de derechos procesales </w:t>
      </w:r>
      <w:r w:rsidR="002C7E35" w:rsidRPr="0007278D">
        <w:t xml:space="preserve">efectivos para el </w:t>
      </w:r>
      <w:r w:rsidR="00C70841" w:rsidRPr="0007278D">
        <w:t xml:space="preserve">quejoso, </w:t>
      </w:r>
      <w:r w:rsidR="002C7E35" w:rsidRPr="0007278D">
        <w:t>surge la cuestión de</w:t>
      </w:r>
      <w:r w:rsidR="00C70841" w:rsidRPr="0007278D">
        <w:t xml:space="preserve"> </w:t>
      </w:r>
      <w:r w:rsidRPr="0007278D">
        <w:t xml:space="preserve">si </w:t>
      </w:r>
      <w:r w:rsidR="00EB3C6D" w:rsidRPr="0007278D">
        <w:t xml:space="preserve">la CNDH </w:t>
      </w:r>
      <w:r w:rsidRPr="0007278D">
        <w:t xml:space="preserve">puede </w:t>
      </w:r>
      <w:r w:rsidR="002C7E35" w:rsidRPr="0007278D">
        <w:t xml:space="preserve">incurrir en violaciones </w:t>
      </w:r>
      <w:r w:rsidRPr="0007278D">
        <w:t>los derechos humanos de los quejosos</w:t>
      </w:r>
      <w:r w:rsidR="002C7E35" w:rsidRPr="0007278D">
        <w:t xml:space="preserve"> </w:t>
      </w:r>
      <w:r w:rsidRPr="0007278D">
        <w:t>y</w:t>
      </w:r>
      <w:r w:rsidR="002C7E35" w:rsidRPr="0007278D">
        <w:t>, de ser así,</w:t>
      </w:r>
      <w:r w:rsidRPr="0007278D">
        <w:t xml:space="preserve"> si es procedente el juicio de amparo </w:t>
      </w:r>
      <w:r w:rsidR="008819E4" w:rsidRPr="0007278D">
        <w:t xml:space="preserve">establecido en los artículos 103 y 107 de la </w:t>
      </w:r>
      <w:r w:rsidR="002C7E35" w:rsidRPr="0007278D">
        <w:t>carta magna</w:t>
      </w:r>
      <w:r w:rsidR="008819E4" w:rsidRPr="0007278D">
        <w:t xml:space="preserve">. </w:t>
      </w:r>
    </w:p>
    <w:p w14:paraId="6821B279" w14:textId="12267C0F" w:rsidR="001F77A9" w:rsidRPr="0007278D" w:rsidRDefault="001F77A9" w:rsidP="00324EFC">
      <w:pPr>
        <w:pStyle w:val="parrafonormalbiolex"/>
      </w:pPr>
      <w:r w:rsidRPr="0007278D">
        <w:t xml:space="preserve">La procedencia del juicio de amparo se encuentra prevista en el </w:t>
      </w:r>
      <w:r w:rsidRPr="0007278D">
        <w:rPr>
          <w:rStyle w:val="bold"/>
          <w:bCs/>
          <w:color w:val="000000" w:themeColor="text1"/>
        </w:rPr>
        <w:t xml:space="preserve">artículo </w:t>
      </w:r>
      <w:r w:rsidRPr="0007278D">
        <w:t>1, fracción I, de l</w:t>
      </w:r>
      <w:r w:rsidRPr="0007278D">
        <w:rPr>
          <w:rStyle w:val="bold"/>
          <w:bCs/>
          <w:color w:val="000000" w:themeColor="text1"/>
        </w:rPr>
        <w:t>a Ley de Amparo</w:t>
      </w:r>
      <w:r w:rsidR="002C7E35" w:rsidRPr="0007278D">
        <w:rPr>
          <w:rStyle w:val="bold"/>
          <w:bCs/>
          <w:color w:val="000000" w:themeColor="text1"/>
        </w:rPr>
        <w:t>,</w:t>
      </w:r>
      <w:r w:rsidRPr="0007278D">
        <w:rPr>
          <w:rStyle w:val="Refdenotaalpie"/>
          <w:bCs/>
          <w:color w:val="000000" w:themeColor="text1"/>
        </w:rPr>
        <w:footnoteReference w:id="25"/>
      </w:r>
      <w:r w:rsidRPr="0007278D">
        <w:rPr>
          <w:rStyle w:val="bold"/>
          <w:bCs/>
          <w:color w:val="000000" w:themeColor="text1"/>
        </w:rPr>
        <w:t xml:space="preserve"> donde se </w:t>
      </w:r>
      <w:r w:rsidRPr="0007278D">
        <w:t>señala</w:t>
      </w:r>
      <w:r w:rsidR="002C7E35" w:rsidRPr="0007278D">
        <w:t xml:space="preserve"> </w:t>
      </w:r>
      <w:r w:rsidRPr="0007278D">
        <w:t xml:space="preserve">que tiene por objeto resolver toda controversia que se suscite contra todo acto, omisión o norma general que viole los derechos humanos reconocidos por la Constitución Federal y los tratados internacionales de los que el Estado </w:t>
      </w:r>
      <w:r w:rsidR="002C7E35" w:rsidRPr="0007278D">
        <w:t>m</w:t>
      </w:r>
      <w:r w:rsidRPr="0007278D">
        <w:t xml:space="preserve">exicano sea parte. En suma, </w:t>
      </w:r>
      <w:r w:rsidRPr="0007278D">
        <w:rPr>
          <w:lang w:val="es-ES"/>
        </w:rPr>
        <w:t>sirve para calificar la constitucionalidad de actos u omisiones de autoridad que violen derechos humanos</w:t>
      </w:r>
      <w:r w:rsidRPr="0007278D">
        <w:t>, con el fin de proteger a la dignidad humana de los ultrajes o abusos de poder del gobernante</w:t>
      </w:r>
      <w:bookmarkStart w:id="8" w:name="_Hlk166250519"/>
      <w:bookmarkStart w:id="9" w:name="_Hlk168357538"/>
      <w:r w:rsidR="002C7E35" w:rsidRPr="0007278D">
        <w:t>.</w:t>
      </w:r>
      <w:r w:rsidRPr="0007278D">
        <w:rPr>
          <w:rStyle w:val="Refdenotaalpie"/>
          <w:bCs/>
          <w:color w:val="000000" w:themeColor="text1"/>
        </w:rPr>
        <w:footnoteReference w:id="26"/>
      </w:r>
    </w:p>
    <w:p w14:paraId="352E8E8C" w14:textId="78DB20E9" w:rsidR="002C7E35" w:rsidRDefault="001F77A9" w:rsidP="00324EFC">
      <w:pPr>
        <w:pStyle w:val="parrafonormalbiolex"/>
      </w:pPr>
      <w:r w:rsidRPr="0007278D">
        <w:t xml:space="preserve">El juicio de amparo se ejerce </w:t>
      </w:r>
      <w:r w:rsidR="002C7E35" w:rsidRPr="0007278D">
        <w:t>de acuerdo con</w:t>
      </w:r>
      <w:r w:rsidRPr="0007278D">
        <w:t xml:space="preserve"> la naturaleza del acto de autoridad que se pretende </w:t>
      </w:r>
      <w:r w:rsidR="002C7E35" w:rsidRPr="0007278D">
        <w:t>impugnar</w:t>
      </w:r>
      <w:r w:rsidRPr="0007278D">
        <w:t xml:space="preserve">, para lo cual </w:t>
      </w:r>
      <w:r w:rsidR="002C7E35" w:rsidRPr="0007278D">
        <w:t>se contemplan dos</w:t>
      </w:r>
      <w:r w:rsidRPr="0007278D">
        <w:t xml:space="preserve"> vías: amparo directo en contra de sentencias definitivas, laudos y resoluciones que pongan fin al juicio</w:t>
      </w:r>
      <w:r w:rsidR="002C7E35" w:rsidRPr="0007278D">
        <w:t xml:space="preserve">; y </w:t>
      </w:r>
      <w:r w:rsidRPr="0007278D">
        <w:t>amparo indirecto que procede, entre otros casos, en los señalados en el artículo 107, fracción V, de la Ley de Amparo</w:t>
      </w:r>
      <w:r w:rsidR="00EF44EA" w:rsidRPr="0007278D">
        <w:t>,</w:t>
      </w:r>
      <w:r w:rsidRPr="0007278D">
        <w:t xml:space="preserve"> que dice: </w:t>
      </w:r>
    </w:p>
    <w:p w14:paraId="49C74DAE" w14:textId="77777777" w:rsidR="00CF6AEF" w:rsidRDefault="00CF6AEF" w:rsidP="00324EFC">
      <w:pPr>
        <w:pStyle w:val="parrafonormalbiolex"/>
      </w:pPr>
    </w:p>
    <w:p w14:paraId="41960AD6" w14:textId="77777777" w:rsidR="00CF6AEF" w:rsidRDefault="00CF6AEF" w:rsidP="00324EFC">
      <w:pPr>
        <w:pStyle w:val="parrafonormalbiolex"/>
      </w:pPr>
    </w:p>
    <w:p w14:paraId="61358B66" w14:textId="77777777" w:rsidR="00CF6AEF" w:rsidRPr="0007278D" w:rsidRDefault="00CF6AEF" w:rsidP="00324EFC">
      <w:pPr>
        <w:pStyle w:val="parrafonormalbiolex"/>
      </w:pPr>
    </w:p>
    <w:p w14:paraId="6FC8AD36" w14:textId="24AF8521" w:rsidR="001F77A9" w:rsidRPr="0007278D" w:rsidRDefault="001F77A9" w:rsidP="00324EFC">
      <w:pPr>
        <w:pStyle w:val="Citalarga"/>
      </w:pPr>
      <w:r w:rsidRPr="0007278D">
        <w:lastRenderedPageBreak/>
        <w:t>Contra actos en juicio cuyos efectos sean de imposible reparación, entendiéndose por ellos los que afecten materialmente derechos sustantivos tutelados en la Constitución Política de los Estados Unidos Mexicanos y en los tratados internacionales de los que el Estado Mexicano sea parte.</w:t>
      </w:r>
      <w:r w:rsidR="002C7E35" w:rsidRPr="0007278D">
        <w:rPr>
          <w:rStyle w:val="Refdenotaalpie"/>
          <w:rFonts w:ascii="Unna" w:hAnsi="Unna"/>
          <w:bCs/>
          <w:color w:val="000000" w:themeColor="text1"/>
          <w:sz w:val="24"/>
          <w:szCs w:val="24"/>
        </w:rPr>
        <w:footnoteReference w:id="27"/>
      </w:r>
    </w:p>
    <w:p w14:paraId="1135494D" w14:textId="2DC69C3D" w:rsidR="001F77A9" w:rsidRPr="0007278D" w:rsidRDefault="001F77A9" w:rsidP="00324EFC">
      <w:pPr>
        <w:pStyle w:val="parrafonormalbiolex"/>
      </w:pPr>
      <w:r w:rsidRPr="0007278D">
        <w:t xml:space="preserve">El especial, el juicio de amparo indirecto se tramita ante </w:t>
      </w:r>
      <w:r w:rsidRPr="0007278D">
        <w:rPr>
          <w:lang w:val="es-ES"/>
        </w:rPr>
        <w:t xml:space="preserve">los </w:t>
      </w:r>
      <w:r w:rsidR="00CB3EDA" w:rsidRPr="0007278D">
        <w:rPr>
          <w:lang w:val="es-ES"/>
        </w:rPr>
        <w:t>t</w:t>
      </w:r>
      <w:r w:rsidRPr="0007278D">
        <w:rPr>
          <w:lang w:val="es-ES"/>
        </w:rPr>
        <w:t>ribunales del Poder Judicial de la Federación</w:t>
      </w:r>
      <w:r w:rsidRPr="0007278D">
        <w:t xml:space="preserve">, para proceder contra actos </w:t>
      </w:r>
      <w:r w:rsidR="00AC7B2B" w:rsidRPr="0007278D">
        <w:t xml:space="preserve">de autoridad </w:t>
      </w:r>
      <w:r w:rsidRPr="0007278D">
        <w:t>dictados dentro del juicio, siempre que sean de imposible reparación, esto es, violen de manera directa e inmediata derechos sustantivos.</w:t>
      </w:r>
      <w:bookmarkEnd w:id="8"/>
      <w:r w:rsidR="00D85C1A" w:rsidRPr="0007278D">
        <w:t xml:space="preserve"> </w:t>
      </w:r>
      <w:r w:rsidRPr="0007278D">
        <w:t>L</w:t>
      </w:r>
      <w:r w:rsidRPr="0007278D">
        <w:rPr>
          <w:lang w:val="es-ES"/>
        </w:rPr>
        <w:t xml:space="preserve">os </w:t>
      </w:r>
      <w:r w:rsidR="00791A90" w:rsidRPr="0007278D">
        <w:rPr>
          <w:lang w:val="es-ES"/>
        </w:rPr>
        <w:t>tribunales federales</w:t>
      </w:r>
      <w:r w:rsidR="00CB3EDA" w:rsidRPr="0007278D">
        <w:rPr>
          <w:lang w:val="es-ES"/>
        </w:rPr>
        <w:t>,</w:t>
      </w:r>
      <w:r w:rsidR="00791A90" w:rsidRPr="0007278D">
        <w:rPr>
          <w:lang w:val="es-ES"/>
        </w:rPr>
        <w:t xml:space="preserve"> </w:t>
      </w:r>
      <w:r w:rsidRPr="0007278D">
        <w:rPr>
          <w:lang w:val="es-ES"/>
        </w:rPr>
        <w:t xml:space="preserve">al aplicar las normas jurídicas generales a casos concretos, interpretan su sentido e integran sus alcances para formar la jurisprudencia. La jurisprudencia es fuente de Derecho que </w:t>
      </w:r>
      <w:r w:rsidRPr="0007278D">
        <w:t xml:space="preserve">surge de las ejecutorias que emiten principalmente la Suprema Corte de Justicia de la Nación, los </w:t>
      </w:r>
      <w:r w:rsidR="00CB3EDA" w:rsidRPr="0007278D">
        <w:t>plenos regionales y los tribunales colegiados de circuito.</w:t>
      </w:r>
      <w:r w:rsidRPr="0007278D">
        <w:rPr>
          <w:rStyle w:val="Refdenotaalpie"/>
          <w:bCs/>
          <w:color w:val="000000" w:themeColor="text1"/>
        </w:rPr>
        <w:footnoteReference w:id="28"/>
      </w:r>
    </w:p>
    <w:p w14:paraId="4449BC88" w14:textId="240DA2ED" w:rsidR="001F77A9" w:rsidRPr="0007278D" w:rsidRDefault="001F77A9" w:rsidP="00324EFC">
      <w:pPr>
        <w:pStyle w:val="parrafonormalbiolex"/>
      </w:pPr>
      <w:r w:rsidRPr="0007278D">
        <w:t>La jurisprudencia es de cumplimiento obligatorio para los tribunales federales</w:t>
      </w:r>
      <w:r w:rsidR="00CB3EDA" w:rsidRPr="0007278D">
        <w:t>,</w:t>
      </w:r>
      <w:r w:rsidRPr="0007278D">
        <w:t xml:space="preserve"> </w:t>
      </w:r>
      <w:r w:rsidR="00CB3EDA" w:rsidRPr="0007278D">
        <w:t xml:space="preserve">siguiendo un </w:t>
      </w:r>
      <w:r w:rsidR="00791A90" w:rsidRPr="0007278D">
        <w:t xml:space="preserve">orden descendente de </w:t>
      </w:r>
      <w:r w:rsidR="00CB3EDA" w:rsidRPr="0007278D">
        <w:t>jerarquía, de mayor a mejor. En tal sentido, cumple</w:t>
      </w:r>
      <w:r w:rsidRPr="0007278D">
        <w:t xml:space="preserve"> </w:t>
      </w:r>
      <w:r w:rsidR="00CB3EDA" w:rsidRPr="0007278D">
        <w:t>una</w:t>
      </w:r>
      <w:r w:rsidRPr="0007278D">
        <w:t xml:space="preserve"> función reguladora para conservar la puntual observancia de la ley y unificar su interpretación, </w:t>
      </w:r>
      <w:r w:rsidR="00791A90" w:rsidRPr="0007278D">
        <w:t xml:space="preserve">estableciendo </w:t>
      </w:r>
      <w:r w:rsidRPr="0007278D">
        <w:t xml:space="preserve">límites a la actuación de los órganos del Estado </w:t>
      </w:r>
      <w:r w:rsidRPr="0007278D">
        <w:rPr>
          <w:lang w:val="es-ES"/>
        </w:rPr>
        <w:t>en relación con las normas constitucionales y los derechos humanos</w:t>
      </w:r>
      <w:r w:rsidR="00CB3EDA" w:rsidRPr="0007278D">
        <w:rPr>
          <w:lang w:val="es-ES"/>
        </w:rPr>
        <w:t>.</w:t>
      </w:r>
      <w:r w:rsidRPr="0007278D">
        <w:rPr>
          <w:rStyle w:val="Refdenotaalpie"/>
          <w:bCs/>
          <w:color w:val="000000" w:themeColor="text1"/>
          <w:lang w:val="es-ES"/>
        </w:rPr>
        <w:footnoteReference w:id="29"/>
      </w:r>
    </w:p>
    <w:p w14:paraId="7687F4ED" w14:textId="57082A2F" w:rsidR="00BD5A95" w:rsidRPr="0007278D" w:rsidRDefault="00791A90" w:rsidP="00324EFC">
      <w:pPr>
        <w:pStyle w:val="parrafonormalbiolex"/>
      </w:pPr>
      <w:r w:rsidRPr="0007278D">
        <w:rPr>
          <w:shd w:val="clear" w:color="auto" w:fill="FFFFFF"/>
        </w:rPr>
        <w:t xml:space="preserve">En la evolución de los criterios </w:t>
      </w:r>
      <w:r w:rsidR="00C638E7" w:rsidRPr="0007278D">
        <w:rPr>
          <w:shd w:val="clear" w:color="auto" w:fill="FFFFFF"/>
        </w:rPr>
        <w:t>interpretativos</w:t>
      </w:r>
      <w:r w:rsidRPr="0007278D">
        <w:rPr>
          <w:shd w:val="clear" w:color="auto" w:fill="FFFFFF"/>
        </w:rPr>
        <w:t xml:space="preserve"> de los </w:t>
      </w:r>
      <w:r w:rsidRPr="0007278D">
        <w:t>tribunales federales,</w:t>
      </w:r>
      <w:r w:rsidRPr="0007278D">
        <w:rPr>
          <w:shd w:val="clear" w:color="auto" w:fill="FFFFFF"/>
        </w:rPr>
        <w:t xml:space="preserve"> en un principio </w:t>
      </w:r>
      <w:r w:rsidR="00CB3EDA" w:rsidRPr="0007278D">
        <w:rPr>
          <w:shd w:val="clear" w:color="auto" w:fill="FFFFFF"/>
        </w:rPr>
        <w:t xml:space="preserve">se resolvió </w:t>
      </w:r>
      <w:r w:rsidR="00EF44EA" w:rsidRPr="0007278D">
        <w:rPr>
          <w:shd w:val="clear" w:color="auto" w:fill="FFFFFF"/>
        </w:rPr>
        <w:t xml:space="preserve">que </w:t>
      </w:r>
      <w:r w:rsidRPr="0007278D">
        <w:rPr>
          <w:shd w:val="clear" w:color="auto" w:fill="FFFFFF"/>
        </w:rPr>
        <w:t xml:space="preserve">la CNDH no </w:t>
      </w:r>
      <w:r w:rsidR="00EF44EA" w:rsidRPr="0007278D">
        <w:rPr>
          <w:shd w:val="clear" w:color="auto" w:fill="FFFFFF"/>
        </w:rPr>
        <w:t xml:space="preserve">es </w:t>
      </w:r>
      <w:r w:rsidRPr="0007278D">
        <w:rPr>
          <w:shd w:val="clear" w:color="auto" w:fill="FFFFFF"/>
        </w:rPr>
        <w:t xml:space="preserve">autoridad responsable para efectos del juicio de amparo, </w:t>
      </w:r>
      <w:r w:rsidRPr="0007278D">
        <w:t>porque se actualiza la causal de improcedencia prevista en el artículo 61, fracción XXIII, de la Ley de Amparo, en relación con los artículos 102, apartado B y 103 de la Constitución Federal</w:t>
      </w:r>
      <w:r w:rsidR="00536955" w:rsidRPr="0007278D">
        <w:t>.</w:t>
      </w:r>
      <w:r w:rsidRPr="0007278D">
        <w:t xml:space="preserve"> </w:t>
      </w:r>
      <w:r w:rsidR="00FD6ECC" w:rsidRPr="0007278D">
        <w:t>La Tesis Aislada P. XCVII/98</w:t>
      </w:r>
      <w:r w:rsidR="00CB3EDA" w:rsidRPr="0007278D">
        <w:t xml:space="preserve"> </w:t>
      </w:r>
      <w:r w:rsidR="00FD6ECC" w:rsidRPr="0007278D">
        <w:t>resume el argumento central diciendo que e</w:t>
      </w:r>
      <w:r w:rsidRPr="0007278D">
        <w:t>ste organismo tutela los derechos humanos desde una perspectiva política y cuasi jurisdiccional, de tal modo que las determinaciones finales que emita</w:t>
      </w:r>
      <w:r w:rsidR="00CB3EDA" w:rsidRPr="0007278D">
        <w:t>,</w:t>
      </w:r>
      <w:r w:rsidRPr="0007278D">
        <w:t xml:space="preserve"> al no ser actos de autoridad</w:t>
      </w:r>
      <w:r w:rsidR="00CB3EDA" w:rsidRPr="0007278D">
        <w:t xml:space="preserve">, </w:t>
      </w:r>
      <w:r w:rsidRPr="0007278D">
        <w:t>son inimpugnables mediante el juicio de amparo; además, ello significaría ejercer un medio de control sobre otro, esto es, uno jurisdiccional sobre uno no jurisdiccional</w:t>
      </w:r>
      <w:r w:rsidR="00CB3EDA" w:rsidRPr="0007278D">
        <w:t>.</w:t>
      </w:r>
      <w:r w:rsidRPr="0007278D">
        <w:rPr>
          <w:rStyle w:val="Refdenotaalpie"/>
          <w:color w:val="000000" w:themeColor="text1"/>
        </w:rPr>
        <w:footnoteReference w:id="30"/>
      </w:r>
      <w:r w:rsidRPr="0007278D">
        <w:t xml:space="preserve"> </w:t>
      </w:r>
    </w:p>
    <w:p w14:paraId="2DFF2717" w14:textId="48BC2735" w:rsidR="00C638E7" w:rsidRPr="0007278D" w:rsidRDefault="00C638E7" w:rsidP="00324EFC">
      <w:pPr>
        <w:pStyle w:val="parrafonormalbiolex"/>
        <w:rPr>
          <w:rStyle w:val="bold"/>
          <w:bCs/>
          <w:color w:val="000000" w:themeColor="text1"/>
        </w:rPr>
      </w:pPr>
      <w:r w:rsidRPr="0007278D">
        <w:t xml:space="preserve">En un criterio </w:t>
      </w:r>
      <w:r w:rsidR="000B385E" w:rsidRPr="0007278D">
        <w:t>opuesto</w:t>
      </w:r>
      <w:r w:rsidRPr="0007278D">
        <w:t xml:space="preserve"> al anterior, en abril de 2000</w:t>
      </w:r>
      <w:r w:rsidR="00CB3EDA" w:rsidRPr="0007278D">
        <w:t>,</w:t>
      </w:r>
      <w:r w:rsidRPr="0007278D">
        <w:t xml:space="preserve"> el Pleno de la Suprema Corte de Justicia de la Nación </w:t>
      </w:r>
      <w:r w:rsidR="000B385E" w:rsidRPr="0007278D">
        <w:t>formuló</w:t>
      </w:r>
      <w:r w:rsidRPr="0007278D">
        <w:t xml:space="preserve"> la Tesis Aislada P. XLVIII/2000, de rubro </w:t>
      </w:r>
      <w:r w:rsidRPr="0007278D">
        <w:rPr>
          <w:i/>
          <w:iCs/>
        </w:rPr>
        <w:t>C</w:t>
      </w:r>
      <w:r w:rsidR="0033575B" w:rsidRPr="0007278D">
        <w:rPr>
          <w:i/>
          <w:iCs/>
        </w:rPr>
        <w:t>omisión Nacional de Derechos Humanos. La negativa a expedir copia de constancias relativas a los expedientes de queja a las partes que la solicitan para exhibirlas en juicio, viola la garantía de audiencia, aun cuando se aduzcan razones de confidencialidad</w:t>
      </w:r>
      <w:r w:rsidRPr="0007278D">
        <w:t xml:space="preserve">, </w:t>
      </w:r>
      <w:r w:rsidR="0033575B" w:rsidRPr="0007278D">
        <w:t xml:space="preserve">en la cual </w:t>
      </w:r>
      <w:r w:rsidRPr="0007278D">
        <w:t>interpretó que</w:t>
      </w:r>
      <w:r w:rsidR="0033575B" w:rsidRPr="0007278D">
        <w:t>,</w:t>
      </w:r>
      <w:r w:rsidRPr="0007278D">
        <w:t xml:space="preserve"> durante el procedimiento de queja</w:t>
      </w:r>
      <w:r w:rsidR="0033575B" w:rsidRPr="0007278D">
        <w:t xml:space="preserve">, </w:t>
      </w:r>
      <w:r w:rsidRPr="0007278D">
        <w:t xml:space="preserve">la CNDH puede realizar actos de autoridad intraprocesales que </w:t>
      </w:r>
      <w:r w:rsidRPr="0007278D">
        <w:rPr>
          <w:shd w:val="clear" w:color="auto" w:fill="FFFFFF"/>
        </w:rPr>
        <w:t xml:space="preserve">violen los derechos humanos del quejoso, por lo que </w:t>
      </w:r>
      <w:r w:rsidRPr="0007278D">
        <w:rPr>
          <w:shd w:val="clear" w:color="auto" w:fill="FFFFFF"/>
        </w:rPr>
        <w:lastRenderedPageBreak/>
        <w:t>procede el juicio de amparo indirecto</w:t>
      </w:r>
      <w:r w:rsidR="0033575B" w:rsidRPr="0007278D">
        <w:rPr>
          <w:shd w:val="clear" w:color="auto" w:fill="FFFFFF"/>
        </w:rPr>
        <w:t>.</w:t>
      </w:r>
      <w:r w:rsidRPr="0007278D">
        <w:rPr>
          <w:rStyle w:val="Refdenotaalpie"/>
          <w:bCs/>
          <w:color w:val="000000" w:themeColor="text1"/>
          <w:shd w:val="clear" w:color="auto" w:fill="FFFFFF"/>
        </w:rPr>
        <w:footnoteReference w:id="31"/>
      </w:r>
      <w:r w:rsidRPr="0007278D">
        <w:rPr>
          <w:shd w:val="clear" w:color="auto" w:fill="FFFFFF"/>
        </w:rPr>
        <w:t xml:space="preserve"> Este criterio interpretativo fue reiterado en otras </w:t>
      </w:r>
      <w:r w:rsidR="0033575B" w:rsidRPr="0007278D">
        <w:rPr>
          <w:shd w:val="clear" w:color="auto" w:fill="FFFFFF"/>
        </w:rPr>
        <w:t>tesis aisladas</w:t>
      </w:r>
      <w:r w:rsidRPr="0007278D">
        <w:rPr>
          <w:shd w:val="clear" w:color="auto" w:fill="FFFFFF"/>
        </w:rPr>
        <w:t>, donde se señaló que puede</w:t>
      </w:r>
      <w:r w:rsidR="0033575B" w:rsidRPr="0007278D">
        <w:rPr>
          <w:shd w:val="clear" w:color="auto" w:fill="FFFFFF"/>
        </w:rPr>
        <w:t>n</w:t>
      </w:r>
      <w:r w:rsidRPr="0007278D">
        <w:rPr>
          <w:shd w:val="clear" w:color="auto" w:fill="FFFFFF"/>
        </w:rPr>
        <w:t xml:space="preserve"> realizar actos de autoridad que violan los derechos humanos del quejoso, como </w:t>
      </w:r>
      <w:r w:rsidRPr="0007278D">
        <w:t>el derecho de acceso a la justicia, de defensa, seguridad jurídica, de previa audiencia, entre otros</w:t>
      </w:r>
      <w:r w:rsidR="0033575B" w:rsidRPr="0007278D">
        <w:t>.</w:t>
      </w:r>
      <w:r w:rsidRPr="0007278D">
        <w:rPr>
          <w:rStyle w:val="Refdenotaalpie"/>
          <w:bCs/>
          <w:color w:val="000000" w:themeColor="text1"/>
        </w:rPr>
        <w:footnoteReference w:id="32"/>
      </w:r>
      <w:r w:rsidRPr="0007278D">
        <w:rPr>
          <w:rStyle w:val="bold"/>
          <w:bCs/>
          <w:color w:val="000000" w:themeColor="text1"/>
        </w:rPr>
        <w:t xml:space="preserve"> </w:t>
      </w:r>
    </w:p>
    <w:p w14:paraId="444AD7F3" w14:textId="3AE5D3FC" w:rsidR="00B00B20" w:rsidRPr="0007278D" w:rsidRDefault="0033575B" w:rsidP="00324EFC">
      <w:pPr>
        <w:pStyle w:val="parrafonormalbiolex"/>
      </w:pPr>
      <w:r w:rsidRPr="0007278D">
        <w:t xml:space="preserve">Ante la existencia de tesis aisladas </w:t>
      </w:r>
      <w:r w:rsidR="000B385E" w:rsidRPr="0007278D">
        <w:t xml:space="preserve">con </w:t>
      </w:r>
      <w:r w:rsidR="00B00B20" w:rsidRPr="0007278D">
        <w:t xml:space="preserve">criterios </w:t>
      </w:r>
      <w:r w:rsidR="00C63BF2" w:rsidRPr="0007278D">
        <w:t>divergentes</w:t>
      </w:r>
      <w:r w:rsidR="00B00B20" w:rsidRPr="0007278D">
        <w:t xml:space="preserve">, en mayo de 2016 la </w:t>
      </w:r>
      <w:r w:rsidR="003E6FEA" w:rsidRPr="0007278D">
        <w:t>S</w:t>
      </w:r>
      <w:r w:rsidRPr="0007278D">
        <w:t xml:space="preserve">egunda </w:t>
      </w:r>
      <w:r w:rsidR="003E6FEA" w:rsidRPr="0007278D">
        <w:t>S</w:t>
      </w:r>
      <w:r w:rsidRPr="0007278D">
        <w:t xml:space="preserve">ala </w:t>
      </w:r>
      <w:r w:rsidR="00B00B20" w:rsidRPr="0007278D">
        <w:t>de la Suprema Corte de Justicia de la Nación</w:t>
      </w:r>
      <w:r w:rsidRPr="0007278D">
        <w:t>,</w:t>
      </w:r>
      <w:r w:rsidR="00B00B20" w:rsidRPr="0007278D">
        <w:t xml:space="preserve"> al resolver el amparo en revisión 742/2015, </w:t>
      </w:r>
      <w:r w:rsidR="00C63BF2" w:rsidRPr="0007278D">
        <w:t xml:space="preserve">emitió una jurisprudencia </w:t>
      </w:r>
      <w:r w:rsidR="008A2328" w:rsidRPr="0007278D">
        <w:t xml:space="preserve">donde </w:t>
      </w:r>
      <w:r w:rsidR="00B00B20" w:rsidRPr="0007278D">
        <w:t xml:space="preserve">sostuvo </w:t>
      </w:r>
      <w:r w:rsidR="00C63BF2" w:rsidRPr="0007278D">
        <w:t xml:space="preserve">que </w:t>
      </w:r>
      <w:r w:rsidR="008A2328" w:rsidRPr="0007278D">
        <w:t>los actos de la CNDH</w:t>
      </w:r>
      <w:r w:rsidRPr="0007278D">
        <w:t>,</w:t>
      </w:r>
      <w:r w:rsidR="008A2328" w:rsidRPr="0007278D">
        <w:t xml:space="preserve"> </w:t>
      </w:r>
      <w:r w:rsidR="004431C5" w:rsidRPr="0007278D">
        <w:t>al</w:t>
      </w:r>
      <w:r w:rsidR="00B00B20" w:rsidRPr="0007278D">
        <w:t xml:space="preserve"> no ser actos de autoridad</w:t>
      </w:r>
      <w:r w:rsidR="004431C5" w:rsidRPr="0007278D">
        <w:t>,</w:t>
      </w:r>
      <w:r w:rsidR="00C63BF2" w:rsidRPr="0007278D">
        <w:t xml:space="preserve"> </w:t>
      </w:r>
      <w:r w:rsidR="00FF5678" w:rsidRPr="0007278D">
        <w:t xml:space="preserve">impiden que </w:t>
      </w:r>
      <w:r w:rsidR="004431C5" w:rsidRPr="0007278D">
        <w:t>proced</w:t>
      </w:r>
      <w:r w:rsidR="00FF5678" w:rsidRPr="0007278D">
        <w:t>a</w:t>
      </w:r>
      <w:r w:rsidR="004431C5" w:rsidRPr="0007278D">
        <w:t xml:space="preserve"> </w:t>
      </w:r>
      <w:r w:rsidR="00C63BF2" w:rsidRPr="0007278D">
        <w:t>el juicio de amparo</w:t>
      </w:r>
      <w:r w:rsidR="004431C5" w:rsidRPr="0007278D">
        <w:t xml:space="preserve"> </w:t>
      </w:r>
      <w:r w:rsidR="00FF5678" w:rsidRPr="0007278D">
        <w:t xml:space="preserve">en </w:t>
      </w:r>
      <w:r w:rsidR="00B00B20" w:rsidRPr="0007278D">
        <w:t xml:space="preserve">contra </w:t>
      </w:r>
      <w:r w:rsidR="00FF5678" w:rsidRPr="0007278D">
        <w:t xml:space="preserve">de sus </w:t>
      </w:r>
      <w:r w:rsidR="00B00B20" w:rsidRPr="0007278D">
        <w:t xml:space="preserve">procedimientos </w:t>
      </w:r>
      <w:r w:rsidR="00FF5678" w:rsidRPr="0007278D">
        <w:t xml:space="preserve">o en </w:t>
      </w:r>
      <w:r w:rsidR="00B00B20" w:rsidRPr="0007278D">
        <w:t xml:space="preserve">contra </w:t>
      </w:r>
      <w:r w:rsidR="00FF5678" w:rsidRPr="0007278D">
        <w:t>de las</w:t>
      </w:r>
      <w:r w:rsidR="00B00B20" w:rsidRPr="0007278D">
        <w:t xml:space="preserve"> actuaciones </w:t>
      </w:r>
      <w:r w:rsidR="00FF5678" w:rsidRPr="0007278D">
        <w:t xml:space="preserve">realizadas durante </w:t>
      </w:r>
      <w:r w:rsidR="00B00B20" w:rsidRPr="0007278D">
        <w:t>su substanciación, incluyendo la resolución que deba recaer a los mismos, ya sea una recomendación, un acuerdo de no responsabilidad, el desechamiento</w:t>
      </w:r>
      <w:r w:rsidR="00FF5678" w:rsidRPr="0007278D">
        <w:t xml:space="preserve"> de la queja</w:t>
      </w:r>
      <w:r w:rsidR="00B00B20" w:rsidRPr="0007278D">
        <w:t xml:space="preserve"> o el requerimiento de mayor información con el fin de emitir una recomendación. </w:t>
      </w:r>
    </w:p>
    <w:bookmarkEnd w:id="9"/>
    <w:p w14:paraId="0124131B" w14:textId="10DE2C10" w:rsidR="001F77A9" w:rsidRPr="0007278D" w:rsidRDefault="0033575B" w:rsidP="00324EFC">
      <w:pPr>
        <w:pStyle w:val="parrafonormalbiolex"/>
      </w:pPr>
      <w:r w:rsidRPr="0007278D">
        <w:rPr>
          <w:rStyle w:val="bold"/>
          <w:bCs/>
          <w:color w:val="000000" w:themeColor="text1"/>
        </w:rPr>
        <w:t>En desarrollo d</w:t>
      </w:r>
      <w:r w:rsidR="00211B35" w:rsidRPr="0007278D">
        <w:rPr>
          <w:rStyle w:val="bold"/>
          <w:bCs/>
          <w:color w:val="000000" w:themeColor="text1"/>
        </w:rPr>
        <w:t xml:space="preserve">el </w:t>
      </w:r>
      <w:r w:rsidR="00797ACA" w:rsidRPr="0007278D">
        <w:rPr>
          <w:rStyle w:val="bold"/>
          <w:bCs/>
          <w:color w:val="000000" w:themeColor="text1"/>
        </w:rPr>
        <w:t xml:space="preserve">mismo </w:t>
      </w:r>
      <w:r w:rsidR="00211B35" w:rsidRPr="0007278D">
        <w:rPr>
          <w:rStyle w:val="bold"/>
          <w:bCs/>
          <w:color w:val="000000" w:themeColor="text1"/>
        </w:rPr>
        <w:t xml:space="preserve">tema, </w:t>
      </w:r>
      <w:r w:rsidR="000B385E" w:rsidRPr="0007278D">
        <w:rPr>
          <w:rStyle w:val="bold"/>
          <w:bCs/>
          <w:color w:val="000000" w:themeColor="text1"/>
        </w:rPr>
        <w:t xml:space="preserve">en 2018 </w:t>
      </w:r>
      <w:r w:rsidR="000B385E" w:rsidRPr="0007278D">
        <w:t>l</w:t>
      </w:r>
      <w:r w:rsidR="000B385E" w:rsidRPr="0007278D">
        <w:rPr>
          <w:shd w:val="clear" w:color="auto" w:fill="FFFFFF"/>
        </w:rPr>
        <w:t xml:space="preserve">a Primera Sala de la Suprema Corte de Justicia de la Nación dictó la jurisprudencia </w:t>
      </w:r>
      <w:r w:rsidR="000B385E" w:rsidRPr="0007278D">
        <w:t xml:space="preserve">1a./J. 23/2018 (10a.), de </w:t>
      </w:r>
      <w:r w:rsidR="000B385E" w:rsidRPr="0007278D">
        <w:rPr>
          <w:shd w:val="clear" w:color="auto" w:fill="FFFFFF"/>
        </w:rPr>
        <w:t xml:space="preserve">rubro </w:t>
      </w:r>
      <w:r w:rsidR="003E6FEA" w:rsidRPr="0007278D">
        <w:rPr>
          <w:i/>
          <w:iCs/>
          <w:shd w:val="clear" w:color="auto" w:fill="FFFFFF"/>
        </w:rPr>
        <w:t>Procede el juicio de amparo cuando la comisión nacional de derechos humanos desecha un recurso de impugnación por improcedente</w:t>
      </w:r>
      <w:r w:rsidR="000B385E" w:rsidRPr="0007278D">
        <w:rPr>
          <w:shd w:val="clear" w:color="auto" w:fill="FFFFFF"/>
        </w:rPr>
        <w:t>.</w:t>
      </w:r>
      <w:r w:rsidR="004431C5" w:rsidRPr="0007278D">
        <w:rPr>
          <w:rStyle w:val="bold"/>
          <w:bCs/>
          <w:color w:val="000000" w:themeColor="text1"/>
        </w:rPr>
        <w:t xml:space="preserve"> </w:t>
      </w:r>
      <w:r w:rsidR="00F76EFB" w:rsidRPr="0007278D">
        <w:rPr>
          <w:shd w:val="clear" w:color="auto" w:fill="FFFFFF"/>
        </w:rPr>
        <w:t xml:space="preserve">El </w:t>
      </w:r>
      <w:r w:rsidR="00FD6ECC" w:rsidRPr="0007278D">
        <w:rPr>
          <w:shd w:val="clear" w:color="auto" w:fill="FFFFFF"/>
        </w:rPr>
        <w:t xml:space="preserve">fundamento legal fue </w:t>
      </w:r>
      <w:r w:rsidR="001F77A9" w:rsidRPr="0007278D">
        <w:rPr>
          <w:shd w:val="clear" w:color="auto" w:fill="FFFFFF"/>
        </w:rPr>
        <w:t>e</w:t>
      </w:r>
      <w:r w:rsidR="001F77A9" w:rsidRPr="0007278D">
        <w:t>l artículo 5, fracción II, de la Ley de Amparo</w:t>
      </w:r>
      <w:r w:rsidR="00F76EFB" w:rsidRPr="0007278D">
        <w:t>, que</w:t>
      </w:r>
      <w:r w:rsidR="001F77A9" w:rsidRPr="0007278D">
        <w:t xml:space="preserve"> define a los actos de autoridad como aquellos que crean, modifican o extinguen situaciones jurídicas </w:t>
      </w:r>
      <w:r w:rsidR="004431C5" w:rsidRPr="0007278D">
        <w:t>de</w:t>
      </w:r>
      <w:r w:rsidR="001F77A9" w:rsidRPr="0007278D">
        <w:t xml:space="preserve"> forma unilateral y obligatoria. </w:t>
      </w:r>
      <w:r w:rsidR="00F76EFB" w:rsidRPr="0007278D">
        <w:t>Se expuso que l</w:t>
      </w:r>
      <w:r w:rsidR="001F77A9" w:rsidRPr="0007278D">
        <w:t>a CNDH debe tramitar los recursos de inconformidad con apego a la ley sin incurrir en arbitrariedades, por ende, el desechamiento de un recurso de impugnación que se aleje de ese estándar de legalidad afecta la esfera jurídica de las personas en tanto les impide acceder a la tutela no jurisdiccional de derechos humanos, prevista en el artículo 102, apartado B constitucional. De esta manera, el desechamiento de un recurso de impugnación que no cumple con los requisitos de procedencia es un acto de autoridad</w:t>
      </w:r>
      <w:r w:rsidR="003E6FEA" w:rsidRPr="0007278D">
        <w:t>,</w:t>
      </w:r>
      <w:r w:rsidR="001F77A9" w:rsidRPr="0007278D">
        <w:t xml:space="preserve"> porque se trata de un acto intraprocesal que extingue situaciones jurídicas de forma unilateral, obligatoria y que puede generar violaciones a derechos humanos</w:t>
      </w:r>
      <w:r w:rsidR="003E6FEA" w:rsidRPr="0007278D">
        <w:t>.</w:t>
      </w:r>
      <w:r w:rsidR="001F77A9" w:rsidRPr="0007278D">
        <w:rPr>
          <w:rStyle w:val="Refdenotaalpie"/>
          <w:bCs/>
          <w:color w:val="000000" w:themeColor="text1"/>
        </w:rPr>
        <w:footnoteReference w:id="33"/>
      </w:r>
    </w:p>
    <w:p w14:paraId="5FFDB318" w14:textId="362465ED" w:rsidR="001F77A9" w:rsidRPr="0007278D" w:rsidRDefault="003B6678" w:rsidP="00324EFC">
      <w:pPr>
        <w:pStyle w:val="parrafonormalbiolex"/>
      </w:pPr>
      <w:r w:rsidRPr="0007278D">
        <w:t xml:space="preserve">Ante la existencia de </w:t>
      </w:r>
      <w:r w:rsidR="00E345B5" w:rsidRPr="0007278D">
        <w:t xml:space="preserve">dos </w:t>
      </w:r>
      <w:r w:rsidRPr="0007278D">
        <w:t xml:space="preserve">jurisprudencias </w:t>
      </w:r>
      <w:r w:rsidR="003E6FEA" w:rsidRPr="0007278D">
        <w:t>con criterios</w:t>
      </w:r>
      <w:r w:rsidRPr="0007278D">
        <w:t xml:space="preserve"> </w:t>
      </w:r>
      <w:r w:rsidR="00E345B5" w:rsidRPr="0007278D">
        <w:t>opuest</w:t>
      </w:r>
      <w:r w:rsidRPr="0007278D">
        <w:t>o</w:t>
      </w:r>
      <w:r w:rsidR="00D95EAC" w:rsidRPr="0007278D">
        <w:t>s</w:t>
      </w:r>
      <w:r w:rsidR="00E345B5" w:rsidRPr="0007278D">
        <w:t xml:space="preserve">, </w:t>
      </w:r>
      <w:r w:rsidR="003E6FEA" w:rsidRPr="0007278D">
        <w:t xml:space="preserve">el </w:t>
      </w:r>
      <w:r w:rsidR="00797ACA" w:rsidRPr="0007278D">
        <w:t>Alto Tribunal se tuvo que pronunciar para resolver l</w:t>
      </w:r>
      <w:r w:rsidR="001F77A9" w:rsidRPr="0007278D">
        <w:t>a contradicción entre la jurisprudencia 1a./J. 23/2018 (10a.) emitida por la</w:t>
      </w:r>
      <w:r w:rsidR="001F77A9" w:rsidRPr="0007278D">
        <w:rPr>
          <w:b/>
        </w:rPr>
        <w:t xml:space="preserve"> </w:t>
      </w:r>
      <w:r w:rsidR="001F77A9" w:rsidRPr="0007278D">
        <w:t>Primera Sala</w:t>
      </w:r>
      <w:r w:rsidR="003E6FEA" w:rsidRPr="0007278D">
        <w:t xml:space="preserve"> y la </w:t>
      </w:r>
      <w:r w:rsidR="001F77A9" w:rsidRPr="0007278D">
        <w:t>sustentada por la Segunda Sala al resolver el amparo en revisión 742/2015</w:t>
      </w:r>
      <w:r w:rsidR="0067774A" w:rsidRPr="0007278D">
        <w:t xml:space="preserve">. </w:t>
      </w:r>
      <w:r w:rsidRPr="0007278D">
        <w:t>E</w:t>
      </w:r>
      <w:r w:rsidR="005E1520" w:rsidRPr="0007278D">
        <w:t xml:space="preserve">l </w:t>
      </w:r>
      <w:r w:rsidR="001F77A9" w:rsidRPr="0007278D">
        <w:t xml:space="preserve">Pleno de la Suprema Corte de Justicia de la Nación </w:t>
      </w:r>
      <w:r w:rsidR="00530815" w:rsidRPr="0007278D">
        <w:t xml:space="preserve">resolvió dicha contradicción </w:t>
      </w:r>
      <w:r w:rsidRPr="0007278D">
        <w:t xml:space="preserve">en </w:t>
      </w:r>
      <w:r w:rsidR="001F77A9" w:rsidRPr="0007278D">
        <w:t xml:space="preserve">la jurisprudencia P./J. 13/2025 (11a.), de rubro </w:t>
      </w:r>
      <w:r w:rsidR="003E6FEA" w:rsidRPr="0007278D">
        <w:rPr>
          <w:i/>
          <w:iCs/>
        </w:rPr>
        <w:t>Comisión Nacional de los Derechos Humanos. Cuando desecha un medio de impugnación constituye un acto de autoridad para efectos del juicio de amparo</w:t>
      </w:r>
      <w:r w:rsidR="001F77A9" w:rsidRPr="0007278D">
        <w:t xml:space="preserve">, </w:t>
      </w:r>
      <w:r w:rsidR="002E5113" w:rsidRPr="0007278D">
        <w:t xml:space="preserve">que </w:t>
      </w:r>
      <w:r w:rsidR="00AD0F41" w:rsidRPr="0007278D">
        <w:t>s</w:t>
      </w:r>
      <w:r w:rsidR="003E6FEA" w:rsidRPr="0007278D">
        <w:t>o</w:t>
      </w:r>
      <w:r w:rsidR="00AD0F41" w:rsidRPr="0007278D">
        <w:t xml:space="preserve">lo </w:t>
      </w:r>
      <w:r w:rsidR="002E5113" w:rsidRPr="0007278D">
        <w:t>en lo relativo</w:t>
      </w:r>
      <w:r w:rsidR="00CF6AEF">
        <w:t> </w:t>
      </w:r>
      <w:r w:rsidR="002E5113" w:rsidRPr="0007278D">
        <w:t xml:space="preserve">dice: </w:t>
      </w:r>
    </w:p>
    <w:p w14:paraId="4073EF36" w14:textId="6BCEBD71" w:rsidR="00D95EAC" w:rsidRPr="0007278D" w:rsidRDefault="00D95EAC" w:rsidP="00324EFC">
      <w:pPr>
        <w:pStyle w:val="Citalarga"/>
      </w:pPr>
      <w:r w:rsidRPr="0007278D">
        <w:lastRenderedPageBreak/>
        <w:t>Criterio jurídico: Por regla general el juicio de amparo es improcedente contra los actos u omisiones de la Comisión Nacional de los Derechos Humanos dentro de los procedimientos sometidos a su conocimiento, distintos a las recomendaciones que emite, pero excepcionalmente, sin ser limitativo, procede cuando desecha un medio de impugnación por improcedente, al tratarse de un acto que crea, modifica o extingue situaciones jurídicas en forma unilateral y obligatoria</w:t>
      </w:r>
      <w:r w:rsidR="003E6FEA" w:rsidRPr="0007278D">
        <w:t>.</w:t>
      </w:r>
      <w:r w:rsidR="002E5113" w:rsidRPr="0007278D">
        <w:rPr>
          <w:rStyle w:val="Refdenotaalpie"/>
          <w:rFonts w:ascii="Unna" w:hAnsi="Unna"/>
          <w:bCs/>
          <w:color w:val="000000" w:themeColor="text1"/>
          <w:sz w:val="24"/>
          <w:szCs w:val="24"/>
        </w:rPr>
        <w:footnoteReference w:id="34"/>
      </w:r>
      <w:r w:rsidR="006E4DA3" w:rsidRPr="0007278D">
        <w:t xml:space="preserve">   </w:t>
      </w:r>
    </w:p>
    <w:p w14:paraId="22CC9A14" w14:textId="75467CC0" w:rsidR="001F77A9" w:rsidRPr="0007278D" w:rsidRDefault="00AD0F41" w:rsidP="00324EFC">
      <w:pPr>
        <w:pStyle w:val="parrafonormalbiolex"/>
      </w:pPr>
      <w:r w:rsidRPr="0007278D">
        <w:t>En la justificación</w:t>
      </w:r>
      <w:r w:rsidR="00EE3C8F" w:rsidRPr="0007278D">
        <w:t>,</w:t>
      </w:r>
      <w:r w:rsidRPr="0007278D">
        <w:t xml:space="preserve"> </w:t>
      </w:r>
      <w:r w:rsidR="00EE3C8F" w:rsidRPr="0007278D">
        <w:t>e</w:t>
      </w:r>
      <w:r w:rsidRPr="0007278D">
        <w:t xml:space="preserve">l Pleno expuso como fundamento </w:t>
      </w:r>
      <w:r w:rsidR="001F77A9" w:rsidRPr="0007278D">
        <w:t xml:space="preserve">los artículos 103 de la Constitución </w:t>
      </w:r>
      <w:r w:rsidRPr="0007278D">
        <w:t xml:space="preserve">Federal </w:t>
      </w:r>
      <w:r w:rsidR="001F77A9" w:rsidRPr="0007278D">
        <w:t xml:space="preserve">y 107 de la Ley de Amparo, </w:t>
      </w:r>
      <w:r w:rsidRPr="0007278D">
        <w:t xml:space="preserve">de donde se desprende </w:t>
      </w:r>
      <w:r w:rsidR="001F77A9" w:rsidRPr="0007278D">
        <w:t xml:space="preserve">que el juicio de </w:t>
      </w:r>
      <w:r w:rsidRPr="0007278D">
        <w:t xml:space="preserve">garantías </w:t>
      </w:r>
      <w:r w:rsidR="001F77A9" w:rsidRPr="0007278D">
        <w:t xml:space="preserve">no es un medio de impugnación para </w:t>
      </w:r>
      <w:r w:rsidR="004867A5" w:rsidRPr="0007278D">
        <w:t>analizar</w:t>
      </w:r>
      <w:r w:rsidRPr="0007278D">
        <w:t xml:space="preserve"> </w:t>
      </w:r>
      <w:r w:rsidR="001F77A9" w:rsidRPr="0007278D">
        <w:t xml:space="preserve">la validez de los actos u omisiones </w:t>
      </w:r>
      <w:r w:rsidRPr="0007278D">
        <w:t xml:space="preserve">de la CNDH, pues </w:t>
      </w:r>
      <w:r w:rsidR="001F77A9" w:rsidRPr="0007278D">
        <w:t xml:space="preserve">sus determinaciones no son vinculantes y sus resoluciones </w:t>
      </w:r>
      <w:r w:rsidRPr="0007278D">
        <w:t>s</w:t>
      </w:r>
      <w:r w:rsidR="003E6FEA" w:rsidRPr="0007278D">
        <w:t>o</w:t>
      </w:r>
      <w:r w:rsidRPr="0007278D">
        <w:t xml:space="preserve">lo tienen como base una </w:t>
      </w:r>
      <w:r w:rsidR="001F77A9" w:rsidRPr="0007278D">
        <w:t xml:space="preserve">autoridad moral. </w:t>
      </w:r>
      <w:r w:rsidRPr="0007278D">
        <w:t xml:space="preserve">No obstante, </w:t>
      </w:r>
      <w:r w:rsidR="001F77A9" w:rsidRPr="0007278D">
        <w:t xml:space="preserve">excepcionalmente procede el amparo indirecto cuando </w:t>
      </w:r>
      <w:r w:rsidRPr="0007278D">
        <w:t xml:space="preserve">el organismo constitucional autónomo </w:t>
      </w:r>
      <w:r w:rsidR="001F77A9" w:rsidRPr="0007278D">
        <w:t>desecha un medio de impugnación por improcedente</w:t>
      </w:r>
      <w:r w:rsidRPr="0007278D">
        <w:rPr>
          <w:b/>
        </w:rPr>
        <w:t xml:space="preserve">, </w:t>
      </w:r>
      <w:r w:rsidRPr="0007278D">
        <w:t xml:space="preserve">pues </w:t>
      </w:r>
      <w:r w:rsidR="001F77A9" w:rsidRPr="0007278D">
        <w:t xml:space="preserve">los </w:t>
      </w:r>
      <w:r w:rsidRPr="0007278D">
        <w:t xml:space="preserve">quejosos </w:t>
      </w:r>
      <w:r w:rsidR="001F77A9" w:rsidRPr="0007278D">
        <w:t xml:space="preserve">tienen derecho a que </w:t>
      </w:r>
      <w:r w:rsidRPr="0007278D">
        <w:t xml:space="preserve">se </w:t>
      </w:r>
      <w:r w:rsidR="001F77A9" w:rsidRPr="0007278D">
        <w:t xml:space="preserve">tramite con apego a la ley y, por </w:t>
      </w:r>
      <w:r w:rsidRPr="0007278D">
        <w:t>ende</w:t>
      </w:r>
      <w:r w:rsidR="001F77A9" w:rsidRPr="0007278D">
        <w:t xml:space="preserve">, un desechamiento ilegal y arbitrario podría afectar </w:t>
      </w:r>
      <w:r w:rsidRPr="0007278D">
        <w:t>su</w:t>
      </w:r>
      <w:r w:rsidR="001F77A9" w:rsidRPr="0007278D">
        <w:t xml:space="preserve"> esfera jurídica</w:t>
      </w:r>
      <w:r w:rsidRPr="0007278D">
        <w:t xml:space="preserve">. </w:t>
      </w:r>
      <w:r w:rsidR="001F77A9" w:rsidRPr="0007278D">
        <w:t xml:space="preserve"> </w:t>
      </w:r>
    </w:p>
    <w:p w14:paraId="24778702" w14:textId="748A6C3B" w:rsidR="001C0766" w:rsidRPr="0007278D" w:rsidRDefault="000B3973" w:rsidP="00324EFC">
      <w:pPr>
        <w:pStyle w:val="parrafonormalbiolex"/>
      </w:pPr>
      <w:r w:rsidRPr="0007278D">
        <w:t>Por tanto, al no ser limitativ</w:t>
      </w:r>
      <w:r w:rsidR="001C0766" w:rsidRPr="0007278D">
        <w:t>a la procedencia del juicio de amparo</w:t>
      </w:r>
      <w:r w:rsidR="00ED50E7" w:rsidRPr="0007278D">
        <w:t>,</w:t>
      </w:r>
      <w:r w:rsidR="001C0766" w:rsidRPr="0007278D">
        <w:t xml:space="preserve"> existe la posibilidad </w:t>
      </w:r>
      <w:r w:rsidRPr="0007278D">
        <w:t xml:space="preserve">de </w:t>
      </w:r>
      <w:r w:rsidR="00ED50E7" w:rsidRPr="0007278D">
        <w:t xml:space="preserve">que </w:t>
      </w:r>
      <w:r w:rsidR="00A72423" w:rsidRPr="0007278D">
        <w:t xml:space="preserve">el quejoso lo </w:t>
      </w:r>
      <w:r w:rsidR="008A4F86" w:rsidRPr="0007278D">
        <w:t>interpon</w:t>
      </w:r>
      <w:r w:rsidR="00ED50E7" w:rsidRPr="0007278D">
        <w:t>ga</w:t>
      </w:r>
      <w:r w:rsidR="008A4F86" w:rsidRPr="0007278D">
        <w:t xml:space="preserve"> </w:t>
      </w:r>
      <w:r w:rsidR="001C0766" w:rsidRPr="0007278D">
        <w:t xml:space="preserve">contra </w:t>
      </w:r>
      <w:r w:rsidR="008A4F86" w:rsidRPr="0007278D">
        <w:t xml:space="preserve">otro tipo de actos </w:t>
      </w:r>
      <w:r w:rsidR="001C0766" w:rsidRPr="0007278D">
        <w:t xml:space="preserve">de autoridad intraprocesales </w:t>
      </w:r>
      <w:r w:rsidR="00F676F9" w:rsidRPr="0007278D">
        <w:t xml:space="preserve">emitidos por </w:t>
      </w:r>
      <w:r w:rsidR="008A4F86" w:rsidRPr="0007278D">
        <w:t xml:space="preserve">los servidores públicos de </w:t>
      </w:r>
      <w:r w:rsidR="00C54CD3" w:rsidRPr="0007278D">
        <w:t xml:space="preserve">la CNDH que </w:t>
      </w:r>
      <w:r w:rsidR="003E6FEA" w:rsidRPr="0007278D">
        <w:t xml:space="preserve">vulneren sus </w:t>
      </w:r>
      <w:r w:rsidR="00C54CD3" w:rsidRPr="0007278D">
        <w:t xml:space="preserve">derechos humanos. </w:t>
      </w:r>
    </w:p>
    <w:p w14:paraId="0A95BA87" w14:textId="178CA82D" w:rsidR="009436ED" w:rsidRPr="00324EFC" w:rsidRDefault="00324EFC" w:rsidP="00324EFC">
      <w:pPr>
        <w:pStyle w:val="Nivel1BIOL"/>
        <w:rPr>
          <w:lang w:val="es-MX"/>
        </w:rPr>
      </w:pPr>
      <w:r w:rsidRPr="00324EFC">
        <w:rPr>
          <w:lang w:val="es-MX"/>
        </w:rPr>
        <w:t>V. EL DEBIDO PROCESO EN LA JURISPRUDENCIA DE LA CORTE INTERAMERICANA DE DERECHOS HUMANOS (CORTE IDH)</w:t>
      </w:r>
    </w:p>
    <w:p w14:paraId="7871C9D0" w14:textId="4CFE1F68" w:rsidR="009436ED" w:rsidRPr="0007278D" w:rsidRDefault="006E4DA3" w:rsidP="00324EFC">
      <w:pPr>
        <w:pStyle w:val="parrafonormalbiolex"/>
      </w:pPr>
      <w:r w:rsidRPr="0007278D">
        <w:t>Conforme a</w:t>
      </w:r>
      <w:r w:rsidR="009436ED" w:rsidRPr="0007278D">
        <w:rPr>
          <w:shd w:val="clear" w:color="auto" w:fill="FFFFFF"/>
        </w:rPr>
        <w:t xml:space="preserve">l artículo 1, </w:t>
      </w:r>
      <w:r w:rsidRPr="0007278D">
        <w:rPr>
          <w:shd w:val="clear" w:color="auto" w:fill="FFFFFF"/>
        </w:rPr>
        <w:t xml:space="preserve">en relación con el diverso 133 </w:t>
      </w:r>
      <w:r w:rsidR="009436ED" w:rsidRPr="0007278D">
        <w:rPr>
          <w:shd w:val="clear" w:color="auto" w:fill="FFFFFF"/>
        </w:rPr>
        <w:t xml:space="preserve">de la Constitución Federal, el </w:t>
      </w:r>
      <w:r w:rsidR="009436ED" w:rsidRPr="0007278D">
        <w:t xml:space="preserve">principio de supremacía constitucional establece que los tratados internacionales suscritos por México en materia de derechos humanos tienen rango constitucional. </w:t>
      </w:r>
      <w:r w:rsidR="008A4F86" w:rsidRPr="0007278D">
        <w:t>Por ende</w:t>
      </w:r>
      <w:r w:rsidR="009436ED" w:rsidRPr="0007278D">
        <w:t xml:space="preserve">, tienen </w:t>
      </w:r>
      <w:r w:rsidR="008A4F86" w:rsidRPr="0007278D">
        <w:t xml:space="preserve">el rango </w:t>
      </w:r>
      <w:r w:rsidR="009436ED" w:rsidRPr="0007278D">
        <w:t xml:space="preserve">de Ley Suprema, lo que implica que todas las normas jurídicas deben ser acordes con los mismos tanto en un sentido formal como material. Para indicar la igual simetría que existe entre los derechos humanos reconocidos en la Constitución y los reconocidos en los tratados internacionales, se </w:t>
      </w:r>
      <w:r w:rsidR="00192FA9" w:rsidRPr="0007278D">
        <w:t>ha acuñado el término</w:t>
      </w:r>
      <w:r w:rsidR="009436ED" w:rsidRPr="0007278D">
        <w:t xml:space="preserve"> </w:t>
      </w:r>
      <w:r w:rsidR="00192FA9" w:rsidRPr="0007278D">
        <w:t>“</w:t>
      </w:r>
      <w:r w:rsidR="009436ED" w:rsidRPr="0007278D">
        <w:t>bloque de constitucionalidad</w:t>
      </w:r>
      <w:r w:rsidR="00192FA9" w:rsidRPr="0007278D">
        <w:t>”</w:t>
      </w:r>
      <w:r w:rsidR="009436ED" w:rsidRPr="0007278D">
        <w:t xml:space="preserve">. </w:t>
      </w:r>
    </w:p>
    <w:p w14:paraId="0B1BF8E0" w14:textId="585C7371" w:rsidR="008A4F86" w:rsidRPr="0007278D" w:rsidRDefault="009436ED" w:rsidP="00324EFC">
      <w:pPr>
        <w:pStyle w:val="parrafonormalbiolex"/>
      </w:pPr>
      <w:r w:rsidRPr="0007278D">
        <w:t xml:space="preserve">Por su parte, el segundo párrafo del artículo 1 de la Constitución Federal prevé que las normas relativas a los derechos humanos se interpretarán de conformidad con la Constitución y con los tratados internacionales </w:t>
      </w:r>
      <w:r w:rsidR="00F740EC" w:rsidRPr="0007278D">
        <w:t>en</w:t>
      </w:r>
      <w:r w:rsidRPr="0007278D">
        <w:t xml:space="preserve"> la materia, favoreciendo en todo tiempo a las personas la protección más amplia. Con base en este párrafo</w:t>
      </w:r>
      <w:r w:rsidR="00FC7027" w:rsidRPr="0007278D">
        <w:t xml:space="preserve">, </w:t>
      </w:r>
      <w:r w:rsidR="008A4F86" w:rsidRPr="0007278D">
        <w:t xml:space="preserve">todas las autoridades y servidores públicos del Estado tienen </w:t>
      </w:r>
      <w:r w:rsidRPr="0007278D">
        <w:t xml:space="preserve">la obligación de </w:t>
      </w:r>
      <w:r w:rsidR="008A4F86" w:rsidRPr="0007278D">
        <w:t>interpretar los derechos humanos de acuerdo con el p</w:t>
      </w:r>
      <w:r w:rsidRPr="0007278D">
        <w:t xml:space="preserve">rincipio </w:t>
      </w:r>
      <w:r w:rsidRPr="0007278D">
        <w:rPr>
          <w:i/>
          <w:iCs/>
        </w:rPr>
        <w:t>pro persona</w:t>
      </w:r>
      <w:r w:rsidR="00192FA9" w:rsidRPr="0007278D">
        <w:t xml:space="preserve"> </w:t>
      </w:r>
      <w:r w:rsidRPr="0007278D">
        <w:t xml:space="preserve">y </w:t>
      </w:r>
      <w:r w:rsidR="00192FA9" w:rsidRPr="0007278D">
        <w:t>al</w:t>
      </w:r>
      <w:r w:rsidRPr="0007278D">
        <w:t xml:space="preserve"> principio de interpretación</w:t>
      </w:r>
      <w:r w:rsidR="00192FA9" w:rsidRPr="0007278D">
        <w:t>,</w:t>
      </w:r>
      <w:r w:rsidRPr="0007278D">
        <w:t xml:space="preserve"> conforme</w:t>
      </w:r>
      <w:r w:rsidR="008F5F11" w:rsidRPr="0007278D">
        <w:t xml:space="preserve"> a la Constitución y tratados internacionales. </w:t>
      </w:r>
    </w:p>
    <w:p w14:paraId="46C6AE1B" w14:textId="12EF39B1" w:rsidR="009436ED" w:rsidRPr="0007278D" w:rsidRDefault="009436ED" w:rsidP="00324EFC">
      <w:pPr>
        <w:pStyle w:val="parrafonormalbiolex"/>
      </w:pPr>
      <w:r w:rsidRPr="0007278D">
        <w:t xml:space="preserve">Como todas las autoridades </w:t>
      </w:r>
      <w:r w:rsidR="008F5F11" w:rsidRPr="0007278D">
        <w:t xml:space="preserve">y servidores públicos </w:t>
      </w:r>
      <w:r w:rsidRPr="0007278D">
        <w:t xml:space="preserve">del país, los órganos jurisdiccionales </w:t>
      </w:r>
      <w:r w:rsidR="008F5F11" w:rsidRPr="0007278D">
        <w:t xml:space="preserve">y los no jurisdiccionales </w:t>
      </w:r>
      <w:r w:rsidR="00192FA9" w:rsidRPr="0007278D">
        <w:t>encargados de la protección de los</w:t>
      </w:r>
      <w:r w:rsidR="00286515" w:rsidRPr="0007278D">
        <w:t xml:space="preserve"> derechos humanos</w:t>
      </w:r>
      <w:r w:rsidR="00192FA9" w:rsidRPr="0007278D">
        <w:t xml:space="preserve"> </w:t>
      </w:r>
      <w:r w:rsidRPr="0007278D">
        <w:t xml:space="preserve">deberán cumplir con las obligaciones contenidas en el tercer párrafo del artículo en comento, </w:t>
      </w:r>
      <w:r w:rsidR="00192FA9" w:rsidRPr="0007278D">
        <w:t xml:space="preserve">que incluyen </w:t>
      </w:r>
      <w:r w:rsidRPr="0007278D">
        <w:t xml:space="preserve">respetar, </w:t>
      </w:r>
      <w:r w:rsidRPr="0007278D">
        <w:lastRenderedPageBreak/>
        <w:t>proteger, garantizar y sancionar los derechos humanos, conforme a los principios de universalidad, interdependencia, indivisibilidad y progresividad. Por ende, el Estado deberá prevenir, investigar, sancionar y reparar las violaciones a los derechos humanos, en los términos que establezca la ley.</w:t>
      </w:r>
    </w:p>
    <w:p w14:paraId="4F122922" w14:textId="3C34035A" w:rsidR="009436ED" w:rsidRPr="0007278D" w:rsidRDefault="009436ED" w:rsidP="00324EFC">
      <w:pPr>
        <w:pStyle w:val="parrafonormalbiolex"/>
      </w:pPr>
      <w:r w:rsidRPr="0007278D">
        <w:t xml:space="preserve">La fuerza normativa de la Constitución </w:t>
      </w:r>
      <w:r w:rsidR="00192FA9" w:rsidRPr="0007278D">
        <w:t>obliga por igual a todas las autoridades y servidores públicos,</w:t>
      </w:r>
      <w:r w:rsidRPr="0007278D">
        <w:rPr>
          <w:rStyle w:val="Refdenotaalpie"/>
          <w:bCs/>
          <w:color w:val="000000" w:themeColor="text1"/>
        </w:rPr>
        <w:footnoteReference w:id="35"/>
      </w:r>
      <w:r w:rsidRPr="0007278D">
        <w:t xml:space="preserve"> </w:t>
      </w:r>
      <w:r w:rsidR="00192FA9" w:rsidRPr="0007278D">
        <w:t>incluidos aquellos que integran</w:t>
      </w:r>
      <w:r w:rsidR="007E2301" w:rsidRPr="0007278D">
        <w:t xml:space="preserve"> </w:t>
      </w:r>
      <w:r w:rsidRPr="0007278D">
        <w:t>organismos constitucionales autónomos</w:t>
      </w:r>
      <w:r w:rsidR="00192FA9" w:rsidRPr="0007278D">
        <w:t xml:space="preserve"> quienes, pese a su independencia, no </w:t>
      </w:r>
      <w:r w:rsidRPr="0007278D">
        <w:t xml:space="preserve">están exentos de cumplir con las normas del sistema jurídico mexicano, pues su finalidad principal radica en atender necesidades del Estado </w:t>
      </w:r>
      <w:r w:rsidR="00FD68F5" w:rsidRPr="0007278D">
        <w:t xml:space="preserve">y </w:t>
      </w:r>
      <w:r w:rsidRPr="0007278D">
        <w:t>de la sociedad en general</w:t>
      </w:r>
      <w:r w:rsidR="00192FA9" w:rsidRPr="0007278D">
        <w:t>.</w:t>
      </w:r>
      <w:r w:rsidRPr="0007278D">
        <w:rPr>
          <w:rStyle w:val="Refdenotaalpie"/>
          <w:bCs/>
          <w:color w:val="000000" w:themeColor="text1"/>
        </w:rPr>
        <w:footnoteReference w:id="36"/>
      </w:r>
      <w:r w:rsidRPr="0007278D">
        <w:t xml:space="preserve"> Así lo </w:t>
      </w:r>
      <w:r w:rsidR="003C1D25" w:rsidRPr="0007278D">
        <w:t>reconoce</w:t>
      </w:r>
      <w:r w:rsidRPr="0007278D">
        <w:t xml:space="preserve"> el Reglamento de la CNDH en la fracción XXV del considerando que aborda la reforma de 20</w:t>
      </w:r>
      <w:r w:rsidR="005A68EA" w:rsidRPr="0007278D">
        <w:t>1</w:t>
      </w:r>
      <w:r w:rsidRPr="0007278D">
        <w:t xml:space="preserve">1 en materia de derechos humanos, donde señala la obligación de todas las autoridades del </w:t>
      </w:r>
      <w:r w:rsidR="00192FA9" w:rsidRPr="0007278D">
        <w:t>p</w:t>
      </w:r>
      <w:r w:rsidRPr="0007278D">
        <w:t xml:space="preserve">aís y de los organismos públicos de derechos humanos, de aplicar el principio </w:t>
      </w:r>
      <w:r w:rsidRPr="0007278D">
        <w:rPr>
          <w:i/>
          <w:iCs/>
        </w:rPr>
        <w:t>pro persona</w:t>
      </w:r>
      <w:r w:rsidRPr="0007278D">
        <w:t xml:space="preserve"> y el principio de interpretación conforme</w:t>
      </w:r>
      <w:r w:rsidR="008F5F11" w:rsidRPr="0007278D">
        <w:t xml:space="preserve"> a la Constitución y a los tratados internacionales.</w:t>
      </w:r>
    </w:p>
    <w:p w14:paraId="06C0E9B4" w14:textId="1EF9446A" w:rsidR="009436ED" w:rsidRPr="0007278D" w:rsidRDefault="004A4F4E" w:rsidP="00324EFC">
      <w:pPr>
        <w:pStyle w:val="parrafonormalbiolex"/>
      </w:pPr>
      <w:r w:rsidRPr="0007278D">
        <w:t xml:space="preserve">En </w:t>
      </w:r>
      <w:r w:rsidR="009436ED" w:rsidRPr="0007278D">
        <w:t xml:space="preserve">cumplimiento de los </w:t>
      </w:r>
      <w:r w:rsidR="00AA5345" w:rsidRPr="0007278D">
        <w:t>mencionados principios</w:t>
      </w:r>
      <w:r w:rsidR="009436ED" w:rsidRPr="0007278D">
        <w:t>, l</w:t>
      </w:r>
      <w:r w:rsidRPr="0007278D">
        <w:t>o</w:t>
      </w:r>
      <w:r w:rsidR="009436ED" w:rsidRPr="0007278D">
        <w:t xml:space="preserve">s </w:t>
      </w:r>
      <w:r w:rsidRPr="0007278D">
        <w:t xml:space="preserve">órganos </w:t>
      </w:r>
      <w:r w:rsidR="009436ED" w:rsidRPr="0007278D">
        <w:t>jurisdiccionales y l</w:t>
      </w:r>
      <w:r w:rsidRPr="0007278D">
        <w:t>o</w:t>
      </w:r>
      <w:r w:rsidR="009436ED" w:rsidRPr="0007278D">
        <w:t xml:space="preserve">s </w:t>
      </w:r>
      <w:r w:rsidRPr="0007278D">
        <w:t xml:space="preserve">órganos </w:t>
      </w:r>
      <w:r w:rsidR="009436ED" w:rsidRPr="0007278D">
        <w:t>no jurisdiccionales protector</w:t>
      </w:r>
      <w:r w:rsidRPr="0007278D">
        <w:t>e</w:t>
      </w:r>
      <w:r w:rsidR="009436ED" w:rsidRPr="0007278D">
        <w:t>s de derechos humanos</w:t>
      </w:r>
      <w:r w:rsidR="00A44AC5" w:rsidRPr="0007278D">
        <w:t xml:space="preserve"> participan en el </w:t>
      </w:r>
      <w:r w:rsidR="009436ED" w:rsidRPr="0007278D">
        <w:t>Sistema Interamericano de Derechos Humanos</w:t>
      </w:r>
      <w:r w:rsidR="00A44AC5" w:rsidRPr="0007278D">
        <w:t>.</w:t>
      </w:r>
      <w:r w:rsidR="009436ED" w:rsidRPr="0007278D">
        <w:rPr>
          <w:rStyle w:val="Refdenotaalpie"/>
          <w:bCs/>
          <w:color w:val="000000" w:themeColor="text1"/>
        </w:rPr>
        <w:footnoteReference w:id="37"/>
      </w:r>
      <w:r w:rsidR="009436ED" w:rsidRPr="0007278D">
        <w:t xml:space="preserve"> Este </w:t>
      </w:r>
      <w:r w:rsidR="00A44AC5" w:rsidRPr="0007278D">
        <w:t xml:space="preserve">sistema </w:t>
      </w:r>
      <w:r w:rsidR="009436ED" w:rsidRPr="0007278D">
        <w:t xml:space="preserve">se compone, entre otros, por la </w:t>
      </w:r>
      <w:r w:rsidR="00FC7027" w:rsidRPr="0007278D">
        <w:t>Convención Americana sobre Derechos Humanos</w:t>
      </w:r>
      <w:r w:rsidR="00FC7027" w:rsidRPr="0007278D">
        <w:rPr>
          <w:rStyle w:val="Refdenotaalpie"/>
          <w:bCs/>
          <w:color w:val="000000" w:themeColor="text1"/>
        </w:rPr>
        <w:footnoteReference w:id="38"/>
      </w:r>
      <w:r w:rsidR="00FC7027" w:rsidRPr="0007278D">
        <w:t xml:space="preserve"> (CADH)</w:t>
      </w:r>
      <w:r w:rsidR="00A44AC5" w:rsidRPr="0007278D">
        <w:t>,</w:t>
      </w:r>
      <w:r w:rsidR="009436ED" w:rsidRPr="0007278D">
        <w:t xml:space="preserve"> de contenido normativo, </w:t>
      </w:r>
      <w:r w:rsidR="00A44AC5" w:rsidRPr="0007278D">
        <w:t xml:space="preserve">la cual </w:t>
      </w:r>
      <w:r w:rsidR="009436ED" w:rsidRPr="0007278D">
        <w:t>establece la competencia de sus dos órganos de vigilancia: la Comisión Interamericana de Derechos Humanos</w:t>
      </w:r>
      <w:r w:rsidR="00ED0794" w:rsidRPr="0007278D">
        <w:rPr>
          <w:rStyle w:val="Refdenotaalpie"/>
          <w:bCs/>
          <w:color w:val="000000" w:themeColor="text1"/>
        </w:rPr>
        <w:footnoteReference w:id="39"/>
      </w:r>
      <w:r w:rsidR="00ED0794" w:rsidRPr="0007278D">
        <w:t xml:space="preserve"> </w:t>
      </w:r>
      <w:r w:rsidR="009436ED" w:rsidRPr="0007278D">
        <w:t>encargad</w:t>
      </w:r>
      <w:r w:rsidR="00FC7027" w:rsidRPr="0007278D">
        <w:t>a</w:t>
      </w:r>
      <w:r w:rsidR="009436ED" w:rsidRPr="0007278D">
        <w:t xml:space="preserve"> de la observancia, consulta y defensa de los derechos humanos; y la Corte IDH con atribuciones de opinión consultiva y jurisdiccionales para resolver las violaciones de derechos humanos de los Estados </w:t>
      </w:r>
      <w:r w:rsidR="000B29E9" w:rsidRPr="0007278D">
        <w:t>p</w:t>
      </w:r>
      <w:r w:rsidR="009436ED" w:rsidRPr="0007278D">
        <w:t>arte</w:t>
      </w:r>
      <w:r w:rsidR="000B29E9" w:rsidRPr="0007278D">
        <w:t>s</w:t>
      </w:r>
      <w:r w:rsidR="009436ED" w:rsidRPr="0007278D">
        <w:t xml:space="preserve"> que puedan incurrir en responsabilidad internacional </w:t>
      </w:r>
      <w:r w:rsidR="00FC7027" w:rsidRPr="0007278D">
        <w:t>(</w:t>
      </w:r>
      <w:r w:rsidR="00AA5345" w:rsidRPr="0007278D">
        <w:t>CADH</w:t>
      </w:r>
      <w:r w:rsidR="009436ED" w:rsidRPr="0007278D">
        <w:t>, art. 62.3).</w:t>
      </w:r>
    </w:p>
    <w:p w14:paraId="31D24488" w14:textId="1C7CB537" w:rsidR="009436ED" w:rsidRPr="0007278D" w:rsidRDefault="009436ED" w:rsidP="00324EFC">
      <w:pPr>
        <w:pStyle w:val="parrafonormalbiolex"/>
      </w:pPr>
      <w:r w:rsidRPr="0007278D">
        <w:t>La jurisprudencia de la Corte IDH</w:t>
      </w:r>
      <w:r w:rsidR="00A44AC5" w:rsidRPr="0007278D">
        <w:t>,</w:t>
      </w:r>
      <w:r w:rsidR="008F5F11" w:rsidRPr="0007278D">
        <w:rPr>
          <w:rStyle w:val="Refdenotaalpie"/>
          <w:bCs/>
          <w:color w:val="000000" w:themeColor="text1"/>
        </w:rPr>
        <w:footnoteReference w:id="40"/>
      </w:r>
      <w:r w:rsidR="008F5F11" w:rsidRPr="0007278D">
        <w:t xml:space="preserve"> </w:t>
      </w:r>
      <w:r w:rsidRPr="0007278D">
        <w:t>al derivar del trabajo de los órganos de vigilancia reconocidos por los Estados miembro</w:t>
      </w:r>
      <w:r w:rsidR="00A72423" w:rsidRPr="0007278D">
        <w:t>,</w:t>
      </w:r>
      <w:r w:rsidRPr="0007278D">
        <w:t xml:space="preserve"> es parte por extensión de la CADH, por lo que resulta vinculante para los tribunales jurisdiccionales internos. México aceptó la competencia contenciosa de la Corte IDH en 1998, que fue adicionada como un mecanismo internacional para la protección de los derechos humanos</w:t>
      </w:r>
      <w:r w:rsidR="00A44AC5" w:rsidRPr="0007278D">
        <w:t>.</w:t>
      </w:r>
      <w:r w:rsidRPr="0007278D">
        <w:rPr>
          <w:rStyle w:val="Refdenotaalpie"/>
          <w:bCs/>
          <w:color w:val="000000" w:themeColor="text1"/>
        </w:rPr>
        <w:footnoteReference w:id="41"/>
      </w:r>
      <w:r w:rsidRPr="0007278D">
        <w:t xml:space="preserve"> En 2014</w:t>
      </w:r>
      <w:r w:rsidR="00A44AC5" w:rsidRPr="0007278D">
        <w:t>,</w:t>
      </w:r>
      <w:r w:rsidRPr="0007278D">
        <w:t xml:space="preserve"> el Pleno de la SCJN</w:t>
      </w:r>
      <w:r w:rsidR="00A44AC5" w:rsidRPr="0007278D">
        <w:t xml:space="preserve"> emitió</w:t>
      </w:r>
      <w:r w:rsidRPr="0007278D">
        <w:t xml:space="preserve"> una jurisprudencia en la </w:t>
      </w:r>
      <w:r w:rsidR="00A44AC5" w:rsidRPr="0007278D">
        <w:t xml:space="preserve">que </w:t>
      </w:r>
      <w:r w:rsidRPr="0007278D">
        <w:t>interpretó que</w:t>
      </w:r>
      <w:r w:rsidR="00A44AC5" w:rsidRPr="0007278D">
        <w:t>,</w:t>
      </w:r>
      <w:r w:rsidRPr="0007278D">
        <w:t xml:space="preserve"> conforme al principio </w:t>
      </w:r>
      <w:r w:rsidRPr="0007278D">
        <w:rPr>
          <w:i/>
          <w:iCs/>
        </w:rPr>
        <w:t>pro persona</w:t>
      </w:r>
      <w:r w:rsidRPr="0007278D">
        <w:t xml:space="preserve">, la </w:t>
      </w:r>
      <w:r w:rsidR="008F5F11" w:rsidRPr="0007278D">
        <w:t>j</w:t>
      </w:r>
      <w:r w:rsidRPr="0007278D">
        <w:t>urisprudencia de la Corte IDH tiene carácter de obligatoriedad para los órganos jurisdiccionales mexicanos, independientemente de que el Estado Mexicano haya sido parte o no en el litigio ante dicho tribunal</w:t>
      </w:r>
      <w:r w:rsidR="00A44AC5" w:rsidRPr="0007278D">
        <w:t>.</w:t>
      </w:r>
      <w:r w:rsidRPr="0007278D">
        <w:rPr>
          <w:rStyle w:val="Refdenotaalpie"/>
          <w:bCs/>
          <w:color w:val="000000" w:themeColor="text1"/>
        </w:rPr>
        <w:footnoteReference w:id="42"/>
      </w:r>
    </w:p>
    <w:p w14:paraId="52939FE6" w14:textId="74C6CEBE" w:rsidR="001D6BD0" w:rsidRPr="0007278D" w:rsidRDefault="000B29E9" w:rsidP="00324EFC">
      <w:pPr>
        <w:pStyle w:val="parrafonormalbiolex"/>
      </w:pPr>
      <w:r w:rsidRPr="0007278D">
        <w:t xml:space="preserve">En lo que </w:t>
      </w:r>
      <w:r w:rsidR="00A44AC5" w:rsidRPr="0007278D">
        <w:t xml:space="preserve">respecta </w:t>
      </w:r>
      <w:r w:rsidRPr="0007278D">
        <w:t>a los servidores públicos de los organismos públicos de derechos humanos</w:t>
      </w:r>
      <w:r w:rsidR="00A10B3E" w:rsidRPr="0007278D">
        <w:t xml:space="preserve">, </w:t>
      </w:r>
      <w:r w:rsidR="00D1012C" w:rsidRPr="0007278D">
        <w:t>la</w:t>
      </w:r>
      <w:r w:rsidR="007E2301" w:rsidRPr="0007278D">
        <w:t xml:space="preserve"> CNDH</w:t>
      </w:r>
      <w:r w:rsidR="00A44AC5" w:rsidRPr="0007278D">
        <w:t>,</w:t>
      </w:r>
      <w:r w:rsidR="007E2301" w:rsidRPr="0007278D">
        <w:t xml:space="preserve"> </w:t>
      </w:r>
      <w:r w:rsidR="00151452" w:rsidRPr="0007278D">
        <w:t xml:space="preserve">al </w:t>
      </w:r>
      <w:r w:rsidR="002548CA" w:rsidRPr="0007278D">
        <w:t xml:space="preserve">aplicar </w:t>
      </w:r>
      <w:r w:rsidR="007E2301" w:rsidRPr="0007278D">
        <w:t xml:space="preserve">el principio </w:t>
      </w:r>
      <w:r w:rsidR="007E2301" w:rsidRPr="0007278D">
        <w:rPr>
          <w:i/>
          <w:iCs/>
        </w:rPr>
        <w:t>pro persona</w:t>
      </w:r>
      <w:r w:rsidR="007E2301" w:rsidRPr="0007278D">
        <w:t xml:space="preserve"> y el principio de interpretación conforme</w:t>
      </w:r>
      <w:r w:rsidR="00213F50" w:rsidRPr="0007278D">
        <w:t xml:space="preserve"> </w:t>
      </w:r>
      <w:r w:rsidR="00A44AC5" w:rsidRPr="0007278D">
        <w:t>durante el</w:t>
      </w:r>
      <w:r w:rsidR="00213F50" w:rsidRPr="0007278D">
        <w:t xml:space="preserve"> </w:t>
      </w:r>
      <w:r w:rsidR="00213F50" w:rsidRPr="0007278D">
        <w:lastRenderedPageBreak/>
        <w:t>procedimiento no jurisdiccional</w:t>
      </w:r>
      <w:r w:rsidR="007E2301" w:rsidRPr="0007278D">
        <w:t xml:space="preserve">, </w:t>
      </w:r>
      <w:r w:rsidR="00151452" w:rsidRPr="0007278D">
        <w:t xml:space="preserve">tiene la obligación </w:t>
      </w:r>
      <w:r w:rsidR="007E2301" w:rsidRPr="0007278D">
        <w:t>cumplir con la jurisprudencia de la Corte IDH</w:t>
      </w:r>
      <w:r w:rsidR="00A44AC5" w:rsidRPr="0007278D">
        <w:t>;</w:t>
      </w:r>
      <w:r w:rsidR="007E2301" w:rsidRPr="0007278D">
        <w:t xml:space="preserve"> de </w:t>
      </w:r>
      <w:r w:rsidR="00A44AC5" w:rsidRPr="0007278D">
        <w:t>lo contrario,</w:t>
      </w:r>
      <w:r w:rsidR="007E2301" w:rsidRPr="0007278D">
        <w:t xml:space="preserve"> la violación de un tratado </w:t>
      </w:r>
      <w:r w:rsidR="00D1012C" w:rsidRPr="0007278D">
        <w:t xml:space="preserve">le </w:t>
      </w:r>
      <w:r w:rsidR="007E2301" w:rsidRPr="0007278D">
        <w:t>acarrea</w:t>
      </w:r>
      <w:r w:rsidR="00D1012C" w:rsidRPr="0007278D">
        <w:t>ría</w:t>
      </w:r>
      <w:r w:rsidR="007E2301" w:rsidRPr="0007278D">
        <w:t xml:space="preserve"> la responsabilidad internacional del Estado</w:t>
      </w:r>
      <w:r w:rsidR="00A44AC5" w:rsidRPr="0007278D">
        <w:t>.</w:t>
      </w:r>
      <w:r w:rsidR="007E2301" w:rsidRPr="0007278D">
        <w:rPr>
          <w:rStyle w:val="Refdenotaalpie"/>
          <w:bCs/>
          <w:color w:val="000000" w:themeColor="text1"/>
        </w:rPr>
        <w:footnoteReference w:id="43"/>
      </w:r>
    </w:p>
    <w:p w14:paraId="586B4520" w14:textId="762677EB" w:rsidR="00E6562E" w:rsidRPr="0007278D" w:rsidRDefault="00536C64" w:rsidP="00324EFC">
      <w:pPr>
        <w:pStyle w:val="parrafonormalbiolex"/>
      </w:pPr>
      <w:r w:rsidRPr="0007278D">
        <w:t>Al respecto, l</w:t>
      </w:r>
      <w:r w:rsidR="001E76B7" w:rsidRPr="0007278D">
        <w:rPr>
          <w:rFonts w:eastAsia="Times New Roman"/>
          <w:lang w:eastAsia="es-MX"/>
        </w:rPr>
        <w:t xml:space="preserve">a Corte IDH ha emitido una jurisprudencia progresiva en la que ha interpretado que el debido proceso legal es un derecho que protege a las personas en todo procedimiento </w:t>
      </w:r>
      <w:r w:rsidR="001E76B7" w:rsidRPr="0007278D">
        <w:t>donde se afectan derechos humanos, sea jurisdiccional o no jurisdiccional, como se verá enseguida.</w:t>
      </w:r>
    </w:p>
    <w:p w14:paraId="362880D8" w14:textId="67649BE0" w:rsidR="009436ED" w:rsidRPr="0007278D" w:rsidRDefault="009436ED" w:rsidP="00324EFC">
      <w:pPr>
        <w:pStyle w:val="parrafonormalbiolex"/>
      </w:pPr>
      <w:r w:rsidRPr="0007278D">
        <w:rPr>
          <w:rFonts w:eastAsia="Times New Roman"/>
          <w:lang w:eastAsia="es-MX"/>
        </w:rPr>
        <w:t xml:space="preserve">La </w:t>
      </w:r>
      <w:r w:rsidRPr="0007278D">
        <w:t>CADH</w:t>
      </w:r>
      <w:r w:rsidRPr="0007278D">
        <w:rPr>
          <w:rFonts w:eastAsia="Times New Roman"/>
          <w:lang w:eastAsia="es-MX"/>
        </w:rPr>
        <w:t xml:space="preserve"> define el debido proceso en el artículo 8.1, donde dice</w:t>
      </w:r>
      <w:r w:rsidR="00A44AC5" w:rsidRPr="0007278D">
        <w:rPr>
          <w:rFonts w:eastAsia="Times New Roman"/>
          <w:lang w:eastAsia="es-MX"/>
        </w:rPr>
        <w:t xml:space="preserve"> lo siguiente</w:t>
      </w:r>
      <w:r w:rsidRPr="0007278D">
        <w:rPr>
          <w:rFonts w:eastAsia="Times New Roman"/>
          <w:lang w:eastAsia="es-MX"/>
        </w:rPr>
        <w:t xml:space="preserve">: </w:t>
      </w:r>
    </w:p>
    <w:p w14:paraId="4AE3B769" w14:textId="154055DE" w:rsidR="009436ED" w:rsidRPr="0007278D" w:rsidRDefault="009436ED" w:rsidP="00324EFC">
      <w:pPr>
        <w:pStyle w:val="Citalarga"/>
        <w:rPr>
          <w:lang w:eastAsia="es-MX"/>
        </w:rPr>
      </w:pPr>
      <w:r w:rsidRPr="0007278D">
        <w:rPr>
          <w:lang w:eastAsia="es-MX"/>
        </w:rPr>
        <w:t>Artículo 8. Garantías Judiciales</w:t>
      </w:r>
      <w:r w:rsidR="00536C64" w:rsidRPr="0007278D">
        <w:rPr>
          <w:lang w:eastAsia="es-MX"/>
        </w:rPr>
        <w:t>.</w:t>
      </w:r>
    </w:p>
    <w:p w14:paraId="1D0001ED" w14:textId="77777777" w:rsidR="009436ED" w:rsidRPr="0007278D" w:rsidRDefault="009436ED" w:rsidP="00324EFC">
      <w:pPr>
        <w:pStyle w:val="Citalarga"/>
        <w:rPr>
          <w:lang w:eastAsia="es-MX"/>
        </w:rPr>
      </w:pPr>
      <w:r w:rsidRPr="0007278D">
        <w:rPr>
          <w:lang w:eastAsia="es-MX"/>
        </w:rPr>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24569F37" w14:textId="26F5952D" w:rsidR="009436ED" w:rsidRPr="0007278D" w:rsidRDefault="009436ED" w:rsidP="00324EFC">
      <w:pPr>
        <w:pStyle w:val="parrafonormalbiolex"/>
        <w:rPr>
          <w:lang w:eastAsia="es-MX"/>
        </w:rPr>
      </w:pPr>
      <w:r w:rsidRPr="0007278D">
        <w:rPr>
          <w:lang w:eastAsia="es-MX"/>
        </w:rPr>
        <w:t xml:space="preserve">La Corte IDH interpreta </w:t>
      </w:r>
      <w:r w:rsidR="00913BA9" w:rsidRPr="0007278D">
        <w:rPr>
          <w:lang w:eastAsia="es-MX"/>
        </w:rPr>
        <w:t>que el término “</w:t>
      </w:r>
      <w:r w:rsidRPr="0007278D">
        <w:rPr>
          <w:lang w:eastAsia="es-MX"/>
        </w:rPr>
        <w:t xml:space="preserve">garantías judiciales” debe entenderse </w:t>
      </w:r>
      <w:r w:rsidR="00913BA9" w:rsidRPr="0007278D">
        <w:rPr>
          <w:lang w:eastAsia="es-MX"/>
        </w:rPr>
        <w:t>como el</w:t>
      </w:r>
      <w:r w:rsidRPr="0007278D">
        <w:rPr>
          <w:lang w:eastAsia="es-MX"/>
        </w:rPr>
        <w:t xml:space="preserve"> “debido proceso legal”</w:t>
      </w:r>
      <w:r w:rsidRPr="0007278D">
        <w:rPr>
          <w:rStyle w:val="Refdenotaalpie"/>
          <w:rFonts w:eastAsia="Times New Roman"/>
          <w:bCs/>
          <w:color w:val="000000" w:themeColor="text1"/>
          <w:lang w:eastAsia="es-MX"/>
        </w:rPr>
        <w:footnoteReference w:id="44"/>
      </w:r>
      <w:r w:rsidRPr="0007278D">
        <w:rPr>
          <w:lang w:eastAsia="es-MX"/>
        </w:rPr>
        <w:t>,</w:t>
      </w:r>
      <w:r w:rsidR="00913BA9" w:rsidRPr="0007278D">
        <w:rPr>
          <w:lang w:eastAsia="es-MX"/>
        </w:rPr>
        <w:t xml:space="preserve"> comprendido </w:t>
      </w:r>
      <w:r w:rsidRPr="0007278D">
        <w:rPr>
          <w:lang w:eastAsia="es-MX"/>
        </w:rPr>
        <w:t>como el derecho a ser oído</w:t>
      </w:r>
      <w:r w:rsidR="00913BA9" w:rsidRPr="0007278D">
        <w:rPr>
          <w:lang w:eastAsia="es-MX"/>
        </w:rPr>
        <w:t xml:space="preserve">, el </w:t>
      </w:r>
      <w:r w:rsidRPr="0007278D">
        <w:rPr>
          <w:lang w:eastAsia="es-MX"/>
        </w:rPr>
        <w:t>derecho a una investigación judicial efectiva</w:t>
      </w:r>
      <w:r w:rsidR="00913BA9" w:rsidRPr="0007278D">
        <w:rPr>
          <w:lang w:eastAsia="es-MX"/>
        </w:rPr>
        <w:t xml:space="preserve">, a </w:t>
      </w:r>
      <w:r w:rsidRPr="0007278D">
        <w:rPr>
          <w:lang w:eastAsia="es-MX"/>
        </w:rPr>
        <w:t xml:space="preserve">ser juzgado por un tribunal independiente, imparcial y competente; a ser juzgado en un plazo razonable; a una resolución motivada; y </w:t>
      </w:r>
      <w:r w:rsidR="00913BA9" w:rsidRPr="0007278D">
        <w:rPr>
          <w:lang w:eastAsia="es-MX"/>
        </w:rPr>
        <w:t xml:space="preserve">a la </w:t>
      </w:r>
      <w:r w:rsidRPr="0007278D">
        <w:rPr>
          <w:lang w:eastAsia="es-MX"/>
        </w:rPr>
        <w:t>previsibilidad de la sanción</w:t>
      </w:r>
      <w:r w:rsidR="00913BA9" w:rsidRPr="0007278D">
        <w:rPr>
          <w:lang w:eastAsia="es-MX"/>
        </w:rPr>
        <w:t>.</w:t>
      </w:r>
      <w:r w:rsidRPr="0007278D">
        <w:rPr>
          <w:rStyle w:val="Refdenotaalpie"/>
          <w:rFonts w:eastAsia="Times New Roman"/>
          <w:bCs/>
          <w:color w:val="000000" w:themeColor="text1"/>
          <w:lang w:eastAsia="es-MX"/>
        </w:rPr>
        <w:footnoteReference w:id="45"/>
      </w:r>
    </w:p>
    <w:p w14:paraId="23D430F2" w14:textId="77777777" w:rsidR="00151452" w:rsidRPr="0007278D" w:rsidRDefault="00151452" w:rsidP="00324EFC">
      <w:pPr>
        <w:pStyle w:val="parrafonormalbiolex"/>
      </w:pPr>
      <w:r w:rsidRPr="0007278D">
        <w:t>El artículo 8.2 de la CADH establece las siguientes garantías mínimas del debido proceso legal:  derecho a intérprete (art. 8.2.a); derecho a que se le comunique la acusación (art. 8.2.b); concesión de medios y tiempo para la preparación de la defensa (8.2.c); defensa técnica (art. 8.2.d y e); derecho a conocer la prueba y la identidad de los testigos (8.2.f); presentar prueba para esclarecer los hechos (8.2.f); derecho a recursos de impugnación ante un tribunal o un juez superior (art. 8.2.h); derecho de asistencia consular; principio de coherencia o de correlación entre acusación y sentencia; derecho a una evaluación sobre la salud mental en los casos de pena de muerte; principio de legalidad y no retroactividad (art. 9 CADH) en relación con el debido proceso (art. 8 CADH); debido proceso y grupos en situación de discriminación.</w:t>
      </w:r>
    </w:p>
    <w:p w14:paraId="71E2361B" w14:textId="5AD02326" w:rsidR="009436ED" w:rsidRPr="0007278D" w:rsidRDefault="009436ED" w:rsidP="00324EFC">
      <w:pPr>
        <w:pStyle w:val="parrafonormalbiolex"/>
      </w:pPr>
      <w:r w:rsidRPr="0007278D">
        <w:t xml:space="preserve">Las garantías mínimas del debido proceso legal previstas en el artículo 8.2 de la CADH </w:t>
      </w:r>
      <w:r w:rsidR="00913BA9" w:rsidRPr="0007278D">
        <w:t xml:space="preserve">constituyen </w:t>
      </w:r>
      <w:r w:rsidRPr="0007278D">
        <w:t xml:space="preserve">un derecho </w:t>
      </w:r>
      <w:r w:rsidR="00E21479" w:rsidRPr="0007278D">
        <w:t>no s</w:t>
      </w:r>
      <w:r w:rsidR="00913BA9" w:rsidRPr="0007278D">
        <w:t>o</w:t>
      </w:r>
      <w:r w:rsidR="00E21479" w:rsidRPr="0007278D">
        <w:t xml:space="preserve">lo para </w:t>
      </w:r>
      <w:r w:rsidRPr="0007278D">
        <w:t>la defensa del inculpado</w:t>
      </w:r>
      <w:r w:rsidR="00913BA9" w:rsidRPr="0007278D">
        <w:t>,</w:t>
      </w:r>
      <w:r w:rsidR="00E21479" w:rsidRPr="0007278D">
        <w:t xml:space="preserve"> sino también para la víctima,</w:t>
      </w:r>
      <w:r w:rsidRPr="0007278D">
        <w:t xml:space="preserve"> </w:t>
      </w:r>
      <w:r w:rsidR="00913BA9" w:rsidRPr="0007278D">
        <w:t>imponiendo</w:t>
      </w:r>
      <w:r w:rsidRPr="0007278D">
        <w:t xml:space="preserve"> al Estado a tratarlo</w:t>
      </w:r>
      <w:r w:rsidR="00E21479" w:rsidRPr="0007278D">
        <w:t>s</w:t>
      </w:r>
      <w:r w:rsidRPr="0007278D">
        <w:t xml:space="preserve"> no como un objeto del proceso penal</w:t>
      </w:r>
      <w:r w:rsidR="00913BA9" w:rsidRPr="0007278D">
        <w:t>,</w:t>
      </w:r>
      <w:r w:rsidRPr="0007278D">
        <w:t xml:space="preserve"> sino como verdadero</w:t>
      </w:r>
      <w:r w:rsidR="00E21479" w:rsidRPr="0007278D">
        <w:t>s</w:t>
      </w:r>
      <w:r w:rsidRPr="0007278D">
        <w:t xml:space="preserve"> sujeto</w:t>
      </w:r>
      <w:r w:rsidR="00E21479" w:rsidRPr="0007278D">
        <w:t>s</w:t>
      </w:r>
      <w:r w:rsidRPr="0007278D">
        <w:t xml:space="preserve"> del proceso, es decir, como parte activa dentro del procedimiento con derechos que le</w:t>
      </w:r>
      <w:r w:rsidR="00E21479" w:rsidRPr="0007278D">
        <w:t>s</w:t>
      </w:r>
      <w:r w:rsidRPr="0007278D">
        <w:t xml:space="preserve"> aseguran una intervención eficaz en defensa de sus intereses</w:t>
      </w:r>
      <w:r w:rsidR="00913BA9" w:rsidRPr="0007278D">
        <w:t>.</w:t>
      </w:r>
      <w:r w:rsidRPr="0007278D">
        <w:rPr>
          <w:rStyle w:val="Refdenotaalpie"/>
          <w:bCs/>
          <w:color w:val="000000" w:themeColor="text1"/>
        </w:rPr>
        <w:footnoteReference w:id="46"/>
      </w:r>
      <w:r w:rsidR="00E21479" w:rsidRPr="0007278D">
        <w:t xml:space="preserve"> </w:t>
      </w:r>
    </w:p>
    <w:p w14:paraId="2AE09089" w14:textId="5DF5C656" w:rsidR="009436ED" w:rsidRPr="0007278D" w:rsidRDefault="009436ED" w:rsidP="00324EFC">
      <w:pPr>
        <w:pStyle w:val="parrafonormalbiolex"/>
      </w:pPr>
      <w:r w:rsidRPr="0007278D">
        <w:lastRenderedPageBreak/>
        <w:t>La víctima de violación de derechos humanos tiene el derecho de participar en el proce</w:t>
      </w:r>
      <w:r w:rsidR="00CC463D" w:rsidRPr="0007278D">
        <w:t>dimiento</w:t>
      </w:r>
      <w:r w:rsidRPr="0007278D">
        <w:rPr>
          <w:rStyle w:val="Refdenotaalpie"/>
          <w:bCs/>
          <w:color w:val="000000" w:themeColor="text1"/>
        </w:rPr>
        <w:footnoteReference w:id="47"/>
      </w:r>
      <w:r w:rsidRPr="0007278D">
        <w:t xml:space="preserve"> no s</w:t>
      </w:r>
      <w:r w:rsidR="00913BA9" w:rsidRPr="0007278D">
        <w:t>o</w:t>
      </w:r>
      <w:r w:rsidRPr="0007278D">
        <w:t>lo para efectos de la reparación del daño, sino también para hacer efectivos sus derechos a la verdad y a la justicia, a una resolución por un tribunal competente, a un recurso de impugnación y a la reparación del daño de acuerdo con el debido proceso y el acceso a la justicia</w:t>
      </w:r>
      <w:r w:rsidR="00913BA9" w:rsidRPr="0007278D">
        <w:t>.</w:t>
      </w:r>
      <w:r w:rsidRPr="0007278D">
        <w:rPr>
          <w:rStyle w:val="Refdenotaalpie"/>
          <w:bCs/>
          <w:color w:val="000000" w:themeColor="text1"/>
        </w:rPr>
        <w:footnoteReference w:id="48"/>
      </w:r>
    </w:p>
    <w:p w14:paraId="450D81DC" w14:textId="71E12FAC" w:rsidR="00151452" w:rsidRPr="0007278D" w:rsidRDefault="00151452" w:rsidP="00324EFC">
      <w:pPr>
        <w:pStyle w:val="parrafonormalbiolex"/>
      </w:pPr>
      <w:r w:rsidRPr="0007278D">
        <w:t>Si bien el artículo 8.1 de la Convención se refiere a un juez o tribunal competente, la Corte IDH ha interpretado mediante jurisprudencia que, “dicho artículo es igualmente aplicable a las situaciones en que alguna autoridad</w:t>
      </w:r>
      <w:r w:rsidR="00A7427E" w:rsidRPr="0007278D">
        <w:t xml:space="preserve"> </w:t>
      </w:r>
      <w:r w:rsidRPr="0007278D">
        <w:t>pública, no judicial, dicte resoluciones que afecten la determinación de tales derechos”</w:t>
      </w:r>
      <w:r w:rsidR="00A7427E" w:rsidRPr="0007278D">
        <w:t>.</w:t>
      </w:r>
      <w:r w:rsidRPr="0007278D">
        <w:rPr>
          <w:rStyle w:val="Refdenotaalpie"/>
          <w:bCs/>
          <w:color w:val="000000" w:themeColor="text1"/>
        </w:rPr>
        <w:footnoteReference w:id="49"/>
      </w:r>
    </w:p>
    <w:p w14:paraId="323BBFB2" w14:textId="74688931" w:rsidR="00151452" w:rsidRPr="0007278D" w:rsidRDefault="00A7427E" w:rsidP="00324EFC">
      <w:pPr>
        <w:pStyle w:val="parrafonormalbiolex"/>
      </w:pPr>
      <w:r w:rsidRPr="0007278D">
        <w:t>La IDH también interpreta que</w:t>
      </w:r>
      <w:r w:rsidR="00151452" w:rsidRPr="0007278D">
        <w:t xml:space="preserve"> el alcance del debido proceso legal previsto en el artículo 8.1 de la Convención no </w:t>
      </w:r>
      <w:r w:rsidRPr="0007278D">
        <w:t xml:space="preserve">se limita </w:t>
      </w:r>
      <w:r w:rsidR="00151452" w:rsidRPr="0007278D">
        <w:t>solo en el ámbito judicial</w:t>
      </w:r>
      <w:r w:rsidRPr="0007278D">
        <w:t xml:space="preserve"> </w:t>
      </w:r>
      <w:r w:rsidR="00151452" w:rsidRPr="0007278D">
        <w:t xml:space="preserve">en estricto sentido, </w:t>
      </w:r>
      <w:r w:rsidR="00151452" w:rsidRPr="0007278D">
        <w:rPr>
          <w:shd w:val="clear" w:color="auto" w:fill="FFFFFF"/>
        </w:rPr>
        <w:t>sino que comprende un “conjunto de requisitos que las autoridades deben observar en las instancias procesales para asegurar una adecuada defensa de las personas ante cualquier tipo de acto emanado del Estado que pueda afectar sus derechos”</w:t>
      </w:r>
      <w:r w:rsidRPr="0007278D">
        <w:rPr>
          <w:shd w:val="clear" w:color="auto" w:fill="FFFFFF"/>
        </w:rPr>
        <w:t>.</w:t>
      </w:r>
      <w:r w:rsidR="00151452" w:rsidRPr="0007278D">
        <w:rPr>
          <w:rStyle w:val="Refdenotaalpie"/>
          <w:bCs/>
          <w:color w:val="000000" w:themeColor="text1"/>
          <w:shd w:val="clear" w:color="auto" w:fill="FFFFFF"/>
        </w:rPr>
        <w:footnoteReference w:id="50"/>
      </w:r>
      <w:r w:rsidR="00151452" w:rsidRPr="0007278D">
        <w:rPr>
          <w:shd w:val="clear" w:color="auto" w:fill="FFFFFF"/>
        </w:rPr>
        <w:t xml:space="preserve"> </w:t>
      </w:r>
      <w:r w:rsidR="00151452" w:rsidRPr="0007278D">
        <w:rPr>
          <w:lang w:eastAsia="es-MX"/>
        </w:rPr>
        <w:t>Estas garantías representan un derecho transversal a todos los derechos fundamentales sin excepción y a todo el sistema jurídico,</w:t>
      </w:r>
      <w:r w:rsidR="00151452" w:rsidRPr="0007278D">
        <w:rPr>
          <w:rStyle w:val="Refdenotaalpie"/>
          <w:rFonts w:eastAsia="Times New Roman"/>
          <w:bCs/>
          <w:color w:val="000000" w:themeColor="text1"/>
          <w:lang w:eastAsia="es-MX"/>
        </w:rPr>
        <w:footnoteReference w:id="51"/>
      </w:r>
      <w:r w:rsidR="00151452" w:rsidRPr="0007278D">
        <w:rPr>
          <w:lang w:eastAsia="es-MX"/>
        </w:rPr>
        <w:t xml:space="preserve"> por lo que </w:t>
      </w:r>
      <w:r w:rsidR="00151452" w:rsidRPr="0007278D">
        <w:rPr>
          <w:shd w:val="clear" w:color="auto" w:fill="FFFFFF"/>
        </w:rPr>
        <w:t>la Corte IDH ha precisado la extensión de estas garantías “no solo en el ámbito judicial, sino en cualquier procedimiento donde se decidan derechos de las personas”</w:t>
      </w:r>
      <w:r w:rsidRPr="0007278D">
        <w:rPr>
          <w:shd w:val="clear" w:color="auto" w:fill="FFFFFF"/>
        </w:rPr>
        <w:t>.</w:t>
      </w:r>
      <w:r w:rsidR="00151452" w:rsidRPr="0007278D">
        <w:rPr>
          <w:rStyle w:val="Refdenotaalpie"/>
          <w:bCs/>
          <w:color w:val="000000" w:themeColor="text1"/>
          <w:shd w:val="clear" w:color="auto" w:fill="FFFFFF"/>
        </w:rPr>
        <w:footnoteReference w:id="52"/>
      </w:r>
    </w:p>
    <w:p w14:paraId="3935E349" w14:textId="106DC751" w:rsidR="00151452" w:rsidRPr="0007278D" w:rsidRDefault="00151452" w:rsidP="00324EFC">
      <w:pPr>
        <w:pStyle w:val="parrafonormalbiolex"/>
      </w:pPr>
      <w:r w:rsidRPr="0007278D">
        <w:rPr>
          <w:shd w:val="clear" w:color="auto" w:fill="FFFFFF"/>
        </w:rPr>
        <w:t xml:space="preserve">En suma, </w:t>
      </w:r>
      <w:r w:rsidRPr="0007278D">
        <w:t>ha establecido mediante jurisprudencia</w:t>
      </w:r>
      <w:r w:rsidR="00A7427E" w:rsidRPr="0007278D">
        <w:t xml:space="preserve"> </w:t>
      </w:r>
      <w:r w:rsidRPr="0007278D">
        <w:t xml:space="preserve">que las garantías del debido proceso legal deben respetarse en cualquier procedimiento donde la decisión pueda afectar los derechos humanos de las personas, sea jurisdiccional o no jurisdiccional. </w:t>
      </w:r>
    </w:p>
    <w:p w14:paraId="55BFC9B6" w14:textId="5E842858" w:rsidR="00D04D5A" w:rsidRPr="0007278D" w:rsidRDefault="00D04D5A" w:rsidP="00324EFC">
      <w:pPr>
        <w:pStyle w:val="parrafonormalbiolex"/>
      </w:pPr>
      <w:r w:rsidRPr="0007278D">
        <w:t xml:space="preserve">En el ámbito jurídico mexicano, el debido proceso se encuentra previsto en el segundo párrafo del artículo 14 constitucional, según el cual ninguna persona podrá ser privada de la libertad o de sus propiedades, posesiones o derechos, sino mediante juicio </w:t>
      </w:r>
      <w:r w:rsidR="00E21479" w:rsidRPr="0007278D">
        <w:t xml:space="preserve">seguido </w:t>
      </w:r>
      <w:r w:rsidRPr="0007278D">
        <w:t xml:space="preserve">ante los tribunales previamente establecidos, de acuerdo con las formalidades esenciales del procedimiento y conforme a las </w:t>
      </w:r>
      <w:r w:rsidR="00A7427E" w:rsidRPr="0007278D">
        <w:t>l</w:t>
      </w:r>
      <w:r w:rsidRPr="0007278D">
        <w:t>eyes expedidas con anterioridad al hecho.</w:t>
      </w:r>
    </w:p>
    <w:p w14:paraId="500D8FEA" w14:textId="0640472D" w:rsidR="00205419" w:rsidRPr="0007278D" w:rsidRDefault="00205419" w:rsidP="00324EFC">
      <w:pPr>
        <w:pStyle w:val="parrafonormalbiolex"/>
      </w:pPr>
      <w:r w:rsidRPr="0007278D">
        <w:t>Los actos de autoridad privativos de derechos tienen como efecto la disminución, menoscabo o supresión definitiva de un derecho material o inmaterial del gobernado</w:t>
      </w:r>
      <w:r w:rsidR="00A7427E" w:rsidRPr="0007278D">
        <w:t>,</w:t>
      </w:r>
      <w:r w:rsidRPr="0007278D">
        <w:rPr>
          <w:rStyle w:val="Refdenotaalpie"/>
          <w:bCs/>
          <w:color w:val="000000" w:themeColor="text1"/>
        </w:rPr>
        <w:footnoteReference w:id="53"/>
      </w:r>
      <w:r w:rsidR="00A7427E" w:rsidRPr="0007278D">
        <w:t xml:space="preserve"> </w:t>
      </w:r>
      <w:r w:rsidRPr="0007278D">
        <w:t xml:space="preserve">con lo cual </w:t>
      </w:r>
      <w:r w:rsidRPr="0007278D">
        <w:rPr>
          <w:shd w:val="clear" w:color="auto" w:fill="FFFFFF"/>
        </w:rPr>
        <w:t>crea, modifica o extingue situaciones jurídicas en forma unilateral y obligatoria</w:t>
      </w:r>
      <w:r w:rsidRPr="0007278D">
        <w:t xml:space="preserve">. Antes de un acto de autoridad </w:t>
      </w:r>
      <w:r w:rsidRPr="0007278D">
        <w:lastRenderedPageBreak/>
        <w:t>privativo de derechos que modifique la esfera jurídica del gobernado de forma definitiva, la persona tiene derecho al debido proceso para la oportuna y adecuada defensa de sus derechos sustantivos</w:t>
      </w:r>
      <w:r w:rsidR="00A7427E" w:rsidRPr="0007278D">
        <w:t>.</w:t>
      </w:r>
      <w:r w:rsidRPr="0007278D">
        <w:rPr>
          <w:rStyle w:val="Refdenotaalpie"/>
          <w:bCs/>
          <w:color w:val="000000" w:themeColor="text1"/>
        </w:rPr>
        <w:footnoteReference w:id="54"/>
      </w:r>
    </w:p>
    <w:p w14:paraId="5144268F" w14:textId="6AF7358E" w:rsidR="00D04D5A" w:rsidRPr="0007278D" w:rsidRDefault="00D04D5A" w:rsidP="00324EFC">
      <w:pPr>
        <w:pStyle w:val="parrafonormalbiolex"/>
      </w:pPr>
      <w:r w:rsidRPr="0007278D">
        <w:t>El debido proceso es propio de un modelo de derecho garantista, pues contiene un conjunto de requisitos que condicionan la actuación de las autoridades para asegurar que las personas no sean sometidas a decisiones arbitrarias. Contiene</w:t>
      </w:r>
      <w:r w:rsidR="00A7427E" w:rsidRPr="0007278D">
        <w:t>,</w:t>
      </w:r>
      <w:r w:rsidRPr="0007278D">
        <w:t xml:space="preserve"> como mínimo</w:t>
      </w:r>
      <w:r w:rsidR="00A7427E" w:rsidRPr="0007278D">
        <w:t>,</w:t>
      </w:r>
      <w:r w:rsidRPr="0007278D">
        <w:t xml:space="preserve"> las siguientes formalidades del procedimiento: </w:t>
      </w:r>
      <w:r w:rsidRPr="0007278D">
        <w:rPr>
          <w:lang w:eastAsia="es-MX"/>
        </w:rPr>
        <w:t xml:space="preserve">1) </w:t>
      </w:r>
      <w:r w:rsidR="00A7427E" w:rsidRPr="0007278D">
        <w:rPr>
          <w:lang w:eastAsia="es-MX"/>
        </w:rPr>
        <w:t>l</w:t>
      </w:r>
      <w:r w:rsidRPr="0007278D">
        <w:rPr>
          <w:lang w:eastAsia="es-MX"/>
        </w:rPr>
        <w:t>a notificación del inicio del procedimiento y sus consecuencias. 2) La oportunidad de ofrecer y desahogar las pruebas en que se finque la defensa. 3) La oportunidad de alegar. 4) El dictado de una resolución que dirima las cuestiones debatidas y el derecho a un recurso de impugnación.</w:t>
      </w:r>
      <w:r w:rsidRPr="0007278D">
        <w:rPr>
          <w:rStyle w:val="Refdenotaalpie"/>
          <w:rFonts w:eastAsia="Times New Roman"/>
          <w:bCs/>
          <w:color w:val="000000" w:themeColor="text1"/>
          <w:lang w:eastAsia="es-MX"/>
        </w:rPr>
        <w:footnoteReference w:id="55"/>
      </w:r>
    </w:p>
    <w:p w14:paraId="18F241B8" w14:textId="28CE68DF" w:rsidR="00205419" w:rsidRPr="0007278D" w:rsidRDefault="00205419" w:rsidP="00324EFC">
      <w:pPr>
        <w:pStyle w:val="parrafonormalbiolex"/>
      </w:pPr>
      <w:r w:rsidRPr="0007278D">
        <w:t>El debido proceso sustantivo es un derecho con eficacia transversal en todo el sistema jurídico, toda vez que la oportunidad defensiva es exigible frente a cualquier acto privativo de derechos humanos que efectúe el poder público</w:t>
      </w:r>
      <w:r w:rsidR="00EC2561" w:rsidRPr="0007278D">
        <w:t>.</w:t>
      </w:r>
      <w:r w:rsidRPr="0007278D">
        <w:rPr>
          <w:rStyle w:val="Refdenotaalpie"/>
          <w:bCs/>
          <w:color w:val="000000" w:themeColor="text1"/>
        </w:rPr>
        <w:footnoteReference w:id="56"/>
      </w:r>
    </w:p>
    <w:p w14:paraId="496D3ADB" w14:textId="5A87BFEC" w:rsidR="006C1770" w:rsidRPr="0007278D" w:rsidRDefault="00EC2561" w:rsidP="00324EFC">
      <w:pPr>
        <w:pStyle w:val="parrafonormalbiolex"/>
      </w:pPr>
      <w:r w:rsidRPr="0007278D">
        <w:t>De acuerdo con</w:t>
      </w:r>
      <w:r w:rsidR="006C1770" w:rsidRPr="0007278D">
        <w:t xml:space="preserve"> la opinión de Salinas Garza, si bien es cierto que el procedimiento no jurisdiccional debe ser diseñado con base a principios esenciales como los de expeditez, simplicidad, accesibilidad y eficacia, también lo es que debe existir un balance con las formalidades esenciales de todo procedimiento que ofrezcan seguridad jurídica a la parte quejosa</w:t>
      </w:r>
      <w:r w:rsidRPr="0007278D">
        <w:t>.</w:t>
      </w:r>
      <w:r w:rsidR="006C1770" w:rsidRPr="0007278D">
        <w:rPr>
          <w:rStyle w:val="Refdenotaalpie"/>
          <w:bCs/>
          <w:color w:val="000000" w:themeColor="text1"/>
        </w:rPr>
        <w:footnoteReference w:id="57"/>
      </w:r>
    </w:p>
    <w:p w14:paraId="0947EF10" w14:textId="20C6713D" w:rsidR="00D04D5A" w:rsidRPr="0007278D" w:rsidRDefault="00E21479" w:rsidP="00324EFC">
      <w:pPr>
        <w:pStyle w:val="parrafonormalbiolex"/>
      </w:pPr>
      <w:r w:rsidRPr="0007278D">
        <w:t>En consecuencia, l</w:t>
      </w:r>
      <w:r w:rsidR="00D04D5A" w:rsidRPr="0007278D">
        <w:t>os servidores públicos de la CNDH tienen la obligación de llevar a cabo el procedimiento no jurisdiccional conforme a las formalidades del debido proceso establecidas en la Constitución Federal y en la jurisprudencia de la Corte IDH</w:t>
      </w:r>
      <w:r w:rsidR="0014597E" w:rsidRPr="0007278D">
        <w:t xml:space="preserve">. </w:t>
      </w:r>
      <w:r w:rsidR="00EC2561" w:rsidRPr="0007278D">
        <w:t>La</w:t>
      </w:r>
      <w:r w:rsidR="000276E0" w:rsidRPr="0007278D">
        <w:t xml:space="preserve"> jurisprudencia de la Suprema Corte de Justicia de la Nación ha interpretado que la procedencia del juicio de amparo para impugnar actos de autoridad de la CNDH es excepcional, pero no limitativa</w:t>
      </w:r>
      <w:r w:rsidR="00EC2561" w:rsidRPr="0007278D">
        <w:t xml:space="preserve">. Por lo tanto, </w:t>
      </w:r>
      <w:r w:rsidR="000276E0" w:rsidRPr="0007278D">
        <w:t>s</w:t>
      </w:r>
      <w:r w:rsidR="00D04D5A" w:rsidRPr="0007278D">
        <w:t>i l</w:t>
      </w:r>
      <w:r w:rsidR="009568E8" w:rsidRPr="0007278D">
        <w:t>o</w:t>
      </w:r>
      <w:r w:rsidR="00D04D5A" w:rsidRPr="0007278D">
        <w:t xml:space="preserve">s </w:t>
      </w:r>
      <w:r w:rsidR="009568E8" w:rsidRPr="0007278D">
        <w:t xml:space="preserve">servidores públicos </w:t>
      </w:r>
      <w:r w:rsidR="00D04D5A" w:rsidRPr="0007278D">
        <w:t>de la CNDH violan el derecho fundamental del debido proceso</w:t>
      </w:r>
      <w:r w:rsidR="000276E0" w:rsidRPr="0007278D">
        <w:t xml:space="preserve"> durante el procedimiento de queja</w:t>
      </w:r>
      <w:r w:rsidR="00D04D5A" w:rsidRPr="0007278D">
        <w:t>, el quejoso pu</w:t>
      </w:r>
      <w:r w:rsidR="00037629" w:rsidRPr="0007278D">
        <w:t>e</w:t>
      </w:r>
      <w:r w:rsidR="00D04D5A" w:rsidRPr="0007278D">
        <w:t xml:space="preserve">de acudir al amparo y protección de los tribunales federales. </w:t>
      </w:r>
    </w:p>
    <w:p w14:paraId="4325E9E3" w14:textId="7B4AAFD5" w:rsidR="00471418" w:rsidRPr="00324EFC" w:rsidRDefault="00324EFC" w:rsidP="00324EFC">
      <w:pPr>
        <w:pStyle w:val="Nivel1BIOL"/>
        <w:rPr>
          <w:lang w:val="es-MX"/>
        </w:rPr>
      </w:pPr>
      <w:r w:rsidRPr="00324EFC">
        <w:rPr>
          <w:lang w:val="es-MX"/>
        </w:rPr>
        <w:t>VI. OBLIGACIÓN DE LA COMISIÓN NACIONAL DE DERECHOS HUMANOS DE ARMONIZAR SU LEGISLACIÓN CON LA JURISPRUDENCIA DE LA CNDH</w:t>
      </w:r>
    </w:p>
    <w:p w14:paraId="208A94D7" w14:textId="55DEAB31" w:rsidR="00471418" w:rsidRPr="0007278D" w:rsidRDefault="00471418" w:rsidP="00324EFC">
      <w:pPr>
        <w:pStyle w:val="parrafonormalbiolex"/>
      </w:pPr>
      <w:r w:rsidRPr="0007278D">
        <w:t>Para garantizar los derechos humanos, la Primera Sala de la Suprema Corte de Justicia de la Nación ha interpretado que los derechos humanos contienen expectativas de actuación por parte de las autoridades del Estado, por lo que los individuos deben contar con garantías que hagan realidad tales aspiraciones. Por ello, dice el más Alto Tribunal</w:t>
      </w:r>
      <w:r w:rsidR="00EC2561" w:rsidRPr="0007278D">
        <w:t xml:space="preserve"> que </w:t>
      </w:r>
      <w:r w:rsidRPr="0007278D">
        <w:t xml:space="preserve">las garantías de protección son medios </w:t>
      </w:r>
      <w:r w:rsidRPr="0007278D">
        <w:lastRenderedPageBreak/>
        <w:t>que permiten lograr la eficacia de los derechos humanos</w:t>
      </w:r>
      <w:r w:rsidR="00EC2561" w:rsidRPr="0007278D">
        <w:t>;</w:t>
      </w:r>
      <w:r w:rsidRPr="0007278D">
        <w:t xml:space="preserve"> en su ausencia, el goce de los derechos que reconoce nuestro orden constitucional no puede materializarse en las personas</w:t>
      </w:r>
      <w:r w:rsidR="00EC2561" w:rsidRPr="0007278D">
        <w:t>.</w:t>
      </w:r>
      <w:r w:rsidRPr="0007278D">
        <w:rPr>
          <w:rStyle w:val="Refdenotaalpie"/>
          <w:bCs/>
          <w:color w:val="000000" w:themeColor="text1"/>
        </w:rPr>
        <w:footnoteReference w:id="58"/>
      </w:r>
    </w:p>
    <w:p w14:paraId="7F7CBABE" w14:textId="591EAF5B" w:rsidR="00471418" w:rsidRPr="0007278D" w:rsidRDefault="00471418" w:rsidP="00324EFC">
      <w:pPr>
        <w:pStyle w:val="parrafonormalbiolex"/>
      </w:pPr>
      <w:r w:rsidRPr="0007278D">
        <w:t>Los Principios de París</w:t>
      </w:r>
      <w:r w:rsidRPr="0007278D">
        <w:rPr>
          <w:rStyle w:val="Refdenotaalpie"/>
          <w:bCs/>
          <w:color w:val="000000" w:themeColor="text1"/>
        </w:rPr>
        <w:footnoteReference w:id="59"/>
      </w:r>
      <w:r w:rsidRPr="0007278D">
        <w:t xml:space="preserve"> señalan que el procedimiento cuasi jurisdiccional de las </w:t>
      </w:r>
      <w:r w:rsidR="00E80BCE" w:rsidRPr="0007278D">
        <w:t xml:space="preserve">instituciones nacionales de derechos humanos </w:t>
      </w:r>
      <w:r w:rsidRPr="0007278D">
        <w:t xml:space="preserve">debe </w:t>
      </w:r>
      <w:r w:rsidR="00E80BCE" w:rsidRPr="0007278D">
        <w:t xml:space="preserve">de </w:t>
      </w:r>
      <w:r w:rsidRPr="0007278D">
        <w:t>ser efectiva y no una mera formalidad, para lo cual deben cumplir con un conjunto de condiciones que son semejantes a las del debido proceso. En el mismo sentido, la Corte IDH ha señalado que para garantizar a las personas el derecho al debido proceso se requiere que el acceso a la justicia no s</w:t>
      </w:r>
      <w:r w:rsidR="00794A94" w:rsidRPr="0007278D">
        <w:t>o</w:t>
      </w:r>
      <w:r w:rsidRPr="0007278D">
        <w:t>lo sea formal, sino que permita un acceso real a los justiciables</w:t>
      </w:r>
      <w:r w:rsidR="00E80BCE" w:rsidRPr="0007278D">
        <w:t>.</w:t>
      </w:r>
      <w:r w:rsidRPr="0007278D">
        <w:rPr>
          <w:rStyle w:val="Refdenotaalpie"/>
          <w:bCs/>
          <w:color w:val="000000" w:themeColor="text1"/>
        </w:rPr>
        <w:footnoteReference w:id="60"/>
      </w:r>
    </w:p>
    <w:p w14:paraId="6F150587" w14:textId="1674BA37" w:rsidR="00471418" w:rsidRPr="0007278D" w:rsidRDefault="00471418" w:rsidP="00324EFC">
      <w:pPr>
        <w:pStyle w:val="parrafonormalbiolex"/>
      </w:pPr>
      <w:r w:rsidRPr="0007278D">
        <w:t xml:space="preserve">En tal virtud, </w:t>
      </w:r>
      <w:r w:rsidR="00C44971" w:rsidRPr="0007278D">
        <w:t xml:space="preserve">el procedimiento no jurisdiccional establecido por la Ley de </w:t>
      </w:r>
      <w:r w:rsidRPr="0007278D">
        <w:t>la</w:t>
      </w:r>
      <w:r w:rsidR="00C44971" w:rsidRPr="0007278D">
        <w:t xml:space="preserve"> </w:t>
      </w:r>
      <w:r w:rsidRPr="0007278D">
        <w:t>CNDH debe ser idóne</w:t>
      </w:r>
      <w:r w:rsidR="00E80BCE" w:rsidRPr="0007278D">
        <w:t>o</w:t>
      </w:r>
      <w:r w:rsidRPr="0007278D">
        <w:t xml:space="preserve"> y eficaz para proteger los derechos humanos cuando sean amenazados o violados, y no una mera formalidad</w:t>
      </w:r>
      <w:r w:rsidR="00E80BCE" w:rsidRPr="0007278D">
        <w:t>.</w:t>
      </w:r>
      <w:r w:rsidRPr="0007278D">
        <w:rPr>
          <w:rStyle w:val="Refdenotaalpie"/>
          <w:bCs/>
          <w:color w:val="000000" w:themeColor="text1"/>
        </w:rPr>
        <w:footnoteReference w:id="61"/>
      </w:r>
      <w:r w:rsidRPr="0007278D">
        <w:t xml:space="preserve"> </w:t>
      </w:r>
      <w:r w:rsidR="00F62208" w:rsidRPr="0007278D">
        <w:t>En este sentido, e</w:t>
      </w:r>
      <w:r w:rsidRPr="0007278D">
        <w:t>l procedimiento no jurisdiccional establecido por la Ley de la CNDH</w:t>
      </w:r>
      <w:r w:rsidR="00E80BCE" w:rsidRPr="0007278D">
        <w:t>,</w:t>
      </w:r>
      <w:r w:rsidR="00F62208" w:rsidRPr="0007278D">
        <w:t xml:space="preserve"> al no establecer las formalidades esenciales del debido proceso, resulta </w:t>
      </w:r>
      <w:r w:rsidRPr="0007278D">
        <w:t xml:space="preserve">ineficaz para garantizar los derechos humanos del quejoso, lo que hace que el derecho fundamental de tutela no jurisdiccional sea una formalidad ajena a la realidad.   </w:t>
      </w:r>
    </w:p>
    <w:p w14:paraId="14820BA6" w14:textId="212C5155" w:rsidR="00471418" w:rsidRPr="0007278D" w:rsidRDefault="00471418" w:rsidP="00324EFC">
      <w:pPr>
        <w:pStyle w:val="parrafonormalbiolex"/>
      </w:pPr>
      <w:r w:rsidRPr="0007278D">
        <w:t xml:space="preserve">El procedimiento no jurisdiccional establecido en la Ley de la CNDH, al contravenir la </w:t>
      </w:r>
      <w:r w:rsidR="00E80BCE" w:rsidRPr="0007278D">
        <w:t>j</w:t>
      </w:r>
      <w:r w:rsidRPr="0007278D">
        <w:t>urisprudencia de la Corte IDH sobre el debido proceso</w:t>
      </w:r>
      <w:r w:rsidR="00E80BCE" w:rsidRPr="0007278D">
        <w:t>,</w:t>
      </w:r>
      <w:r w:rsidRPr="0007278D">
        <w:t xml:space="preserve"> </w:t>
      </w:r>
      <w:r w:rsidR="00E80BCE" w:rsidRPr="0007278D">
        <w:t xml:space="preserve">resulta </w:t>
      </w:r>
      <w:r w:rsidRPr="0007278D">
        <w:t>inconvencional, lo que genera incoherencia normativa e inseguridad jurídica. Los Estados miembro de la CADH tienen la obligación de proporcionar recursos judiciales efectivos de acuerdo con las reglas del debido proceso legal</w:t>
      </w:r>
      <w:r w:rsidR="00E80BCE" w:rsidRPr="0007278D">
        <w:t>.</w:t>
      </w:r>
      <w:r w:rsidRPr="0007278D">
        <w:rPr>
          <w:rStyle w:val="Refdenotaalpie"/>
          <w:bCs/>
          <w:color w:val="000000" w:themeColor="text1"/>
        </w:rPr>
        <w:footnoteReference w:id="62"/>
      </w:r>
      <w:r w:rsidRPr="0007278D">
        <w:t xml:space="preserve"> Al respecto, la CADH dispone en el numeral 2 que, si los derechos y libertades contenidos en la Convención no se encuentran ya reconocidos, el Estado que lo suscribió se obliga a adoptar las medidas legislativas que fueren necesarias para su incorporación en su orden jurídico interno. </w:t>
      </w:r>
    </w:p>
    <w:p w14:paraId="5C059FAB" w14:textId="3C38DE54" w:rsidR="00471418" w:rsidRPr="0007278D" w:rsidRDefault="00471418" w:rsidP="00324EFC">
      <w:pPr>
        <w:pStyle w:val="parrafonormalbiolex"/>
      </w:pPr>
      <w:r w:rsidRPr="0007278D">
        <w:t xml:space="preserve">La </w:t>
      </w:r>
      <w:r w:rsidR="00E80BCE" w:rsidRPr="0007278D">
        <w:t>j</w:t>
      </w:r>
      <w:r w:rsidRPr="0007278D">
        <w:t>urisprudencia de la Corte IDH como parte fundamental de las obligaciones de los Estados Parte en la CADH, también debe ser integrada en su legislación interna. La Corte IDH, con fundamento en los artículos 1.1 y 2 de la CADH, tiene la autoridad para desarrollar su jurisprudencia en el contenido del sistema jurídico interamericano, el cual prevé que se debe incorporar en los ordenamientos jurídicos de los Estados Parte.</w:t>
      </w:r>
    </w:p>
    <w:p w14:paraId="5ECB3E15" w14:textId="5119B92A" w:rsidR="00471418" w:rsidRPr="0007278D" w:rsidRDefault="00471418" w:rsidP="00324EFC">
      <w:pPr>
        <w:pStyle w:val="parrafonormalbiolex"/>
      </w:pPr>
      <w:r w:rsidRPr="0007278D">
        <w:t xml:space="preserve">Este compromiso </w:t>
      </w:r>
      <w:r w:rsidR="00E27876" w:rsidRPr="0007278D">
        <w:t>implica que</w:t>
      </w:r>
      <w:r w:rsidRPr="0007278D">
        <w:t xml:space="preserve"> los Estados Parte </w:t>
      </w:r>
      <w:r w:rsidR="00E27876" w:rsidRPr="0007278D">
        <w:t xml:space="preserve">deben </w:t>
      </w:r>
      <w:r w:rsidRPr="0007278D">
        <w:t xml:space="preserve">organizar todas las estructuras del poder de tal forma que tengan la capacidad de asegurar jurídicamente el libre y pleno ejercicio de </w:t>
      </w:r>
      <w:r w:rsidRPr="0007278D">
        <w:lastRenderedPageBreak/>
        <w:t>los derechos humanos.</w:t>
      </w:r>
      <w:r w:rsidRPr="0007278D">
        <w:rPr>
          <w:rStyle w:val="Refdenotaalpie"/>
          <w:bCs/>
          <w:color w:val="000000" w:themeColor="text1"/>
        </w:rPr>
        <w:footnoteReference w:id="63"/>
      </w:r>
      <w:r w:rsidRPr="0007278D">
        <w:t xml:space="preserve"> Este deber incluye a los organismos autónomos que tienen competencia para reparar o evitar la vulneración de los instrumentos internacionales.</w:t>
      </w:r>
      <w:r w:rsidRPr="0007278D">
        <w:rPr>
          <w:rStyle w:val="Refdenotaalpie"/>
          <w:bCs/>
          <w:color w:val="000000" w:themeColor="text1"/>
        </w:rPr>
        <w:footnoteReference w:id="64"/>
      </w:r>
    </w:p>
    <w:p w14:paraId="3619991A" w14:textId="77777777" w:rsidR="00471418" w:rsidRPr="0007278D" w:rsidRDefault="00471418" w:rsidP="00324EFC">
      <w:pPr>
        <w:pStyle w:val="parrafonormalbiolex"/>
      </w:pPr>
      <w:r w:rsidRPr="0007278D">
        <w:t xml:space="preserve">Los órganos legislativos son fundamentales para que el nuevo paradigma de derechos humanos establecido en la Constitución Federal tenga plena efectividad, por lo que tienen la tarea de armonizar las normas legales con el </w:t>
      </w:r>
      <w:r w:rsidRPr="0007278D">
        <w:rPr>
          <w:i/>
          <w:iCs/>
        </w:rPr>
        <w:t>corpus iuris</w:t>
      </w:r>
      <w:r w:rsidRPr="0007278D">
        <w:t xml:space="preserve"> internacional de los derechos humanos.</w:t>
      </w:r>
      <w:r w:rsidRPr="0007278D">
        <w:rPr>
          <w:rStyle w:val="Refdenotaalpie"/>
          <w:bCs/>
          <w:color w:val="000000" w:themeColor="text1"/>
        </w:rPr>
        <w:footnoteReference w:id="65"/>
      </w:r>
      <w:r w:rsidRPr="0007278D">
        <w:t xml:space="preserve"> </w:t>
      </w:r>
    </w:p>
    <w:p w14:paraId="0F133C63" w14:textId="7927EFD0" w:rsidR="00471418" w:rsidRPr="0007278D" w:rsidRDefault="00471418" w:rsidP="00324EFC">
      <w:pPr>
        <w:pStyle w:val="parrafonormalbiolex"/>
      </w:pPr>
      <w:r w:rsidRPr="0007278D">
        <w:t xml:space="preserve">La progresividad del derecho al debido proceso legal en la Jurisprudencia de la Corte IDH sobre los procedimientos no jurisdiccionales donde se determinan derechos humanos, debe incorporarse en la </w:t>
      </w:r>
      <w:r w:rsidR="00F62208" w:rsidRPr="0007278D">
        <w:t xml:space="preserve">legislación de </w:t>
      </w:r>
      <w:r w:rsidRPr="0007278D">
        <w:t xml:space="preserve">la CNDH. Los Estados </w:t>
      </w:r>
      <w:r w:rsidR="00E27876" w:rsidRPr="0007278D">
        <w:t>P</w:t>
      </w:r>
      <w:r w:rsidRPr="0007278D">
        <w:t xml:space="preserve">arte tienen el deber de legislar para adecuar la Constitución y todas las leyes secundarias y reglamentarias, a las normas convencionales del debido proceso comprendidas en los artículos 8.1 y 1.1 de la CADH, para garantizar que, en todas las etapas de los respectivos procesos, las víctimas </w:t>
      </w:r>
      <w:r w:rsidR="00F62208" w:rsidRPr="0007278D">
        <w:t xml:space="preserve">de violación de derechos humanos </w:t>
      </w:r>
      <w:r w:rsidRPr="0007278D">
        <w:t>puedan hacer planteamientos, recibir informaciones, aportar pruebas, formular alegaciones y, en síntesis, hacer valer sus intereses.</w:t>
      </w:r>
    </w:p>
    <w:p w14:paraId="04DF20DC" w14:textId="66CECDC9" w:rsidR="00D27F89" w:rsidRPr="0007278D" w:rsidRDefault="00D27F89" w:rsidP="00324EFC">
      <w:pPr>
        <w:pStyle w:val="parrafonormalbiolex"/>
      </w:pPr>
      <w:r w:rsidRPr="0007278D">
        <w:t>Si se reforma a la Ley de la CNDH para adecuar su normatividad con la jurisprudencia de la Corte IDH sobre el debido proceso, el quejoso tendría a salvo su derecho a una oportuna y adecuada defensa durante el procedimiento y</w:t>
      </w:r>
      <w:r w:rsidR="00F62208" w:rsidRPr="0007278D">
        <w:t>,</w:t>
      </w:r>
      <w:r w:rsidRPr="0007278D">
        <w:t xml:space="preserve"> en caso de ser necesario</w:t>
      </w:r>
      <w:r w:rsidR="00F62208" w:rsidRPr="0007278D">
        <w:t>,</w:t>
      </w:r>
      <w:r w:rsidRPr="0007278D">
        <w:t xml:space="preserve"> </w:t>
      </w:r>
      <w:r w:rsidR="008F6709" w:rsidRPr="0007278D">
        <w:t>acudir al</w:t>
      </w:r>
      <w:r w:rsidRPr="0007278D">
        <w:t xml:space="preserve"> juicio de amparo para </w:t>
      </w:r>
      <w:r w:rsidR="00123383" w:rsidRPr="0007278D">
        <w:t>combatir los actos de autoridad que violen estos derechos</w:t>
      </w:r>
      <w:r w:rsidRPr="0007278D">
        <w:t>.</w:t>
      </w:r>
    </w:p>
    <w:p w14:paraId="56F4AC11" w14:textId="491BE338" w:rsidR="00471418" w:rsidRPr="00C5081D" w:rsidRDefault="00324EFC" w:rsidP="00324EFC">
      <w:pPr>
        <w:pStyle w:val="Nivel1BIOL"/>
        <w:rPr>
          <w:lang w:val="es-MX"/>
        </w:rPr>
      </w:pPr>
      <w:bookmarkStart w:id="17" w:name="_Hlk172132861"/>
      <w:r w:rsidRPr="00C5081D">
        <w:rPr>
          <w:lang w:val="es-MX"/>
        </w:rPr>
        <w:t>VII. CONCLUSIONES</w:t>
      </w:r>
    </w:p>
    <w:p w14:paraId="0379F87F" w14:textId="7476E19B" w:rsidR="00471418" w:rsidRPr="0007278D" w:rsidRDefault="00471418" w:rsidP="00324EFC">
      <w:pPr>
        <w:pStyle w:val="parrafonormalbiolex"/>
        <w:rPr>
          <w:lang w:eastAsia="es-MX"/>
        </w:rPr>
      </w:pPr>
      <w:r w:rsidRPr="0007278D">
        <w:rPr>
          <w:lang w:eastAsia="es-MX"/>
        </w:rPr>
        <w:t xml:space="preserve">El análisis de los </w:t>
      </w:r>
      <w:r w:rsidR="00D27F89" w:rsidRPr="0007278D">
        <w:rPr>
          <w:lang w:eastAsia="es-MX"/>
        </w:rPr>
        <w:t>cuatro</w:t>
      </w:r>
      <w:r w:rsidRPr="0007278D">
        <w:rPr>
          <w:lang w:eastAsia="es-MX"/>
        </w:rPr>
        <w:t xml:space="preserve"> últimos informes anuales de la CNDH</w:t>
      </w:r>
      <w:r w:rsidR="00E27876" w:rsidRPr="0007278D">
        <w:rPr>
          <w:lang w:eastAsia="es-MX"/>
        </w:rPr>
        <w:t xml:space="preserve"> </w:t>
      </w:r>
      <w:r w:rsidRPr="0007278D">
        <w:rPr>
          <w:lang w:eastAsia="es-MX"/>
        </w:rPr>
        <w:t>reveló que</w:t>
      </w:r>
      <w:r w:rsidR="00E27876" w:rsidRPr="0007278D">
        <w:rPr>
          <w:lang w:eastAsia="es-MX"/>
        </w:rPr>
        <w:t>,</w:t>
      </w:r>
      <w:r w:rsidRPr="0007278D">
        <w:rPr>
          <w:lang w:eastAsia="es-MX"/>
        </w:rPr>
        <w:t xml:space="preserve"> por el escaso número de recomendaciones que emite</w:t>
      </w:r>
      <w:r w:rsidR="00E27876" w:rsidRPr="0007278D">
        <w:rPr>
          <w:lang w:eastAsia="es-MX"/>
        </w:rPr>
        <w:t>,</w:t>
      </w:r>
      <w:r w:rsidRPr="0007278D">
        <w:rPr>
          <w:lang w:eastAsia="es-MX"/>
        </w:rPr>
        <w:t xml:space="preserve"> es un medio de control constitucional que carece de eficacia en la protección de los derechos humanos. </w:t>
      </w:r>
    </w:p>
    <w:p w14:paraId="5523B70E" w14:textId="519202B0" w:rsidR="00E27876" w:rsidRPr="0007278D" w:rsidRDefault="00471418" w:rsidP="00324EFC">
      <w:pPr>
        <w:pStyle w:val="parrafonormalbiolex"/>
      </w:pPr>
      <w:r w:rsidRPr="0007278D">
        <w:rPr>
          <w:lang w:eastAsia="es-MX"/>
        </w:rPr>
        <w:t xml:space="preserve">Se identificó que la causa de su ineficacia </w:t>
      </w:r>
      <w:r w:rsidR="00E27876" w:rsidRPr="0007278D">
        <w:rPr>
          <w:lang w:eastAsia="es-MX"/>
        </w:rPr>
        <w:t xml:space="preserve">radica </w:t>
      </w:r>
      <w:r w:rsidRPr="0007278D">
        <w:rPr>
          <w:lang w:eastAsia="es-MX"/>
        </w:rPr>
        <w:t xml:space="preserve">en su </w:t>
      </w:r>
      <w:r w:rsidR="00E27876" w:rsidRPr="0007278D">
        <w:rPr>
          <w:lang w:eastAsia="es-MX"/>
        </w:rPr>
        <w:t>l</w:t>
      </w:r>
      <w:r w:rsidRPr="0007278D">
        <w:rPr>
          <w:lang w:eastAsia="es-MX"/>
        </w:rPr>
        <w:t xml:space="preserve">ey, </w:t>
      </w:r>
      <w:r w:rsidR="00E27876" w:rsidRPr="0007278D">
        <w:rPr>
          <w:lang w:eastAsia="es-MX"/>
        </w:rPr>
        <w:t>la cual</w:t>
      </w:r>
      <w:r w:rsidR="00D42611" w:rsidRPr="0007278D">
        <w:rPr>
          <w:lang w:eastAsia="es-MX"/>
        </w:rPr>
        <w:t xml:space="preserve"> </w:t>
      </w:r>
      <w:r w:rsidRPr="0007278D">
        <w:rPr>
          <w:lang w:eastAsia="es-MX"/>
        </w:rPr>
        <w:t xml:space="preserve">otorga facultades discrecionales a sus </w:t>
      </w:r>
      <w:r w:rsidR="005A1521" w:rsidRPr="0007278D">
        <w:rPr>
          <w:lang w:eastAsia="es-MX"/>
        </w:rPr>
        <w:t>servidores públicos</w:t>
      </w:r>
      <w:r w:rsidRPr="0007278D">
        <w:rPr>
          <w:lang w:eastAsia="es-MX"/>
        </w:rPr>
        <w:t xml:space="preserve"> para resolver las quejas </w:t>
      </w:r>
      <w:r w:rsidR="00E27876" w:rsidRPr="0007278D">
        <w:rPr>
          <w:lang w:eastAsia="es-MX"/>
        </w:rPr>
        <w:t>de acuerdo con</w:t>
      </w:r>
      <w:r w:rsidRPr="0007278D">
        <w:rPr>
          <w:lang w:eastAsia="es-MX"/>
        </w:rPr>
        <w:t xml:space="preserve"> su criterio</w:t>
      </w:r>
      <w:r w:rsidR="00D27F89" w:rsidRPr="0007278D">
        <w:rPr>
          <w:lang w:eastAsia="es-MX"/>
        </w:rPr>
        <w:t>. E</w:t>
      </w:r>
      <w:r w:rsidRPr="0007278D">
        <w:t xml:space="preserve">l artículo 1 </w:t>
      </w:r>
      <w:r w:rsidR="00E27876" w:rsidRPr="0007278D">
        <w:t>C</w:t>
      </w:r>
      <w:r w:rsidRPr="0007278D">
        <w:t>onstitucional protege la dignidad humana como origen y fundamento de los derechos humanos. Este paradigma hace posible que medios de control constitucional</w:t>
      </w:r>
      <w:r w:rsidR="00E27876" w:rsidRPr="0007278D">
        <w:t>,</w:t>
      </w:r>
      <w:r w:rsidRPr="0007278D">
        <w:t xml:space="preserve"> como el juicio de amparo y la </w:t>
      </w:r>
      <w:r w:rsidR="00F62208" w:rsidRPr="0007278D">
        <w:t xml:space="preserve">jurisprudencia de la Corte IDH, </w:t>
      </w:r>
      <w:r w:rsidRPr="0007278D">
        <w:t xml:space="preserve">sean procedentes para proteger el derecho fundamental al debido proceso del quejoso contra la discrecionalidad de </w:t>
      </w:r>
      <w:r w:rsidR="005A1521" w:rsidRPr="0007278D">
        <w:t xml:space="preserve">los servidores públicos </w:t>
      </w:r>
      <w:r w:rsidRPr="0007278D">
        <w:t xml:space="preserve">de la CNDH. </w:t>
      </w:r>
    </w:p>
    <w:p w14:paraId="793EDE53" w14:textId="00942041" w:rsidR="00471418" w:rsidRPr="0007278D" w:rsidRDefault="00471418" w:rsidP="00324EFC">
      <w:pPr>
        <w:pStyle w:val="parrafonormalbiolex"/>
      </w:pPr>
      <w:r w:rsidRPr="0007278D">
        <w:t>El derecho al debido proceso le garantiza al quejo los derechos de tutela no jurisdiccional efectiva, de seguridad jurídica, defensa, a la verdad, a un recurso de impugnación, a una resolución sobre el fondo de la quej</w:t>
      </w:r>
      <w:r w:rsidR="00A90589" w:rsidRPr="0007278D">
        <w:t xml:space="preserve">a y, </w:t>
      </w:r>
      <w:r w:rsidRPr="0007278D">
        <w:t xml:space="preserve">en caso de ameritar una </w:t>
      </w:r>
      <w:r w:rsidR="00F62208" w:rsidRPr="0007278D">
        <w:t>r</w:t>
      </w:r>
      <w:r w:rsidRPr="0007278D">
        <w:t xml:space="preserve">ecomendación, a que se le repare de manera </w:t>
      </w:r>
      <w:r w:rsidRPr="0007278D">
        <w:lastRenderedPageBreak/>
        <w:t>integral el daño causado y, aun de mayor trascendencia de acuerdo con el nuevo paradigma constitucional, se le restituya su dignidad como persona.</w:t>
      </w:r>
    </w:p>
    <w:p w14:paraId="249B2D6D" w14:textId="2322AD02" w:rsidR="00A90589" w:rsidRPr="0007278D" w:rsidRDefault="00471418" w:rsidP="00324EFC">
      <w:pPr>
        <w:pStyle w:val="parrafonormalbiolex"/>
      </w:pPr>
      <w:r w:rsidRPr="0007278D">
        <w:t xml:space="preserve">La Ley de la CNDH establece un procedimiento no jurisdiccional que, al ser ineficaz en su función de garantizar los derechos humanos del quejoso, hace que el </w:t>
      </w:r>
      <w:r w:rsidRPr="0007278D">
        <w:rPr>
          <w:lang w:eastAsia="es-MX"/>
        </w:rPr>
        <w:t xml:space="preserve">derecho a de tutela no jurisdiccional sea una formalidad que carece de realidad jurídica. </w:t>
      </w:r>
      <w:r w:rsidRPr="0007278D">
        <w:t>Se concluye que la CNDH</w:t>
      </w:r>
      <w:r w:rsidR="00A90589" w:rsidRPr="0007278D">
        <w:t>,</w:t>
      </w:r>
      <w:r w:rsidRPr="0007278D">
        <w:t xml:space="preserve"> como medio de control constitucional protector de derechos humanos, tiene la obligación de adecuar su legislación en lo que proceda, a las normas constitucionales y convencionales del debido proceso, para hacer efectivo el derecho humano de tutela no jurisdiccional previsto en el apartado B del artículo 102 constitucional. </w:t>
      </w:r>
    </w:p>
    <w:bookmarkEnd w:id="17"/>
    <w:p w14:paraId="01D71EAE" w14:textId="531E2740" w:rsidR="00293B7E" w:rsidRPr="00C5081D" w:rsidRDefault="00581E03" w:rsidP="00324EFC">
      <w:pPr>
        <w:pStyle w:val="Nivel1BIOL"/>
        <w:rPr>
          <w:lang w:val="es-MX"/>
        </w:rPr>
      </w:pPr>
      <w:r w:rsidRPr="00C5081D">
        <w:rPr>
          <w:lang w:val="es-MX"/>
        </w:rPr>
        <w:t xml:space="preserve">VIII. </w:t>
      </w:r>
      <w:r w:rsidR="00324EFC" w:rsidRPr="00C5081D">
        <w:rPr>
          <w:lang w:val="es-MX"/>
        </w:rPr>
        <w:t>BIBLIOGRAFÍA</w:t>
      </w:r>
      <w:bookmarkStart w:id="18" w:name="_Hlk217790567"/>
    </w:p>
    <w:p w14:paraId="34C0A233"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Altamirano González, Arturo. </w:t>
      </w:r>
      <w:r w:rsidRPr="0007278D">
        <w:rPr>
          <w:rFonts w:ascii="Unna" w:hAnsi="Unna" w:cs="Arial"/>
          <w:bCs/>
          <w:i/>
          <w:iCs/>
          <w:color w:val="000000" w:themeColor="text1"/>
          <w:sz w:val="24"/>
          <w:szCs w:val="24"/>
        </w:rPr>
        <w:t>El amparo contra el sobreseimiento y desistimiento de la acción penal en el sistema penal acusatorio de México</w:t>
      </w:r>
      <w:r w:rsidRPr="0007278D">
        <w:rPr>
          <w:rFonts w:ascii="Unna" w:hAnsi="Unna" w:cs="Arial"/>
          <w:bCs/>
          <w:color w:val="000000" w:themeColor="text1"/>
          <w:sz w:val="24"/>
          <w:szCs w:val="24"/>
        </w:rPr>
        <w:t>. México: UBIJUS, 2021.</w:t>
      </w:r>
    </w:p>
    <w:p w14:paraId="5D1B3FB7"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Báez Corona, José Francisco. “Eficacia de las recomendaciones emitidas por la Comisión Nacional de Derechos Humanos en México y la reforma constitucional 2011”, </w:t>
      </w:r>
      <w:r w:rsidRPr="0007278D">
        <w:rPr>
          <w:rFonts w:ascii="Unna" w:hAnsi="Unna" w:cs="Arial"/>
          <w:bCs/>
          <w:i/>
          <w:iCs/>
          <w:color w:val="000000" w:themeColor="text1"/>
          <w:sz w:val="24"/>
          <w:szCs w:val="24"/>
        </w:rPr>
        <w:t xml:space="preserve">Una Voz </w:t>
      </w:r>
      <w:r w:rsidRPr="0007278D">
        <w:rPr>
          <w:rFonts w:ascii="Unna" w:hAnsi="Unna" w:cs="Arial"/>
          <w:bCs/>
          <w:color w:val="000000" w:themeColor="text1"/>
          <w:sz w:val="24"/>
          <w:szCs w:val="24"/>
        </w:rPr>
        <w:t>Pro Persona, n.</w:t>
      </w:r>
      <w:r w:rsidRPr="0007278D">
        <w:rPr>
          <w:rFonts w:ascii="Unna" w:hAnsi="Unna" w:cs="Arial"/>
          <w:bCs/>
          <w:color w:val="000000" w:themeColor="text1"/>
          <w:sz w:val="24"/>
          <w:szCs w:val="24"/>
          <w:vertAlign w:val="superscript"/>
        </w:rPr>
        <w:t>o</w:t>
      </w:r>
      <w:r w:rsidRPr="0007278D">
        <w:rPr>
          <w:rFonts w:ascii="Unna" w:hAnsi="Unna" w:cs="Arial"/>
          <w:bCs/>
          <w:color w:val="000000" w:themeColor="text1"/>
          <w:sz w:val="24"/>
          <w:szCs w:val="24"/>
        </w:rPr>
        <w:t xml:space="preserve"> 1, (2013): 31-40.</w:t>
      </w:r>
    </w:p>
    <w:p w14:paraId="7968415E"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Carbonell, Miguel. </w:t>
      </w:r>
      <w:r w:rsidRPr="0007278D">
        <w:rPr>
          <w:rFonts w:ascii="Unna" w:hAnsi="Unna" w:cs="Arial"/>
          <w:bCs/>
          <w:i/>
          <w:iCs/>
          <w:color w:val="000000" w:themeColor="text1"/>
          <w:sz w:val="24"/>
          <w:szCs w:val="24"/>
        </w:rPr>
        <w:t>El ABC de los derechos humanos y del control de convencionalidad</w:t>
      </w:r>
      <w:r w:rsidRPr="0007278D">
        <w:rPr>
          <w:rFonts w:ascii="Unna" w:hAnsi="Unna" w:cs="Arial"/>
          <w:bCs/>
          <w:color w:val="000000" w:themeColor="text1"/>
          <w:sz w:val="24"/>
          <w:szCs w:val="24"/>
        </w:rPr>
        <w:t>. México: Porrúa, 2014.</w:t>
      </w:r>
    </w:p>
    <w:p w14:paraId="2FA0B6F3"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Carbonell, Miguel. </w:t>
      </w:r>
      <w:r w:rsidRPr="0007278D">
        <w:rPr>
          <w:rFonts w:ascii="Unna" w:hAnsi="Unna" w:cs="Arial"/>
          <w:bCs/>
          <w:i/>
          <w:iCs/>
          <w:color w:val="000000" w:themeColor="text1"/>
          <w:sz w:val="24"/>
          <w:szCs w:val="24"/>
        </w:rPr>
        <w:t>Los derechos humanos en México</w:t>
      </w:r>
      <w:r w:rsidRPr="0007278D">
        <w:rPr>
          <w:rFonts w:ascii="Unna" w:hAnsi="Unna" w:cs="Arial"/>
          <w:bCs/>
          <w:color w:val="000000" w:themeColor="text1"/>
          <w:sz w:val="24"/>
          <w:szCs w:val="24"/>
        </w:rPr>
        <w:t>. México: UNAM-Flores Editor y Distribuidor, 2015.</w:t>
      </w:r>
    </w:p>
    <w:p w14:paraId="43974F3C" w14:textId="77777777" w:rsidR="00293B7E" w:rsidRPr="0007278D" w:rsidRDefault="00293B7E" w:rsidP="00581E03">
      <w:pPr>
        <w:pStyle w:val="Textonotapie"/>
        <w:ind w:left="709" w:hanging="709"/>
        <w:jc w:val="both"/>
        <w:rPr>
          <w:rFonts w:ascii="Unna" w:hAnsi="Unna" w:cs="Arial"/>
          <w:color w:val="000000" w:themeColor="text1"/>
          <w:sz w:val="24"/>
          <w:szCs w:val="24"/>
        </w:rPr>
      </w:pPr>
      <w:r w:rsidRPr="0007278D">
        <w:rPr>
          <w:rFonts w:ascii="Unna" w:hAnsi="Unna" w:cs="Arial"/>
          <w:color w:val="000000" w:themeColor="text1"/>
          <w:sz w:val="24"/>
          <w:szCs w:val="24"/>
        </w:rPr>
        <w:t xml:space="preserve">Carpizo, Jorge. </w:t>
      </w:r>
      <w:r w:rsidRPr="0007278D">
        <w:rPr>
          <w:rFonts w:ascii="Unna" w:hAnsi="Unna" w:cs="Arial"/>
          <w:i/>
          <w:iCs/>
          <w:color w:val="000000" w:themeColor="text1"/>
          <w:sz w:val="24"/>
          <w:szCs w:val="24"/>
        </w:rPr>
        <w:t>”El sistema nacional no-jurisdiccional de defensa de los derechos humanos en México: algunas preocupaciones”</w:t>
      </w:r>
      <w:r w:rsidRPr="0007278D">
        <w:rPr>
          <w:rFonts w:ascii="Unna" w:hAnsi="Unna" w:cs="Arial"/>
          <w:color w:val="000000" w:themeColor="text1"/>
          <w:sz w:val="24"/>
          <w:szCs w:val="24"/>
        </w:rPr>
        <w:t>. En</w:t>
      </w:r>
      <w:r w:rsidRPr="0007278D">
        <w:rPr>
          <w:rFonts w:ascii="Unna" w:hAnsi="Unna" w:cs="Arial"/>
          <w:i/>
          <w:iCs/>
          <w:color w:val="000000" w:themeColor="text1"/>
          <w:sz w:val="24"/>
          <w:szCs w:val="24"/>
        </w:rPr>
        <w:t xml:space="preserve"> Los derechos humanos en los umbrales del siglo XXI: una visión interdisciplinar</w:t>
      </w:r>
      <w:r w:rsidRPr="0007278D">
        <w:rPr>
          <w:rFonts w:ascii="Unna" w:hAnsi="Unna" w:cs="Arial"/>
          <w:color w:val="000000" w:themeColor="text1"/>
          <w:sz w:val="24"/>
          <w:szCs w:val="24"/>
        </w:rPr>
        <w:t>, ed. por Aída Figueroa Bello (México: UNAM, 2019) ,1-58.</w:t>
      </w:r>
    </w:p>
    <w:p w14:paraId="1EC78B2A"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Style w:val="bold"/>
          <w:rFonts w:ascii="Unna" w:hAnsi="Unna" w:cs="Arial"/>
          <w:bCs/>
          <w:color w:val="000000" w:themeColor="text1"/>
          <w:sz w:val="24"/>
          <w:szCs w:val="24"/>
        </w:rPr>
        <w:t xml:space="preserve">Cervera Torres, Verónica y Torres Caballero, Sylvia. “La Comisión Nacional de los Derechos Humanos como autoridad responsable para efectos del Juicio de Amparo”. </w:t>
      </w:r>
      <w:r w:rsidRPr="0007278D">
        <w:rPr>
          <w:rStyle w:val="bold"/>
          <w:rFonts w:ascii="Unna" w:hAnsi="Unna" w:cs="Arial"/>
          <w:bCs/>
          <w:i/>
          <w:iCs/>
          <w:color w:val="000000" w:themeColor="text1"/>
          <w:sz w:val="24"/>
          <w:szCs w:val="24"/>
        </w:rPr>
        <w:t>Revista del Posgrado en Derecho de la UNAM</w:t>
      </w:r>
      <w:r w:rsidRPr="0007278D">
        <w:rPr>
          <w:rStyle w:val="bold"/>
          <w:rFonts w:ascii="Unna" w:hAnsi="Unna" w:cs="Arial"/>
          <w:bCs/>
          <w:color w:val="000000" w:themeColor="text1"/>
          <w:sz w:val="24"/>
          <w:szCs w:val="24"/>
        </w:rPr>
        <w:t>, n.</w:t>
      </w:r>
      <w:r w:rsidRPr="0007278D">
        <w:rPr>
          <w:rStyle w:val="bold"/>
          <w:rFonts w:ascii="Unna" w:hAnsi="Unna" w:cs="Arial"/>
          <w:bCs/>
          <w:color w:val="000000" w:themeColor="text1"/>
          <w:sz w:val="24"/>
          <w:szCs w:val="24"/>
          <w:vertAlign w:val="superscript"/>
        </w:rPr>
        <w:t>o</w:t>
      </w:r>
      <w:r w:rsidRPr="0007278D">
        <w:rPr>
          <w:rStyle w:val="bold"/>
          <w:rFonts w:ascii="Unna" w:hAnsi="Unna" w:cs="Arial"/>
          <w:bCs/>
          <w:color w:val="000000" w:themeColor="text1"/>
          <w:sz w:val="24"/>
          <w:szCs w:val="24"/>
        </w:rPr>
        <w:t xml:space="preserve"> 6, (2017): 153-171.</w:t>
      </w:r>
    </w:p>
    <w:p w14:paraId="68327FFB"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lang w:val="pt-BR"/>
        </w:rPr>
        <w:t xml:space="preserve">Cuauhtémoc Manuel De Dienheim Barriguete. </w:t>
      </w:r>
      <w:r w:rsidRPr="0007278D">
        <w:rPr>
          <w:rFonts w:ascii="Unna" w:hAnsi="Unna" w:cs="Arial"/>
          <w:bCs/>
          <w:color w:val="000000" w:themeColor="text1"/>
          <w:sz w:val="24"/>
          <w:szCs w:val="24"/>
        </w:rPr>
        <w:t xml:space="preserve">“La interpretación conforme, el control de la convencionalidad y el principio </w:t>
      </w:r>
      <w:r w:rsidRPr="0007278D">
        <w:rPr>
          <w:rFonts w:ascii="Unna" w:hAnsi="Unna" w:cs="Arial"/>
          <w:bCs/>
          <w:i/>
          <w:iCs/>
          <w:color w:val="000000" w:themeColor="text1"/>
          <w:sz w:val="24"/>
          <w:szCs w:val="24"/>
        </w:rPr>
        <w:t>pro persona</w:t>
      </w:r>
      <w:r w:rsidRPr="0007278D">
        <w:rPr>
          <w:rFonts w:ascii="Unna" w:hAnsi="Unna" w:cs="Arial"/>
          <w:bCs/>
          <w:color w:val="000000" w:themeColor="text1"/>
          <w:sz w:val="24"/>
          <w:szCs w:val="24"/>
        </w:rPr>
        <w:t xml:space="preserve"> como mandato al poder legislativo”. En </w:t>
      </w:r>
      <w:r w:rsidRPr="0007278D">
        <w:rPr>
          <w:rFonts w:ascii="Unna" w:hAnsi="Unna" w:cs="Arial"/>
          <w:bCs/>
          <w:i/>
          <w:iCs/>
          <w:color w:val="000000" w:themeColor="text1"/>
          <w:sz w:val="24"/>
          <w:szCs w:val="24"/>
        </w:rPr>
        <w:t>Derecho procesal convencional y la inconvencionalidad</w:t>
      </w:r>
      <w:r w:rsidRPr="0007278D">
        <w:rPr>
          <w:rFonts w:ascii="Unna" w:hAnsi="Unna" w:cs="Arial"/>
          <w:bCs/>
          <w:color w:val="000000" w:themeColor="text1"/>
          <w:sz w:val="24"/>
          <w:szCs w:val="24"/>
        </w:rPr>
        <w:t>, coord. por Sonia Escalante López, Gonzálo Armienta Hernández, Cuahutémoc Manuel de Dienheim Barriguete, Martín Ariel López Castro y Alfonso Jaime Martínez Lazcano. México: Porrúa, 2016.</w:t>
      </w:r>
    </w:p>
    <w:p w14:paraId="7464A316"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Del Arenal Martínez, Vicente Roberto. </w:t>
      </w:r>
      <w:r w:rsidRPr="0007278D">
        <w:rPr>
          <w:rFonts w:ascii="Unna" w:hAnsi="Unna" w:cs="Arial"/>
          <w:bCs/>
          <w:i/>
          <w:iCs/>
          <w:color w:val="000000" w:themeColor="text1"/>
          <w:sz w:val="24"/>
          <w:szCs w:val="24"/>
        </w:rPr>
        <w:t xml:space="preserve">La jurisprudencia de los Tribunales Colegiados de Circuito. </w:t>
      </w:r>
      <w:r w:rsidRPr="0007278D">
        <w:rPr>
          <w:rFonts w:ascii="Unna" w:hAnsi="Unna" w:cs="Arial"/>
          <w:bCs/>
          <w:color w:val="000000" w:themeColor="text1"/>
          <w:sz w:val="24"/>
          <w:szCs w:val="24"/>
        </w:rPr>
        <w:t>México: Flores Editor y Distribuidor, 2020.</w:t>
      </w:r>
    </w:p>
    <w:p w14:paraId="53D17A34"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Durand De Sanjuan, Erick Alberto y Gorjón Gómez, Francisco Javier. “La obligatoriedad de los métodos alternos de solución de conflictos conforme al principio del debido proceso”. En </w:t>
      </w:r>
      <w:r w:rsidRPr="0007278D">
        <w:rPr>
          <w:rFonts w:ascii="Unna" w:hAnsi="Unna" w:cs="Arial"/>
          <w:bCs/>
          <w:i/>
          <w:iCs/>
          <w:color w:val="000000" w:themeColor="text1"/>
          <w:sz w:val="24"/>
          <w:szCs w:val="24"/>
        </w:rPr>
        <w:t>El debido proceso T. II</w:t>
      </w:r>
      <w:r w:rsidRPr="0007278D">
        <w:rPr>
          <w:rFonts w:ascii="Unna" w:hAnsi="Unna" w:cs="Arial"/>
          <w:bCs/>
          <w:color w:val="000000" w:themeColor="text1"/>
          <w:sz w:val="24"/>
          <w:szCs w:val="24"/>
        </w:rPr>
        <w:t>, coord. por Acuña Zepeda, Manuel Salvador, Rodríguez Lozano, Luis Gerardo y Salinas Garza, Juan Ángel. México: Tirant lo Blanch, 2016.</w:t>
      </w:r>
    </w:p>
    <w:p w14:paraId="2649F66F" w14:textId="77777777"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lastRenderedPageBreak/>
        <w:t xml:space="preserve">Garita Alonso, Arturo, López García, Mario, Mena Álvarez, Jaime. </w:t>
      </w:r>
      <w:r w:rsidRPr="0007278D">
        <w:rPr>
          <w:rFonts w:ascii="Unna" w:hAnsi="Unna" w:cs="Arial"/>
          <w:bCs/>
          <w:i/>
          <w:iCs/>
          <w:color w:val="000000" w:themeColor="text1"/>
          <w:sz w:val="24"/>
          <w:szCs w:val="24"/>
        </w:rPr>
        <w:t>Los Medios de Control Constitucional en México</w:t>
      </w:r>
      <w:r w:rsidRPr="0007278D">
        <w:rPr>
          <w:rFonts w:ascii="Unna" w:hAnsi="Unna" w:cs="Arial"/>
          <w:bCs/>
          <w:color w:val="000000" w:themeColor="text1"/>
          <w:sz w:val="24"/>
          <w:szCs w:val="24"/>
        </w:rPr>
        <w:t>. México: Senado de la República, 2013.</w:t>
      </w:r>
    </w:p>
    <w:p w14:paraId="76BC0A4E" w14:textId="2687BEAA"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González Pérez, Luis Raúl. “El sistema no-jurisdiccional de protección de los derechos humanos en </w:t>
      </w:r>
      <w:r w:rsidRPr="00CF6AEF">
        <w:rPr>
          <w:rFonts w:ascii="Unna" w:hAnsi="Unna" w:cs="Arial"/>
          <w:bCs/>
          <w:color w:val="000000" w:themeColor="text1"/>
          <w:sz w:val="23"/>
          <w:szCs w:val="23"/>
        </w:rPr>
        <w:t xml:space="preserve">México”, </w:t>
      </w:r>
      <w:r w:rsidRPr="00CF6AEF">
        <w:rPr>
          <w:rFonts w:ascii="Unna" w:hAnsi="Unna" w:cs="Arial"/>
          <w:bCs/>
          <w:i/>
          <w:iCs/>
          <w:color w:val="000000" w:themeColor="text1"/>
          <w:sz w:val="23"/>
          <w:szCs w:val="23"/>
        </w:rPr>
        <w:t>IUS Revista del Instituto de Ciencias Jurídicas de Puebla, México</w:t>
      </w:r>
      <w:r w:rsidRPr="00CF6AEF">
        <w:rPr>
          <w:rFonts w:ascii="Unna" w:hAnsi="Unna" w:cs="Arial"/>
          <w:bCs/>
          <w:color w:val="000000" w:themeColor="text1"/>
          <w:sz w:val="23"/>
          <w:szCs w:val="23"/>
        </w:rPr>
        <w:t xml:space="preserve">, </w:t>
      </w:r>
      <w:proofErr w:type="spellStart"/>
      <w:r w:rsidRPr="00CF6AEF">
        <w:rPr>
          <w:rFonts w:ascii="Unna" w:hAnsi="Unna" w:cs="Arial"/>
          <w:bCs/>
          <w:color w:val="000000" w:themeColor="text1"/>
          <w:sz w:val="23"/>
          <w:szCs w:val="23"/>
        </w:rPr>
        <w:t>n.o</w:t>
      </w:r>
      <w:proofErr w:type="spellEnd"/>
      <w:r w:rsidRPr="00CF6AEF">
        <w:rPr>
          <w:rFonts w:ascii="Unna" w:hAnsi="Unna" w:cs="Arial"/>
          <w:bCs/>
          <w:color w:val="000000" w:themeColor="text1"/>
          <w:sz w:val="23"/>
          <w:szCs w:val="23"/>
        </w:rPr>
        <w:t>. 28</w:t>
      </w:r>
      <w:r w:rsidR="00CF6AEF" w:rsidRPr="00CF6AEF">
        <w:rPr>
          <w:rFonts w:ascii="Unna" w:hAnsi="Unna" w:cs="Arial"/>
          <w:bCs/>
          <w:color w:val="000000" w:themeColor="text1"/>
          <w:sz w:val="23"/>
          <w:szCs w:val="23"/>
        </w:rPr>
        <w:t> </w:t>
      </w:r>
      <w:r w:rsidRPr="00CF6AEF">
        <w:rPr>
          <w:rFonts w:ascii="Unna" w:hAnsi="Unna" w:cs="Arial"/>
          <w:bCs/>
          <w:color w:val="000000" w:themeColor="text1"/>
          <w:sz w:val="23"/>
          <w:szCs w:val="23"/>
        </w:rPr>
        <w:t>(2011)</w:t>
      </w:r>
      <w:r w:rsidR="00CF6AEF" w:rsidRPr="00CF6AEF">
        <w:rPr>
          <w:rFonts w:ascii="Unna" w:hAnsi="Unna" w:cs="Arial"/>
          <w:bCs/>
          <w:color w:val="000000" w:themeColor="text1"/>
          <w:sz w:val="23"/>
          <w:szCs w:val="23"/>
        </w:rPr>
        <w:t>: </w:t>
      </w:r>
      <w:r w:rsidRPr="00CF6AEF">
        <w:rPr>
          <w:rFonts w:ascii="Unna" w:hAnsi="Unna" w:cs="Arial"/>
          <w:bCs/>
          <w:color w:val="000000" w:themeColor="text1"/>
          <w:sz w:val="23"/>
          <w:szCs w:val="23"/>
        </w:rPr>
        <w:t>99</w:t>
      </w:r>
      <w:r w:rsidR="00CF6AEF" w:rsidRPr="00CF6AEF">
        <w:rPr>
          <w:rFonts w:ascii="Unna" w:hAnsi="Unna" w:cs="Arial"/>
          <w:bCs/>
          <w:color w:val="000000" w:themeColor="text1"/>
          <w:sz w:val="23"/>
          <w:szCs w:val="23"/>
        </w:rPr>
        <w:t>-</w:t>
      </w:r>
      <w:r w:rsidRPr="00CF6AEF">
        <w:rPr>
          <w:rFonts w:ascii="Unna" w:hAnsi="Unna" w:cs="Arial"/>
          <w:bCs/>
          <w:color w:val="000000" w:themeColor="text1"/>
          <w:sz w:val="23"/>
          <w:szCs w:val="23"/>
        </w:rPr>
        <w:t>22.</w:t>
      </w:r>
    </w:p>
    <w:p w14:paraId="7150E483" w14:textId="02F4A6C0"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Hernández Segovia, Arturo. </w:t>
      </w:r>
      <w:r w:rsidRPr="0007278D">
        <w:rPr>
          <w:rFonts w:ascii="Unna" w:hAnsi="Unna" w:cs="Arial"/>
          <w:bCs/>
          <w:i/>
          <w:iCs/>
          <w:color w:val="000000" w:themeColor="text1"/>
          <w:sz w:val="24"/>
          <w:szCs w:val="24"/>
        </w:rPr>
        <w:t>El derecho de amparo</w:t>
      </w:r>
      <w:r w:rsidRPr="0007278D">
        <w:rPr>
          <w:rFonts w:ascii="Unna" w:hAnsi="Unna" w:cs="Arial"/>
          <w:bCs/>
          <w:color w:val="000000" w:themeColor="text1"/>
          <w:sz w:val="24"/>
          <w:szCs w:val="24"/>
        </w:rPr>
        <w:t xml:space="preserve">. México: Porrúa, 2020. </w:t>
      </w:r>
      <w:hyperlink r:id="rId8" w:history="1">
        <w:r w:rsidRPr="00CF6AEF">
          <w:rPr>
            <w:rStyle w:val="Hipervnculo"/>
            <w:rFonts w:ascii="Unna" w:eastAsia="Times New Roman" w:hAnsi="Unna" w:cs="Arial"/>
            <w:bCs/>
            <w:sz w:val="24"/>
            <w:szCs w:val="24"/>
            <w:lang w:eastAsia="es-MX"/>
          </w:rPr>
          <w:t>https://hchr.org.mx/historias-destacadas/mexico-una-ola-de-continuas-violaciones-de-derechos-humanos-2/#:~:text=El%20Alto%20Comisionado%20de%20las,mediante%20reformas%20jur%C3%ADdicas%20y%20constitucionales</w:t>
        </w:r>
      </w:hyperlink>
    </w:p>
    <w:p w14:paraId="475B7CC3" w14:textId="087ED384" w:rsidR="00293B7E" w:rsidRPr="0007278D" w:rsidRDefault="00293B7E" w:rsidP="00581E03">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López Escarcena, Sebastián. “Los Principios de París y las instituciones nacionales de derechos humanos en América Latina”. </w:t>
      </w:r>
      <w:r w:rsidRPr="0007278D">
        <w:rPr>
          <w:rFonts w:ascii="Unna" w:hAnsi="Unna" w:cs="Arial"/>
          <w:bCs/>
          <w:i/>
          <w:iCs/>
          <w:color w:val="000000" w:themeColor="text1"/>
          <w:sz w:val="24"/>
          <w:szCs w:val="24"/>
        </w:rPr>
        <w:t>Revista Derecho del Estado</w:t>
      </w:r>
      <w:r w:rsidRPr="0007278D">
        <w:rPr>
          <w:rFonts w:ascii="Unna" w:hAnsi="Unna" w:cs="Arial"/>
          <w:bCs/>
          <w:color w:val="000000" w:themeColor="text1"/>
          <w:sz w:val="24"/>
          <w:szCs w:val="24"/>
        </w:rPr>
        <w:t xml:space="preserve"> 52 (2022): 67–95. </w:t>
      </w:r>
      <w:hyperlink r:id="rId9" w:history="1">
        <w:r w:rsidRPr="00CF6AEF">
          <w:rPr>
            <w:rStyle w:val="Hipervnculo"/>
            <w:rFonts w:ascii="Unna" w:hAnsi="Unna" w:cs="Arial"/>
            <w:bCs/>
            <w:sz w:val="24"/>
            <w:szCs w:val="24"/>
          </w:rPr>
          <w:t>https://doi.org/10.18601/01229893.n52.03</w:t>
        </w:r>
      </w:hyperlink>
    </w:p>
    <w:p w14:paraId="1BCE1265"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Muñoz Mena, Eliceo. </w:t>
      </w:r>
      <w:r w:rsidRPr="0007278D">
        <w:rPr>
          <w:rFonts w:ascii="Unna" w:hAnsi="Unna" w:cs="Arial"/>
          <w:bCs/>
          <w:i/>
          <w:iCs/>
          <w:color w:val="000000" w:themeColor="text1"/>
          <w:sz w:val="24"/>
          <w:szCs w:val="24"/>
        </w:rPr>
        <w:t>Principios rectores de los derechos humanos y sus garantías</w:t>
      </w:r>
      <w:r w:rsidRPr="0007278D">
        <w:rPr>
          <w:rFonts w:ascii="Unna" w:hAnsi="Unna" w:cs="Arial"/>
          <w:bCs/>
          <w:color w:val="000000" w:themeColor="text1"/>
          <w:sz w:val="24"/>
          <w:szCs w:val="24"/>
        </w:rPr>
        <w:t>. México: Flores Editor y Distribuido, 2018.</w:t>
      </w:r>
    </w:p>
    <w:p w14:paraId="4BA46018"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Nares Hernández, José Julio, Colín García, Ricardo, Nava Rosales, Kennly Jared. “Derecho fundamental al debido proceso legal”. </w:t>
      </w:r>
      <w:r w:rsidRPr="0007278D">
        <w:rPr>
          <w:rFonts w:ascii="Unna" w:hAnsi="Unna" w:cs="Arial"/>
          <w:bCs/>
          <w:i/>
          <w:iCs/>
          <w:color w:val="000000" w:themeColor="text1"/>
          <w:sz w:val="24"/>
          <w:szCs w:val="24"/>
        </w:rPr>
        <w:t>Ius Comitiãlis</w:t>
      </w:r>
      <w:r w:rsidRPr="0007278D">
        <w:rPr>
          <w:rFonts w:ascii="Unna" w:hAnsi="Unna" w:cs="Arial"/>
          <w:bCs/>
          <w:color w:val="000000" w:themeColor="text1"/>
          <w:sz w:val="24"/>
          <w:szCs w:val="24"/>
        </w:rPr>
        <w:t>, n.</w:t>
      </w:r>
      <w:r w:rsidRPr="0007278D">
        <w:rPr>
          <w:rFonts w:ascii="Unna" w:hAnsi="Unna" w:cs="Arial"/>
          <w:bCs/>
          <w:color w:val="000000" w:themeColor="text1"/>
          <w:sz w:val="24"/>
          <w:szCs w:val="24"/>
          <w:vertAlign w:val="superscript"/>
        </w:rPr>
        <w:t>o</w:t>
      </w:r>
      <w:r w:rsidRPr="0007278D">
        <w:rPr>
          <w:rFonts w:ascii="Unna" w:hAnsi="Unna" w:cs="Arial"/>
          <w:bCs/>
          <w:color w:val="000000" w:themeColor="text1"/>
          <w:sz w:val="24"/>
          <w:szCs w:val="24"/>
        </w:rPr>
        <w:t xml:space="preserve"> 2, (2018): 175-196.</w:t>
      </w:r>
    </w:p>
    <w:p w14:paraId="7C07436B"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shd w:val="clear" w:color="auto" w:fill="FFFFFF"/>
        </w:rPr>
      </w:pPr>
      <w:r w:rsidRPr="0007278D">
        <w:rPr>
          <w:rFonts w:ascii="Unna" w:hAnsi="Unna" w:cs="Arial"/>
          <w:bCs/>
          <w:color w:val="000000" w:themeColor="text1"/>
          <w:sz w:val="24"/>
          <w:szCs w:val="24"/>
          <w:shd w:val="clear" w:color="auto" w:fill="FFFFFF"/>
        </w:rPr>
        <w:t xml:space="preserve">Naveja Macías, José de Jesús. </w:t>
      </w:r>
      <w:r w:rsidRPr="0007278D">
        <w:rPr>
          <w:rFonts w:ascii="Unna" w:hAnsi="Unna" w:cs="Arial"/>
          <w:bCs/>
          <w:i/>
          <w:iCs/>
          <w:color w:val="000000" w:themeColor="text1"/>
          <w:sz w:val="24"/>
          <w:szCs w:val="24"/>
          <w:shd w:val="clear" w:color="auto" w:fill="FFFFFF"/>
        </w:rPr>
        <w:t xml:space="preserve">Los nuevos principios rectores del juicio de amparo. </w:t>
      </w:r>
      <w:r w:rsidRPr="0007278D">
        <w:rPr>
          <w:rFonts w:ascii="Unna" w:hAnsi="Unna" w:cs="Arial"/>
          <w:bCs/>
          <w:color w:val="000000" w:themeColor="text1"/>
          <w:sz w:val="24"/>
          <w:szCs w:val="24"/>
          <w:shd w:val="clear" w:color="auto" w:fill="FFFFFF"/>
        </w:rPr>
        <w:t>México: Flores Editor y Distribuidor, 2016.</w:t>
      </w:r>
    </w:p>
    <w:p w14:paraId="3DB263BF" w14:textId="77777777" w:rsidR="00293B7E" w:rsidRPr="0007278D" w:rsidRDefault="00293B7E" w:rsidP="00CF6AEF">
      <w:pPr>
        <w:spacing w:after="0" w:line="276" w:lineRule="auto"/>
        <w:ind w:left="709" w:hanging="709"/>
        <w:jc w:val="both"/>
        <w:rPr>
          <w:rFonts w:ascii="Unna" w:eastAsia="Times New Roman" w:hAnsi="Unna" w:cs="Arial"/>
          <w:bCs/>
          <w:color w:val="000000" w:themeColor="text1"/>
          <w:sz w:val="24"/>
          <w:szCs w:val="24"/>
          <w:lang w:eastAsia="es-MX"/>
        </w:rPr>
      </w:pPr>
      <w:r w:rsidRPr="0007278D">
        <w:rPr>
          <w:rFonts w:ascii="Unna" w:eastAsia="Times New Roman" w:hAnsi="Unna" w:cs="Arial"/>
          <w:bCs/>
          <w:color w:val="000000" w:themeColor="text1"/>
          <w:sz w:val="24"/>
          <w:szCs w:val="24"/>
          <w:lang w:eastAsia="es-MX"/>
        </w:rPr>
        <w:t>Organización de las Naciones Unidas. “México: una ola de continuas violaciones de derechos humanos, 2015”.</w:t>
      </w:r>
    </w:p>
    <w:p w14:paraId="7FA9643C"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Orozco Solano, Víctor Eduardo. </w:t>
      </w:r>
      <w:r w:rsidRPr="0007278D">
        <w:rPr>
          <w:rFonts w:ascii="Unna" w:hAnsi="Unna" w:cs="Arial"/>
          <w:bCs/>
          <w:i/>
          <w:iCs/>
          <w:color w:val="000000" w:themeColor="text1"/>
          <w:sz w:val="24"/>
          <w:szCs w:val="24"/>
        </w:rPr>
        <w:t>La fuerza normativa de la Constitución</w:t>
      </w:r>
      <w:r w:rsidRPr="0007278D">
        <w:rPr>
          <w:rFonts w:ascii="Unna" w:hAnsi="Unna" w:cs="Arial"/>
          <w:bCs/>
          <w:color w:val="000000" w:themeColor="text1"/>
          <w:sz w:val="24"/>
          <w:szCs w:val="24"/>
        </w:rPr>
        <w:t>. México: Porrúa, 2017.</w:t>
      </w:r>
    </w:p>
    <w:p w14:paraId="20774770"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Pérez Fernández Ceja, Ydalia, </w:t>
      </w:r>
      <w:r w:rsidRPr="0007278D">
        <w:rPr>
          <w:rFonts w:ascii="Unna" w:hAnsi="Unna" w:cs="Arial"/>
          <w:bCs/>
          <w:i/>
          <w:iCs/>
          <w:color w:val="000000" w:themeColor="text1"/>
          <w:sz w:val="24"/>
          <w:szCs w:val="24"/>
        </w:rPr>
        <w:t>La incorporación de la jurisprudencia internacional de derechos humanos por los tribunales de derecho interno</w:t>
      </w:r>
      <w:r w:rsidRPr="0007278D">
        <w:rPr>
          <w:rFonts w:ascii="Unna" w:hAnsi="Unna" w:cs="Arial"/>
          <w:bCs/>
          <w:color w:val="000000" w:themeColor="text1"/>
          <w:sz w:val="24"/>
          <w:szCs w:val="24"/>
        </w:rPr>
        <w:t>. México: Porrúa, 2017.</w:t>
      </w:r>
    </w:p>
    <w:p w14:paraId="1AFC4E0F"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eastAsia="Times New Roman" w:hAnsi="Unna" w:cs="Arial"/>
          <w:bCs/>
          <w:color w:val="000000" w:themeColor="text1"/>
          <w:sz w:val="24"/>
          <w:szCs w:val="24"/>
          <w:lang w:eastAsia="es-MX"/>
        </w:rPr>
        <w:t>Pérez Luño, Antonio.</w:t>
      </w:r>
      <w:r w:rsidRPr="0007278D">
        <w:rPr>
          <w:rFonts w:ascii="Unna" w:eastAsia="Times New Roman" w:hAnsi="Unna" w:cs="Arial"/>
          <w:bCs/>
          <w:i/>
          <w:iCs/>
          <w:color w:val="000000" w:themeColor="text1"/>
          <w:sz w:val="24"/>
          <w:szCs w:val="24"/>
          <w:lang w:eastAsia="es-MX"/>
        </w:rPr>
        <w:t xml:space="preserve"> Derechos humanos, Estado y constitución</w:t>
      </w:r>
      <w:r w:rsidRPr="0007278D">
        <w:rPr>
          <w:rFonts w:ascii="Unna" w:eastAsia="Times New Roman" w:hAnsi="Unna" w:cs="Arial"/>
          <w:bCs/>
          <w:color w:val="000000" w:themeColor="text1"/>
          <w:sz w:val="24"/>
          <w:szCs w:val="24"/>
          <w:lang w:eastAsia="es-MX"/>
        </w:rPr>
        <w:t>. Madrid: Tecnos, 2018.</w:t>
      </w:r>
    </w:p>
    <w:p w14:paraId="5C4B5C08"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Quiñonez Huízar, Francisco Rubén. </w:t>
      </w:r>
      <w:r w:rsidRPr="0007278D">
        <w:rPr>
          <w:rFonts w:ascii="Unna" w:hAnsi="Unna" w:cs="Arial"/>
          <w:bCs/>
          <w:i/>
          <w:iCs/>
          <w:color w:val="000000" w:themeColor="text1"/>
          <w:sz w:val="24"/>
          <w:szCs w:val="24"/>
        </w:rPr>
        <w:t>Jurisprudencia y control constitucional en México</w:t>
      </w:r>
      <w:r w:rsidRPr="0007278D">
        <w:rPr>
          <w:rFonts w:ascii="Unna" w:hAnsi="Unna" w:cs="Arial"/>
          <w:bCs/>
          <w:color w:val="000000" w:themeColor="text1"/>
          <w:sz w:val="24"/>
          <w:szCs w:val="24"/>
        </w:rPr>
        <w:t>. México: Flores Editor y Distribuidor, 2021.</w:t>
      </w:r>
    </w:p>
    <w:p w14:paraId="52167CCA"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Ruiz Miguel, Carlos. </w:t>
      </w:r>
      <w:r w:rsidRPr="0007278D">
        <w:rPr>
          <w:rFonts w:ascii="Unna" w:hAnsi="Unna" w:cs="Arial"/>
          <w:bCs/>
          <w:i/>
          <w:iCs/>
          <w:color w:val="000000" w:themeColor="text1"/>
          <w:sz w:val="24"/>
          <w:szCs w:val="24"/>
        </w:rPr>
        <w:t>Derechos fundamentales y derecho procesal constitucional</w:t>
      </w:r>
      <w:r w:rsidRPr="0007278D">
        <w:rPr>
          <w:rFonts w:ascii="Unna" w:hAnsi="Unna" w:cs="Arial"/>
          <w:bCs/>
          <w:color w:val="000000" w:themeColor="text1"/>
          <w:sz w:val="24"/>
          <w:szCs w:val="24"/>
        </w:rPr>
        <w:t>. México: Porrúa, 2014.</w:t>
      </w:r>
    </w:p>
    <w:p w14:paraId="43BE4213"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shd w:val="clear" w:color="auto" w:fill="FFFFFF"/>
        </w:rPr>
        <w:t xml:space="preserve">Sagüés Néstor, Pedro. </w:t>
      </w:r>
      <w:r w:rsidRPr="0007278D">
        <w:rPr>
          <w:rFonts w:ascii="Unna" w:hAnsi="Unna" w:cs="Arial"/>
          <w:bCs/>
          <w:i/>
          <w:iCs/>
          <w:color w:val="000000" w:themeColor="text1"/>
          <w:sz w:val="24"/>
          <w:szCs w:val="24"/>
          <w:shd w:val="clear" w:color="auto" w:fill="FFFFFF"/>
        </w:rPr>
        <w:t>La interpretación judicial de la Constitución</w:t>
      </w:r>
      <w:r w:rsidRPr="0007278D">
        <w:rPr>
          <w:rFonts w:ascii="Unna" w:hAnsi="Unna" w:cs="Arial"/>
          <w:bCs/>
          <w:color w:val="000000" w:themeColor="text1"/>
          <w:sz w:val="24"/>
          <w:szCs w:val="24"/>
          <w:shd w:val="clear" w:color="auto" w:fill="FFFFFF"/>
        </w:rPr>
        <w:t>. México: Porrúa, 2017.</w:t>
      </w:r>
    </w:p>
    <w:p w14:paraId="74F9B3EE"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Salinas Garza, Juan Ángel. “Los principios del debido proceso </w:t>
      </w:r>
      <w:r w:rsidRPr="0007278D">
        <w:rPr>
          <w:rFonts w:ascii="Unna" w:hAnsi="Unna" w:cs="Arial"/>
          <w:bCs/>
          <w:i/>
          <w:iCs/>
          <w:color w:val="000000" w:themeColor="text1"/>
          <w:sz w:val="24"/>
          <w:szCs w:val="24"/>
        </w:rPr>
        <w:t>iura novit curia</w:t>
      </w:r>
      <w:r w:rsidRPr="0007278D">
        <w:rPr>
          <w:rFonts w:ascii="Unna" w:hAnsi="Unna" w:cs="Arial"/>
          <w:bCs/>
          <w:color w:val="000000" w:themeColor="text1"/>
          <w:sz w:val="24"/>
          <w:szCs w:val="24"/>
        </w:rPr>
        <w:t xml:space="preserve"> y suplencia de la queja en México”. En </w:t>
      </w:r>
      <w:r w:rsidRPr="0007278D">
        <w:rPr>
          <w:rFonts w:ascii="Unna" w:hAnsi="Unna" w:cs="Arial"/>
          <w:bCs/>
          <w:i/>
          <w:iCs/>
          <w:color w:val="000000" w:themeColor="text1"/>
          <w:sz w:val="24"/>
          <w:szCs w:val="24"/>
        </w:rPr>
        <w:t>El debido proceso T. IV</w:t>
      </w:r>
      <w:r w:rsidRPr="0007278D">
        <w:rPr>
          <w:rFonts w:ascii="Unna" w:hAnsi="Unna" w:cs="Arial"/>
          <w:bCs/>
          <w:color w:val="000000" w:themeColor="text1"/>
          <w:sz w:val="24"/>
          <w:szCs w:val="24"/>
        </w:rPr>
        <w:t xml:space="preserve">, coord., por Acuña Zepeda, Manuel Salvador, Rodríguez Lozano, Luis Gerardo, y Salinas Garza, Juan Ángel. México: Tirant lo Blanch, 2016. </w:t>
      </w:r>
    </w:p>
    <w:p w14:paraId="2A78BA48" w14:textId="77777777"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Salmón, Elizabeth y Blanco, Cristina. </w:t>
      </w:r>
      <w:r w:rsidRPr="0007278D">
        <w:rPr>
          <w:rFonts w:ascii="Unna" w:hAnsi="Unna" w:cs="Arial"/>
          <w:bCs/>
          <w:i/>
          <w:iCs/>
          <w:color w:val="000000" w:themeColor="text1"/>
          <w:sz w:val="24"/>
          <w:szCs w:val="24"/>
        </w:rPr>
        <w:t>El derecho al debido proceso en la jurisprudencia de la Corte Interamericana de Derechos Humanos</w:t>
      </w:r>
      <w:r w:rsidRPr="0007278D">
        <w:rPr>
          <w:rFonts w:ascii="Unna" w:hAnsi="Unna" w:cs="Arial"/>
          <w:bCs/>
          <w:color w:val="000000" w:themeColor="text1"/>
          <w:sz w:val="24"/>
          <w:szCs w:val="24"/>
        </w:rPr>
        <w:t>. Perú: Pontificia Universidad Católica del Perú, 2012.</w:t>
      </w:r>
    </w:p>
    <w:p w14:paraId="4DA4C3FA" w14:textId="77777777" w:rsidR="00581E03" w:rsidRDefault="00581E03" w:rsidP="00581E03">
      <w:pPr>
        <w:tabs>
          <w:tab w:val="left" w:pos="1674"/>
        </w:tabs>
        <w:spacing w:after="0" w:line="276" w:lineRule="auto"/>
        <w:ind w:left="709" w:hanging="709"/>
        <w:jc w:val="both"/>
        <w:rPr>
          <w:rFonts w:ascii="Unna" w:hAnsi="Unna" w:cs="Arial"/>
          <w:bCs/>
          <w:color w:val="000000" w:themeColor="text1"/>
          <w:sz w:val="24"/>
          <w:szCs w:val="24"/>
        </w:rPr>
      </w:pPr>
    </w:p>
    <w:p w14:paraId="748F29B4" w14:textId="1A691DB1" w:rsidR="00293B7E" w:rsidRPr="0007278D" w:rsidRDefault="00293B7E" w:rsidP="00581E03">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lastRenderedPageBreak/>
        <w:t xml:space="preserve">Silva García, Fernando. “Derecho de audiencia: arts. 14 constitucional y 8o., de la Convención Americana sobre Derechos Humanos”. En </w:t>
      </w:r>
      <w:r w:rsidRPr="0007278D">
        <w:rPr>
          <w:rFonts w:ascii="Unna" w:hAnsi="Unna" w:cs="Arial"/>
          <w:bCs/>
          <w:i/>
          <w:iCs/>
          <w:color w:val="000000" w:themeColor="text1"/>
          <w:sz w:val="24"/>
          <w:szCs w:val="24"/>
        </w:rPr>
        <w:t>Derechos Humanos en la Constitución: comentarios de Jurisprudencia Constitucional e Interamericana, T. II</w:t>
      </w:r>
      <w:r w:rsidRPr="0007278D">
        <w:rPr>
          <w:rFonts w:ascii="Unna" w:hAnsi="Unna" w:cs="Arial"/>
          <w:bCs/>
          <w:color w:val="000000" w:themeColor="text1"/>
          <w:sz w:val="24"/>
          <w:szCs w:val="24"/>
        </w:rPr>
        <w:t>, coord. por Ferrer Mac-Gregor Poisot, Eduardo, Caballero Ochoa, José Luis y Steiner, Christian. México: UNAM, Instituto de Investigaciones Jurídicas, 2013.</w:t>
      </w:r>
    </w:p>
    <w:p w14:paraId="7602D8CA" w14:textId="20D9E89B" w:rsidR="00293B7E" w:rsidRPr="0007278D" w:rsidRDefault="00293B7E" w:rsidP="00293B7E">
      <w:pPr>
        <w:tabs>
          <w:tab w:val="left" w:pos="1674"/>
        </w:tabs>
        <w:spacing w:after="0" w:line="276" w:lineRule="auto"/>
        <w:jc w:val="both"/>
        <w:rPr>
          <w:rFonts w:ascii="Unna" w:hAnsi="Unna" w:cs="Arial"/>
          <w:b/>
          <w:color w:val="000000" w:themeColor="text1"/>
          <w:sz w:val="24"/>
          <w:szCs w:val="24"/>
          <w:shd w:val="clear" w:color="auto" w:fill="FFFFFF"/>
        </w:rPr>
      </w:pPr>
      <w:r w:rsidRPr="0007278D">
        <w:rPr>
          <w:rFonts w:ascii="Unna" w:hAnsi="Unna" w:cs="Arial"/>
          <w:b/>
          <w:color w:val="000000" w:themeColor="text1"/>
          <w:sz w:val="24"/>
          <w:szCs w:val="24"/>
          <w:shd w:val="clear" w:color="auto" w:fill="FFFFFF"/>
        </w:rPr>
        <w:t>Documentos legales</w:t>
      </w:r>
    </w:p>
    <w:p w14:paraId="6643B78D"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sz w:val="24"/>
          <w:szCs w:val="24"/>
        </w:rPr>
        <w:t xml:space="preserve">Artículo 107, fracción V, de la Ley de Amparo, Ley publicada en el </w:t>
      </w:r>
      <w:r w:rsidRPr="0007278D">
        <w:rPr>
          <w:rFonts w:ascii="Unna" w:hAnsi="Unna" w:cs="Arial"/>
          <w:i/>
          <w:iCs/>
          <w:sz w:val="24"/>
          <w:szCs w:val="24"/>
        </w:rPr>
        <w:t>Diario Oficial de la Federación</w:t>
      </w:r>
      <w:r w:rsidRPr="0007278D">
        <w:rPr>
          <w:rFonts w:ascii="Unna" w:hAnsi="Unna" w:cs="Arial"/>
          <w:sz w:val="24"/>
          <w:szCs w:val="24"/>
        </w:rPr>
        <w:t>.</w:t>
      </w:r>
    </w:p>
    <w:p w14:paraId="4EE58FB0" w14:textId="77777777" w:rsidR="00293B7E" w:rsidRPr="0007278D" w:rsidRDefault="00293B7E" w:rsidP="00293B7E">
      <w:pPr>
        <w:spacing w:after="0" w:line="276" w:lineRule="auto"/>
        <w:ind w:left="709" w:hanging="709"/>
        <w:jc w:val="both"/>
        <w:rPr>
          <w:rFonts w:ascii="Unna" w:eastAsia="Times New Roman" w:hAnsi="Unna" w:cs="Arial"/>
          <w:bCs/>
          <w:color w:val="000000" w:themeColor="text1"/>
          <w:sz w:val="24"/>
          <w:szCs w:val="24"/>
          <w:lang w:eastAsia="es-MX"/>
        </w:rPr>
      </w:pPr>
      <w:r w:rsidRPr="0007278D">
        <w:rPr>
          <w:rFonts w:ascii="Unna" w:eastAsia="Times New Roman" w:hAnsi="Unna" w:cs="Arial"/>
          <w:bCs/>
          <w:color w:val="000000" w:themeColor="text1"/>
          <w:sz w:val="24"/>
          <w:szCs w:val="24"/>
          <w:lang w:eastAsia="es-MX"/>
        </w:rPr>
        <w:t xml:space="preserve">Comisión Nacional de los Derechos Humanos. </w:t>
      </w:r>
      <w:r w:rsidRPr="0007278D">
        <w:rPr>
          <w:rFonts w:ascii="Unna" w:eastAsia="Times New Roman" w:hAnsi="Unna" w:cs="Arial"/>
          <w:bCs/>
          <w:i/>
          <w:iCs/>
          <w:color w:val="000000" w:themeColor="text1"/>
          <w:sz w:val="24"/>
          <w:szCs w:val="24"/>
          <w:lang w:eastAsia="es-MX"/>
        </w:rPr>
        <w:t>Informe de actividades del 1 de enero al 31 de diciembre de 2023</w:t>
      </w:r>
      <w:r w:rsidRPr="0007278D">
        <w:rPr>
          <w:rFonts w:ascii="Unna" w:eastAsia="Times New Roman" w:hAnsi="Unna" w:cs="Arial"/>
          <w:bCs/>
          <w:color w:val="000000" w:themeColor="text1"/>
          <w:sz w:val="24"/>
          <w:szCs w:val="24"/>
          <w:lang w:eastAsia="es-MX"/>
        </w:rPr>
        <w:t xml:space="preserve">. </w:t>
      </w:r>
    </w:p>
    <w:p w14:paraId="57C62941"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Comisión Nacional de los Derechos Humanos. </w:t>
      </w:r>
      <w:r w:rsidRPr="0007278D">
        <w:rPr>
          <w:rFonts w:ascii="Unna" w:hAnsi="Unna" w:cs="Arial"/>
          <w:bCs/>
          <w:i/>
          <w:iCs/>
          <w:color w:val="000000" w:themeColor="text1"/>
          <w:sz w:val="24"/>
          <w:szCs w:val="24"/>
        </w:rPr>
        <w:t>Informe de Actividades del 1 de enero al 31 de diciembre de 2022</w:t>
      </w:r>
      <w:r w:rsidRPr="0007278D">
        <w:rPr>
          <w:rFonts w:ascii="Unna" w:hAnsi="Unna" w:cs="Arial"/>
          <w:bCs/>
          <w:color w:val="000000" w:themeColor="text1"/>
          <w:sz w:val="24"/>
          <w:szCs w:val="24"/>
        </w:rPr>
        <w:t>.</w:t>
      </w:r>
    </w:p>
    <w:p w14:paraId="6829860A"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Comisión Nacional de los Derechos Humanos</w:t>
      </w:r>
      <w:r w:rsidRPr="0007278D">
        <w:rPr>
          <w:rFonts w:ascii="Unna" w:hAnsi="Unna" w:cs="Arial"/>
          <w:bCs/>
          <w:i/>
          <w:iCs/>
          <w:color w:val="000000" w:themeColor="text1"/>
          <w:sz w:val="24"/>
          <w:szCs w:val="24"/>
        </w:rPr>
        <w:t>. Informe de Actividades. Del 1 de enero al 31 de diciembre de 2021</w:t>
      </w:r>
      <w:r w:rsidRPr="0007278D">
        <w:rPr>
          <w:rFonts w:ascii="Unna" w:hAnsi="Unna" w:cs="Arial"/>
          <w:bCs/>
          <w:color w:val="000000" w:themeColor="text1"/>
          <w:sz w:val="24"/>
          <w:szCs w:val="24"/>
        </w:rPr>
        <w:t xml:space="preserve">. </w:t>
      </w:r>
    </w:p>
    <w:p w14:paraId="1C082F43"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Interamericana de Derechos Humanos. </w:t>
      </w:r>
      <w:r w:rsidRPr="0007278D">
        <w:rPr>
          <w:rFonts w:ascii="Unna" w:hAnsi="Unna" w:cs="Arial"/>
          <w:bCs/>
          <w:i/>
          <w:iCs/>
          <w:color w:val="000000" w:themeColor="text1"/>
          <w:sz w:val="24"/>
          <w:szCs w:val="24"/>
        </w:rPr>
        <w:t>Cuadernillo de jurisprudencia de la Corte Interamericana de Derechos Humanos</w:t>
      </w:r>
      <w:r w:rsidRPr="0007278D">
        <w:rPr>
          <w:rFonts w:ascii="Unna" w:hAnsi="Unna" w:cs="Arial"/>
          <w:bCs/>
          <w:color w:val="000000" w:themeColor="text1"/>
          <w:sz w:val="24"/>
          <w:szCs w:val="24"/>
        </w:rPr>
        <w:t xml:space="preserve"> n.º 12 (s/f).</w:t>
      </w:r>
    </w:p>
    <w:p w14:paraId="0109D9F6" w14:textId="77777777" w:rsidR="00293B7E" w:rsidRPr="0007278D" w:rsidRDefault="00293B7E" w:rsidP="00293B7E">
      <w:pPr>
        <w:tabs>
          <w:tab w:val="left" w:pos="1674"/>
        </w:tabs>
        <w:spacing w:after="0" w:line="276" w:lineRule="auto"/>
        <w:jc w:val="both"/>
        <w:rPr>
          <w:rFonts w:ascii="Unna" w:hAnsi="Unna" w:cs="Arial"/>
          <w:bCs/>
          <w:color w:val="000000" w:themeColor="text1"/>
          <w:sz w:val="24"/>
          <w:szCs w:val="24"/>
          <w:shd w:val="clear" w:color="auto" w:fill="FFFFFF"/>
        </w:rPr>
      </w:pPr>
    </w:p>
    <w:p w14:paraId="71FB63D1" w14:textId="77777777" w:rsidR="00293B7E" w:rsidRPr="0007278D" w:rsidRDefault="00293B7E" w:rsidP="00293B7E">
      <w:pPr>
        <w:tabs>
          <w:tab w:val="left" w:pos="1674"/>
        </w:tabs>
        <w:spacing w:after="0" w:line="276" w:lineRule="auto"/>
        <w:jc w:val="both"/>
        <w:rPr>
          <w:rFonts w:ascii="Unna" w:hAnsi="Unna" w:cs="Arial"/>
          <w:b/>
          <w:color w:val="000000" w:themeColor="text1"/>
          <w:sz w:val="24"/>
          <w:szCs w:val="24"/>
          <w:shd w:val="clear" w:color="auto" w:fill="FFFFFF"/>
        </w:rPr>
      </w:pPr>
      <w:r w:rsidRPr="0007278D">
        <w:rPr>
          <w:rFonts w:ascii="Unna" w:hAnsi="Unna" w:cs="Arial"/>
          <w:b/>
          <w:color w:val="000000" w:themeColor="text1"/>
          <w:sz w:val="24"/>
          <w:szCs w:val="24"/>
          <w:shd w:val="clear" w:color="auto" w:fill="FFFFFF"/>
        </w:rPr>
        <w:t xml:space="preserve">Legislaciones </w:t>
      </w:r>
    </w:p>
    <w:p w14:paraId="543144A2"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color w:val="000000" w:themeColor="text1"/>
          <w:sz w:val="24"/>
          <w:szCs w:val="24"/>
        </w:rPr>
        <w:t xml:space="preserve">Comisión Interamericana de Derechos Humanos, </w:t>
      </w:r>
      <w:r w:rsidRPr="0007278D">
        <w:rPr>
          <w:rFonts w:ascii="Unna" w:hAnsi="Unna" w:cs="Arial"/>
          <w:bCs/>
          <w:color w:val="000000" w:themeColor="text1"/>
          <w:sz w:val="24"/>
          <w:szCs w:val="24"/>
        </w:rPr>
        <w:t xml:space="preserve">08 de enero de 1998,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 xml:space="preserve">. </w:t>
      </w:r>
    </w:p>
    <w:p w14:paraId="0122DC0A"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Comisión Nacional de los Derechos Humanos. 6 de junio de 1990, Congreso de los Estados Unidos Mexicanos,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 xml:space="preserve">.  </w:t>
      </w:r>
    </w:p>
    <w:p w14:paraId="31600F4D"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Constitución Política de los Estados Unidos Mexicanos, </w:t>
      </w:r>
      <w:r w:rsidRPr="0007278D">
        <w:rPr>
          <w:rFonts w:ascii="Unna" w:hAnsi="Unna" w:cs="Arial"/>
          <w:color w:val="000000" w:themeColor="text1"/>
          <w:sz w:val="24"/>
          <w:szCs w:val="24"/>
        </w:rPr>
        <w:t>Congreso Constituyente</w:t>
      </w:r>
      <w:r w:rsidRPr="0007278D">
        <w:rPr>
          <w:rFonts w:ascii="Unna" w:hAnsi="Unna" w:cs="Arial"/>
          <w:bCs/>
          <w:color w:val="000000" w:themeColor="text1"/>
          <w:sz w:val="24"/>
          <w:szCs w:val="24"/>
        </w:rPr>
        <w:t xml:space="preserve">, 5 de febrero de 1917,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w:t>
      </w:r>
    </w:p>
    <w:p w14:paraId="4D37C222"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Convención Americana sobre Derechos Humanos, 09 de enero de 1980,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 xml:space="preserve">. </w:t>
      </w:r>
    </w:p>
    <w:p w14:paraId="6F1F6A6D"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Interamericana de Derechos Humanos, 08 de enero de 1998,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 xml:space="preserve">. </w:t>
      </w:r>
    </w:p>
    <w:p w14:paraId="2342D87A"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Ley de Amparo Reglamentaria de los artículos 103 y 107 de la Constitución Política de los Estados Unidos Mexicanos, Congreso General de los Estados Unidos Mexicanos, 2 de abril de 2013,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w:t>
      </w:r>
    </w:p>
    <w:p w14:paraId="567783FB"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Ley de la Comisión Nacional de los Derechos Humanos, Congreso General de los Estados Unidos Mexicanos, 29 de junio de 1992,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w:t>
      </w:r>
    </w:p>
    <w:p w14:paraId="420F0ED9"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Principios Relativos al Estatuto de las Instituciones Nacionales (Principios de París), 1993. </w:t>
      </w:r>
    </w:p>
    <w:p w14:paraId="56B96C6E"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Reglamento Interno de la Comisión Nacional de los Derechos Humanos, Consejo Consultivo de la Comisión Nacional de los Derechos, 29 de septiembre de 2003, </w:t>
      </w:r>
      <w:r w:rsidRPr="0007278D">
        <w:rPr>
          <w:rFonts w:ascii="Unna" w:hAnsi="Unna" w:cs="Arial"/>
          <w:bCs/>
          <w:i/>
          <w:iCs/>
          <w:color w:val="000000" w:themeColor="text1"/>
          <w:sz w:val="24"/>
          <w:szCs w:val="24"/>
        </w:rPr>
        <w:t>Diario Oficial de la Federación</w:t>
      </w:r>
      <w:r w:rsidRPr="0007278D">
        <w:rPr>
          <w:rFonts w:ascii="Unna" w:hAnsi="Unna" w:cs="Arial"/>
          <w:bCs/>
          <w:color w:val="000000" w:themeColor="text1"/>
          <w:sz w:val="24"/>
          <w:szCs w:val="24"/>
        </w:rPr>
        <w:t>.</w:t>
      </w:r>
    </w:p>
    <w:p w14:paraId="22818A62" w14:textId="77777777" w:rsidR="00293B7E" w:rsidRDefault="00293B7E" w:rsidP="00293B7E">
      <w:pPr>
        <w:tabs>
          <w:tab w:val="left" w:pos="1674"/>
        </w:tabs>
        <w:spacing w:after="0" w:line="276" w:lineRule="auto"/>
        <w:ind w:left="709" w:hanging="709"/>
        <w:jc w:val="both"/>
        <w:rPr>
          <w:rFonts w:ascii="Unna" w:hAnsi="Unna" w:cs="Arial"/>
          <w:bCs/>
          <w:color w:val="000000" w:themeColor="text1"/>
          <w:sz w:val="24"/>
          <w:szCs w:val="24"/>
        </w:rPr>
      </w:pPr>
    </w:p>
    <w:p w14:paraId="5EA6A3F2" w14:textId="77777777" w:rsidR="00293B7E" w:rsidRPr="0007278D" w:rsidRDefault="00293B7E" w:rsidP="00293B7E">
      <w:pPr>
        <w:spacing w:after="0" w:line="276" w:lineRule="auto"/>
        <w:jc w:val="both"/>
        <w:rPr>
          <w:rFonts w:ascii="Unna" w:hAnsi="Unna" w:cs="Arial"/>
          <w:b/>
          <w:color w:val="000000" w:themeColor="text1"/>
          <w:sz w:val="24"/>
          <w:szCs w:val="24"/>
        </w:rPr>
      </w:pPr>
      <w:r w:rsidRPr="0007278D">
        <w:rPr>
          <w:rFonts w:ascii="Unna" w:hAnsi="Unna" w:cs="Arial"/>
          <w:b/>
          <w:color w:val="000000" w:themeColor="text1"/>
          <w:sz w:val="24"/>
          <w:szCs w:val="24"/>
        </w:rPr>
        <w:lastRenderedPageBreak/>
        <w:t>Jurisprudencias de la Corte IDH</w:t>
      </w:r>
    </w:p>
    <w:p w14:paraId="39EC6CA8"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IDH. </w:t>
      </w:r>
      <w:r w:rsidRPr="0007278D">
        <w:rPr>
          <w:rFonts w:ascii="Unna" w:hAnsi="Unna" w:cs="Arial"/>
          <w:bCs/>
          <w:i/>
          <w:iCs/>
          <w:color w:val="000000" w:themeColor="text1"/>
          <w:sz w:val="24"/>
          <w:szCs w:val="24"/>
        </w:rPr>
        <w:t>Caso del Tribunal Constitucional vs. Perú</w:t>
      </w:r>
      <w:r w:rsidRPr="0007278D">
        <w:rPr>
          <w:rFonts w:ascii="Unna" w:hAnsi="Unna" w:cs="Arial"/>
          <w:bCs/>
          <w:color w:val="000000" w:themeColor="text1"/>
          <w:sz w:val="24"/>
          <w:szCs w:val="24"/>
        </w:rPr>
        <w:t xml:space="preserve">. Fondo, Reparaciones y Costas. Sentencia de 31 de enero de 2001. Serie C No. 71, párr. 69. </w:t>
      </w:r>
    </w:p>
    <w:p w14:paraId="3E113888"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IDH. </w:t>
      </w:r>
      <w:r w:rsidRPr="0007278D">
        <w:rPr>
          <w:rFonts w:ascii="Unna" w:hAnsi="Unna" w:cs="Arial"/>
          <w:bCs/>
          <w:i/>
          <w:iCs/>
          <w:color w:val="000000" w:themeColor="text1"/>
          <w:sz w:val="24"/>
          <w:szCs w:val="24"/>
        </w:rPr>
        <w:t>Caso Ivcher Bronstein vs. Perú</w:t>
      </w:r>
      <w:r w:rsidRPr="0007278D">
        <w:rPr>
          <w:rFonts w:ascii="Unna" w:hAnsi="Unna" w:cs="Arial"/>
          <w:bCs/>
          <w:color w:val="000000" w:themeColor="text1"/>
          <w:sz w:val="24"/>
          <w:szCs w:val="24"/>
        </w:rPr>
        <w:t>. Fondo, Reparaciones y Costas. Sentencia de 6 de febrero de 2001. Serie C No. 74, párr. 105.</w:t>
      </w:r>
    </w:p>
    <w:p w14:paraId="35B28888"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IDH. </w:t>
      </w:r>
      <w:r w:rsidRPr="0007278D">
        <w:rPr>
          <w:rFonts w:ascii="Unna" w:hAnsi="Unna" w:cs="Arial"/>
          <w:bCs/>
          <w:i/>
          <w:iCs/>
          <w:color w:val="000000" w:themeColor="text1"/>
          <w:sz w:val="24"/>
          <w:szCs w:val="24"/>
        </w:rPr>
        <w:t>Caso López Mendoza vs. Venezuela</w:t>
      </w:r>
      <w:r w:rsidRPr="0007278D">
        <w:rPr>
          <w:rFonts w:ascii="Unna" w:hAnsi="Unna" w:cs="Arial"/>
          <w:bCs/>
          <w:color w:val="000000" w:themeColor="text1"/>
          <w:sz w:val="24"/>
          <w:szCs w:val="24"/>
        </w:rPr>
        <w:t>. Fondo Reparaciones y Costas. Sentencia de 1 de septiembre de 2011. Serie C Nqaqo. 233, párr. 202.</w:t>
      </w:r>
    </w:p>
    <w:p w14:paraId="1D2C9C0E"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IDH. </w:t>
      </w:r>
      <w:r w:rsidRPr="0007278D">
        <w:rPr>
          <w:rFonts w:ascii="Unna" w:hAnsi="Unna" w:cs="Arial"/>
          <w:bCs/>
          <w:i/>
          <w:iCs/>
          <w:color w:val="000000" w:themeColor="text1"/>
          <w:sz w:val="24"/>
          <w:szCs w:val="24"/>
        </w:rPr>
        <w:t>Caso Ruano Torres y otros vs. El Salvador</w:t>
      </w:r>
      <w:r w:rsidRPr="0007278D">
        <w:rPr>
          <w:rFonts w:ascii="Unna" w:hAnsi="Unna" w:cs="Arial"/>
          <w:bCs/>
          <w:color w:val="000000" w:themeColor="text1"/>
          <w:sz w:val="24"/>
          <w:szCs w:val="24"/>
        </w:rPr>
        <w:t>. Fondo, Reparaciones y Costas. Sentencia de 5 de octubre de 2015. Serie C No. 303, párr. 153.</w:t>
      </w:r>
    </w:p>
    <w:p w14:paraId="536B85F9"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IDH. </w:t>
      </w:r>
      <w:r w:rsidRPr="0007278D">
        <w:rPr>
          <w:rFonts w:ascii="Unna" w:hAnsi="Unna" w:cs="Arial"/>
          <w:bCs/>
          <w:i/>
          <w:iCs/>
          <w:color w:val="000000" w:themeColor="text1"/>
          <w:sz w:val="24"/>
          <w:szCs w:val="24"/>
        </w:rPr>
        <w:t>Caso Ruano Torres y otros vs. El Salvador</w:t>
      </w:r>
      <w:r w:rsidRPr="0007278D">
        <w:rPr>
          <w:rFonts w:ascii="Unna" w:hAnsi="Unna" w:cs="Arial"/>
          <w:bCs/>
          <w:color w:val="000000" w:themeColor="text1"/>
          <w:sz w:val="24"/>
          <w:szCs w:val="24"/>
        </w:rPr>
        <w:t xml:space="preserve">. Fondo, Reparaciones y Costas. Sentencia de 5 de octubre de 2015. Serie C No. 303, párr. 151. </w:t>
      </w:r>
    </w:p>
    <w:p w14:paraId="5EFF86D5"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lang w:val="pt-BR"/>
        </w:rPr>
      </w:pPr>
      <w:r w:rsidRPr="0007278D">
        <w:rPr>
          <w:rFonts w:ascii="Unna" w:hAnsi="Unna" w:cs="Arial"/>
          <w:bCs/>
          <w:color w:val="000000" w:themeColor="text1"/>
          <w:sz w:val="24"/>
          <w:szCs w:val="24"/>
        </w:rPr>
        <w:t xml:space="preserve">Corte IDH. </w:t>
      </w:r>
      <w:r w:rsidRPr="0007278D">
        <w:rPr>
          <w:rFonts w:ascii="Unna" w:hAnsi="Unna" w:cs="Arial"/>
          <w:bCs/>
          <w:i/>
          <w:iCs/>
          <w:color w:val="000000" w:themeColor="text1"/>
          <w:sz w:val="24"/>
          <w:szCs w:val="24"/>
        </w:rPr>
        <w:t>Caso Velásquez Rodríguez c/Honduras</w:t>
      </w:r>
      <w:r w:rsidRPr="0007278D">
        <w:rPr>
          <w:rFonts w:ascii="Unna" w:hAnsi="Unna" w:cs="Arial"/>
          <w:bCs/>
          <w:color w:val="000000" w:themeColor="text1"/>
          <w:sz w:val="24"/>
          <w:szCs w:val="24"/>
        </w:rPr>
        <w:t xml:space="preserve">, sentencia del 29 de julio de 1988 Ser. </w:t>
      </w:r>
      <w:r w:rsidRPr="0007278D">
        <w:rPr>
          <w:rFonts w:ascii="Unna" w:hAnsi="Unna" w:cs="Arial"/>
          <w:bCs/>
          <w:color w:val="000000" w:themeColor="text1"/>
          <w:sz w:val="24"/>
          <w:szCs w:val="24"/>
          <w:lang w:val="pt-BR"/>
        </w:rPr>
        <w:t xml:space="preserve">C Nº 4, 1988, párrafo 175. </w:t>
      </w:r>
    </w:p>
    <w:p w14:paraId="0BE4905E" w14:textId="77777777" w:rsidR="00293B7E" w:rsidRPr="0007278D" w:rsidRDefault="00293B7E" w:rsidP="00293B7E">
      <w:pPr>
        <w:tabs>
          <w:tab w:val="left" w:pos="1674"/>
        </w:tabs>
        <w:spacing w:after="0" w:line="276" w:lineRule="auto"/>
        <w:ind w:left="709" w:hanging="709"/>
        <w:jc w:val="both"/>
        <w:rPr>
          <w:rFonts w:ascii="Unna" w:eastAsia="Times New Roman" w:hAnsi="Unna" w:cs="Arial"/>
          <w:bCs/>
          <w:color w:val="000000" w:themeColor="text1"/>
          <w:sz w:val="24"/>
          <w:szCs w:val="24"/>
          <w:lang w:val="pt-BR" w:eastAsia="es-MX"/>
        </w:rPr>
      </w:pPr>
      <w:r w:rsidRPr="0007278D">
        <w:rPr>
          <w:rFonts w:ascii="Unna" w:eastAsia="Times New Roman" w:hAnsi="Unna" w:cs="Arial"/>
          <w:bCs/>
          <w:color w:val="000000" w:themeColor="text1"/>
          <w:sz w:val="24"/>
          <w:szCs w:val="24"/>
          <w:lang w:val="pt-BR" w:eastAsia="es-MX"/>
        </w:rPr>
        <w:t>Corte IDH. Opinión consultiva OC-8/87, 1987, párrafo 25.</w:t>
      </w:r>
    </w:p>
    <w:p w14:paraId="5A832AB5" w14:textId="77777777" w:rsidR="00293B7E" w:rsidRPr="0007278D" w:rsidRDefault="00293B7E" w:rsidP="00293B7E">
      <w:pPr>
        <w:tabs>
          <w:tab w:val="left" w:pos="1674"/>
        </w:tabs>
        <w:spacing w:after="0" w:line="276" w:lineRule="auto"/>
        <w:ind w:left="709" w:hanging="709"/>
        <w:jc w:val="both"/>
        <w:rPr>
          <w:rFonts w:ascii="Unna" w:eastAsia="Times New Roman" w:hAnsi="Unna" w:cs="Arial"/>
          <w:bCs/>
          <w:color w:val="000000" w:themeColor="text1"/>
          <w:sz w:val="24"/>
          <w:szCs w:val="24"/>
          <w:lang w:eastAsia="es-MX"/>
        </w:rPr>
      </w:pPr>
      <w:r w:rsidRPr="0007278D">
        <w:rPr>
          <w:rFonts w:ascii="Unna" w:eastAsia="Times New Roman" w:hAnsi="Unna" w:cs="Arial"/>
          <w:bCs/>
          <w:color w:val="000000" w:themeColor="text1"/>
          <w:sz w:val="24"/>
          <w:szCs w:val="24"/>
          <w:lang w:val="pt-BR" w:eastAsia="es-MX"/>
        </w:rPr>
        <w:t xml:space="preserve">Corte IDH. </w:t>
      </w:r>
      <w:r w:rsidRPr="0007278D">
        <w:rPr>
          <w:rFonts w:ascii="Unna" w:eastAsia="Times New Roman" w:hAnsi="Unna" w:cs="Arial"/>
          <w:bCs/>
          <w:i/>
          <w:color w:val="000000" w:themeColor="text1"/>
          <w:sz w:val="24"/>
          <w:szCs w:val="24"/>
          <w:lang w:eastAsia="es-MX"/>
        </w:rPr>
        <w:t>Opinión consultiva OC-9/87</w:t>
      </w:r>
      <w:r w:rsidRPr="0007278D">
        <w:rPr>
          <w:rFonts w:ascii="Unna" w:eastAsia="Times New Roman" w:hAnsi="Unna" w:cs="Arial"/>
          <w:bCs/>
          <w:color w:val="000000" w:themeColor="text1"/>
          <w:sz w:val="24"/>
          <w:szCs w:val="24"/>
          <w:lang w:eastAsia="es-MX"/>
        </w:rPr>
        <w:t>, 1987, párrs. 27-28.</w:t>
      </w:r>
    </w:p>
    <w:p w14:paraId="750A434F"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Corte IHD. </w:t>
      </w:r>
      <w:r w:rsidRPr="0007278D">
        <w:rPr>
          <w:rFonts w:ascii="Unna" w:hAnsi="Unna" w:cs="Arial"/>
          <w:bCs/>
          <w:i/>
          <w:iCs/>
          <w:color w:val="000000" w:themeColor="text1"/>
          <w:sz w:val="24"/>
          <w:szCs w:val="24"/>
        </w:rPr>
        <w:t>Caso Usón Ramírez vs. Venezuela</w:t>
      </w:r>
      <w:r w:rsidRPr="0007278D">
        <w:rPr>
          <w:rFonts w:ascii="Unna" w:hAnsi="Unna" w:cs="Arial"/>
          <w:bCs/>
          <w:color w:val="000000" w:themeColor="text1"/>
          <w:sz w:val="24"/>
          <w:szCs w:val="24"/>
        </w:rPr>
        <w:t xml:space="preserve">. Excepción Preliminar. Fondo. Reparaciones y Costas. Sentencia de 20 de noviembre de 2009. Serie C. No. 207. </w:t>
      </w:r>
    </w:p>
    <w:p w14:paraId="25C51A92" w14:textId="77777777" w:rsidR="00293B7E" w:rsidRPr="0007278D" w:rsidRDefault="00293B7E" w:rsidP="00293B7E">
      <w:pPr>
        <w:tabs>
          <w:tab w:val="left" w:pos="1674"/>
        </w:tabs>
        <w:spacing w:after="0" w:line="276" w:lineRule="auto"/>
        <w:ind w:left="709" w:hanging="709"/>
        <w:jc w:val="both"/>
        <w:rPr>
          <w:rFonts w:ascii="Unna" w:hAnsi="Unna" w:cs="Arial"/>
          <w:bCs/>
          <w:color w:val="000000" w:themeColor="text1"/>
          <w:sz w:val="24"/>
          <w:szCs w:val="24"/>
        </w:rPr>
      </w:pPr>
    </w:p>
    <w:p w14:paraId="15992A09" w14:textId="77777777" w:rsidR="00293B7E" w:rsidRPr="0007278D" w:rsidRDefault="00293B7E" w:rsidP="00293B7E">
      <w:pPr>
        <w:tabs>
          <w:tab w:val="left" w:pos="1674"/>
        </w:tabs>
        <w:spacing w:after="0" w:line="276" w:lineRule="auto"/>
        <w:jc w:val="both"/>
        <w:rPr>
          <w:rFonts w:ascii="Unna" w:hAnsi="Unna" w:cs="Arial"/>
          <w:b/>
          <w:color w:val="000000" w:themeColor="text1"/>
          <w:sz w:val="24"/>
          <w:szCs w:val="24"/>
          <w:shd w:val="clear" w:color="auto" w:fill="FFFFFF"/>
        </w:rPr>
      </w:pPr>
      <w:r w:rsidRPr="0007278D">
        <w:rPr>
          <w:rFonts w:ascii="Unna" w:hAnsi="Unna" w:cs="Arial"/>
          <w:b/>
          <w:color w:val="000000" w:themeColor="text1"/>
          <w:sz w:val="24"/>
          <w:szCs w:val="24"/>
          <w:shd w:val="clear" w:color="auto" w:fill="FFFFFF"/>
        </w:rPr>
        <w:t xml:space="preserve">Jurisprudencia nacional </w:t>
      </w:r>
    </w:p>
    <w:p w14:paraId="2FEE4A53" w14:textId="77777777" w:rsidR="00293B7E" w:rsidRPr="0007278D" w:rsidRDefault="00293B7E" w:rsidP="00293B7E">
      <w:pPr>
        <w:spacing w:after="0" w:line="276" w:lineRule="auto"/>
        <w:ind w:left="709" w:hanging="709"/>
        <w:jc w:val="both"/>
        <w:rPr>
          <w:rFonts w:ascii="Unna" w:eastAsia="Times New Roman" w:hAnsi="Unna" w:cs="Arial"/>
          <w:bCs/>
          <w:color w:val="000000" w:themeColor="text1"/>
          <w:sz w:val="24"/>
          <w:szCs w:val="24"/>
          <w:lang w:eastAsia="es-MX"/>
        </w:rPr>
      </w:pPr>
      <w:r w:rsidRPr="0007278D">
        <w:rPr>
          <w:rFonts w:ascii="Unna" w:eastAsia="Times New Roman" w:hAnsi="Unna" w:cs="Arial"/>
          <w:bCs/>
          <w:color w:val="000000" w:themeColor="text1"/>
          <w:sz w:val="24"/>
          <w:szCs w:val="24"/>
          <w:lang w:eastAsia="es-MX"/>
        </w:rPr>
        <w:t xml:space="preserve">Tesis 1a./J. 23/2018 (10a.), Gaceta del Semanario Judicial de la Federación, Décima Época, t. I, l. 59, octubre de 2018, pág. 716. </w:t>
      </w:r>
    </w:p>
    <w:p w14:paraId="63A62EB0" w14:textId="77777777" w:rsidR="00293B7E" w:rsidRPr="0007278D" w:rsidRDefault="00293B7E" w:rsidP="00293B7E">
      <w:pPr>
        <w:spacing w:after="0" w:line="276" w:lineRule="auto"/>
        <w:ind w:left="709" w:hanging="709"/>
        <w:jc w:val="both"/>
        <w:rPr>
          <w:rFonts w:ascii="Unna" w:eastAsia="Times New Roman" w:hAnsi="Unna" w:cs="Arial"/>
          <w:bCs/>
          <w:color w:val="000000" w:themeColor="text1"/>
          <w:sz w:val="24"/>
          <w:szCs w:val="24"/>
          <w:lang w:eastAsia="es-MX"/>
        </w:rPr>
      </w:pPr>
      <w:r w:rsidRPr="0007278D">
        <w:rPr>
          <w:rFonts w:ascii="Unna" w:eastAsia="Times New Roman" w:hAnsi="Unna" w:cs="Arial"/>
          <w:bCs/>
          <w:color w:val="000000" w:themeColor="text1"/>
          <w:sz w:val="24"/>
          <w:szCs w:val="24"/>
          <w:lang w:eastAsia="es-MX"/>
        </w:rPr>
        <w:t>Tesis Aislada VIII.1o.P.A.11 A (11a.), Gaceta del Semanario Judicial de la Federación, Undécima Época, t. IV, l. 19, noviembre de 2022, pág. 3757.</w:t>
      </w:r>
    </w:p>
    <w:p w14:paraId="7959FC49"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Tesis Aislada, Constitucional, Tesis: 1a. CCLXXXVI/2014 (10a.), Gaceta del Semanario Judicial de la Federación, Décima Época, t. I., l. 9, agosto de 2014, pág. 529.</w:t>
      </w:r>
    </w:p>
    <w:p w14:paraId="0C30815F"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Style w:val="bold"/>
          <w:rFonts w:ascii="Unna" w:hAnsi="Unna" w:cs="Arial"/>
          <w:bCs/>
          <w:color w:val="000000" w:themeColor="text1"/>
          <w:sz w:val="24"/>
          <w:szCs w:val="24"/>
        </w:rPr>
        <w:t>Tesis Aislada: P. XCVII/98, Semanario Judicial de la Federación y su Gaceta, Novena Época, t. VIII, diciembre de 1998, pág. 223. Reg. digital: 194951.</w:t>
      </w:r>
    </w:p>
    <w:p w14:paraId="3BDFCEF0"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Tesis P. XLVIII/2000, Semanario Judicial de la Federación y su Gaceta, t. XI, abril de 2000, pág. 65.</w:t>
      </w:r>
    </w:p>
    <w:p w14:paraId="14129439"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Tesis P./J. 20/2007, Semanario Judicial de la Federación y su Gaceta, Novena Época, t. XXV, mayo de 2007, pág. 1647. </w:t>
      </w:r>
    </w:p>
    <w:p w14:paraId="27CD09AD"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Tesis P./J. 21/2014 (10a.), Gaceta del Semanario Judicial de la Federación, t. I, l. 5, abril de 2014, pág. 204.</w:t>
      </w:r>
    </w:p>
    <w:p w14:paraId="7FF909CF" w14:textId="77777777" w:rsidR="00293B7E"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hAnsi="Unna" w:cs="Arial"/>
          <w:bCs/>
          <w:color w:val="000000" w:themeColor="text1"/>
          <w:sz w:val="24"/>
          <w:szCs w:val="24"/>
        </w:rPr>
        <w:t xml:space="preserve">Tesis P./J. 40/96, Semanario Judicial de la Federación y su Gaceta, Novena Época, t. IV, Julio de 1996, pág. 5. </w:t>
      </w:r>
    </w:p>
    <w:p w14:paraId="7956A91E" w14:textId="09DE0460" w:rsidR="009436ED" w:rsidRPr="0007278D" w:rsidRDefault="00293B7E" w:rsidP="00293B7E">
      <w:pPr>
        <w:spacing w:after="0" w:line="276" w:lineRule="auto"/>
        <w:ind w:left="709" w:hanging="709"/>
        <w:jc w:val="both"/>
        <w:rPr>
          <w:rFonts w:ascii="Unna" w:hAnsi="Unna" w:cs="Arial"/>
          <w:bCs/>
          <w:color w:val="000000" w:themeColor="text1"/>
          <w:sz w:val="24"/>
          <w:szCs w:val="24"/>
        </w:rPr>
      </w:pPr>
      <w:r w:rsidRPr="0007278D">
        <w:rPr>
          <w:rFonts w:ascii="Unna" w:eastAsia="Times New Roman" w:hAnsi="Unna" w:cs="Arial"/>
          <w:bCs/>
          <w:color w:val="000000" w:themeColor="text1"/>
          <w:sz w:val="24"/>
          <w:szCs w:val="24"/>
          <w:lang w:eastAsia="es-MX"/>
        </w:rPr>
        <w:t>Tesis P./J.47/95, Semanario Judicial de la Federación y su Gaceta, Novena Época, t. II, diciembre de 1995, p. 133.</w:t>
      </w:r>
      <w:bookmarkEnd w:id="18"/>
    </w:p>
    <w:sectPr w:rsidR="009436ED" w:rsidRPr="0007278D" w:rsidSect="00581E03">
      <w:headerReference w:type="even" r:id="rId10"/>
      <w:headerReference w:type="default" r:id="rId11"/>
      <w:footerReference w:type="even" r:id="rId12"/>
      <w:footerReference w:type="default" r:id="rId13"/>
      <w:headerReference w:type="first" r:id="rId14"/>
      <w:footerReference w:type="first" r:id="rId15"/>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E6C9" w14:textId="77777777" w:rsidR="000F2EB9" w:rsidRDefault="000F2EB9" w:rsidP="001F77A9">
      <w:pPr>
        <w:spacing w:after="0" w:line="240" w:lineRule="auto"/>
      </w:pPr>
      <w:r>
        <w:separator/>
      </w:r>
    </w:p>
  </w:endnote>
  <w:endnote w:type="continuationSeparator" w:id="0">
    <w:p w14:paraId="17895660" w14:textId="77777777" w:rsidR="000F2EB9" w:rsidRDefault="000F2EB9" w:rsidP="001F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ource Sans 3">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163B" w14:textId="725E343D" w:rsidR="00581E03" w:rsidRPr="00581E03" w:rsidRDefault="00581E03" w:rsidP="00581E03">
    <w:pPr>
      <w:tabs>
        <w:tab w:val="center" w:pos="4419"/>
        <w:tab w:val="right" w:pos="8838"/>
      </w:tabs>
      <w:spacing w:after="0" w:line="240" w:lineRule="auto"/>
      <w:rPr>
        <w:rFonts w:ascii="Unna" w:eastAsia="Aptos" w:hAnsi="Unna" w:cs="Times New Roman"/>
        <w:kern w:val="2"/>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F7DB" w14:textId="574F2E62" w:rsidR="00CF6AEF" w:rsidRPr="00CF6AEF" w:rsidRDefault="00CF6AEF" w:rsidP="00CF6AEF">
    <w:pPr>
      <w:tabs>
        <w:tab w:val="center" w:pos="4419"/>
        <w:tab w:val="right" w:pos="8838"/>
      </w:tabs>
      <w:spacing w:after="0" w:line="240" w:lineRule="auto"/>
      <w:rPr>
        <w:rFonts w:ascii="Unna" w:eastAsia="Aptos" w:hAnsi="Unna" w:cs="Times New Roman"/>
        <w:b/>
        <w:bCs/>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ACED" w14:textId="77777777" w:rsidR="00581E03" w:rsidRDefault="00581E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03A4E" w14:textId="77777777" w:rsidR="000F2EB9" w:rsidRDefault="000F2EB9" w:rsidP="001F77A9">
      <w:pPr>
        <w:spacing w:after="0" w:line="240" w:lineRule="auto"/>
      </w:pPr>
      <w:r>
        <w:separator/>
      </w:r>
    </w:p>
  </w:footnote>
  <w:footnote w:type="continuationSeparator" w:id="0">
    <w:p w14:paraId="23056DCC" w14:textId="77777777" w:rsidR="000F2EB9" w:rsidRDefault="000F2EB9" w:rsidP="001F77A9">
      <w:pPr>
        <w:spacing w:after="0" w:line="240" w:lineRule="auto"/>
      </w:pPr>
      <w:r>
        <w:continuationSeparator/>
      </w:r>
    </w:p>
  </w:footnote>
  <w:footnote w:id="1">
    <w:p w14:paraId="6A7BCD38" w14:textId="4E27BC0A" w:rsidR="00F41C39" w:rsidRPr="00581E03" w:rsidRDefault="00F41C39" w:rsidP="00581E03">
      <w:pPr>
        <w:pStyle w:val="BIOLpie"/>
        <w:rPr>
          <w:rFonts w:ascii="Aptos" w:hAnsi="Aptos"/>
          <w:sz w:val="18"/>
          <w:szCs w:val="18"/>
        </w:rPr>
      </w:pPr>
      <w:r w:rsidRPr="00581E03">
        <w:rPr>
          <w:rStyle w:val="Refdenotaalpie"/>
          <w:rFonts w:ascii="Aptos" w:hAnsi="Aptos"/>
          <w:sz w:val="18"/>
          <w:szCs w:val="18"/>
        </w:rPr>
        <w:footnoteRef/>
      </w:r>
      <w:r w:rsidRPr="00581E03">
        <w:rPr>
          <w:rFonts w:ascii="Aptos" w:hAnsi="Aptos"/>
          <w:sz w:val="18"/>
          <w:szCs w:val="18"/>
        </w:rPr>
        <w:t xml:space="preserve"> Recibido: 03/11/2025                                                                                                                  </w:t>
      </w:r>
      <w:r w:rsidR="00581E03" w:rsidRPr="00581E03">
        <w:rPr>
          <w:rFonts w:ascii="Aptos" w:hAnsi="Aptos"/>
          <w:sz w:val="18"/>
          <w:szCs w:val="18"/>
        </w:rPr>
        <w:t xml:space="preserve">                                               </w:t>
      </w:r>
      <w:r w:rsidRPr="00581E03">
        <w:rPr>
          <w:rFonts w:ascii="Aptos" w:hAnsi="Aptos"/>
          <w:sz w:val="18"/>
          <w:szCs w:val="18"/>
        </w:rPr>
        <w:t xml:space="preserve">Aceptado: </w:t>
      </w:r>
      <w:r w:rsidR="00324EFC" w:rsidRPr="00581E03">
        <w:rPr>
          <w:rFonts w:ascii="Aptos" w:hAnsi="Aptos"/>
          <w:sz w:val="18"/>
          <w:szCs w:val="18"/>
        </w:rPr>
        <w:t>19/12/2025</w:t>
      </w:r>
    </w:p>
  </w:footnote>
  <w:footnote w:id="2">
    <w:p w14:paraId="660945EA" w14:textId="49EB9693" w:rsidR="005964F3" w:rsidRPr="00581E03" w:rsidRDefault="005964F3" w:rsidP="00581E03">
      <w:pPr>
        <w:pStyle w:val="BIOLpie"/>
        <w:rPr>
          <w:rFonts w:ascii="Aptos" w:hAnsi="Aptos"/>
          <w:bC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
          <w:bCs/>
          <w:color w:val="000000" w:themeColor="text1"/>
          <w:sz w:val="18"/>
          <w:szCs w:val="18"/>
        </w:rPr>
        <w:t>*</w:t>
      </w:r>
      <w:r w:rsidRPr="00581E03">
        <w:rPr>
          <w:rFonts w:ascii="Aptos" w:hAnsi="Aptos"/>
          <w:bCs/>
          <w:color w:val="000000" w:themeColor="text1"/>
          <w:sz w:val="18"/>
          <w:szCs w:val="18"/>
        </w:rPr>
        <w:t>José Julio Nares Hernández</w:t>
      </w:r>
      <w:r w:rsidR="00243D7E" w:rsidRPr="00581E03">
        <w:rPr>
          <w:rFonts w:ascii="Aptos" w:hAnsi="Aptos"/>
          <w:bCs/>
          <w:color w:val="000000" w:themeColor="text1"/>
          <w:sz w:val="18"/>
          <w:szCs w:val="18"/>
        </w:rPr>
        <w:t>,</w:t>
      </w:r>
      <w:r w:rsidRPr="00581E03">
        <w:rPr>
          <w:rFonts w:ascii="Aptos" w:hAnsi="Aptos"/>
          <w:bCs/>
          <w:color w:val="000000" w:themeColor="text1"/>
          <w:sz w:val="18"/>
          <w:szCs w:val="18"/>
        </w:rPr>
        <w:t xml:space="preserve"> Dr. En Derecho </w:t>
      </w:r>
      <w:r w:rsidR="00822BF9" w:rsidRPr="00581E03">
        <w:rPr>
          <w:rFonts w:ascii="Aptos" w:hAnsi="Aptos"/>
          <w:bCs/>
          <w:color w:val="000000" w:themeColor="text1"/>
          <w:sz w:val="18"/>
          <w:szCs w:val="18"/>
        </w:rPr>
        <w:t xml:space="preserve">por el Instituto Nacional de Desarrollo Jurídico (INADEJ). </w:t>
      </w:r>
      <w:r w:rsidRPr="00581E03">
        <w:rPr>
          <w:rFonts w:ascii="Aptos" w:hAnsi="Aptos"/>
          <w:bCs/>
          <w:color w:val="000000" w:themeColor="text1"/>
          <w:sz w:val="18"/>
          <w:szCs w:val="18"/>
        </w:rPr>
        <w:t>Universidad Autónoma del Estado de México. Estados Unidos Mexicanos.</w:t>
      </w:r>
      <w:r w:rsidR="00822BF9" w:rsidRPr="00581E03">
        <w:rPr>
          <w:rFonts w:ascii="Aptos" w:hAnsi="Aptos"/>
          <w:bCs/>
          <w:color w:val="000000" w:themeColor="text1"/>
          <w:sz w:val="18"/>
          <w:szCs w:val="18"/>
        </w:rPr>
        <w:t xml:space="preserve"> Profesor investigador de Tiempo Completo.</w:t>
      </w:r>
      <w:r w:rsidRPr="00581E03">
        <w:rPr>
          <w:rFonts w:ascii="Aptos" w:hAnsi="Aptos"/>
          <w:bCs/>
          <w:color w:val="000000" w:themeColor="text1"/>
          <w:sz w:val="18"/>
          <w:szCs w:val="18"/>
        </w:rPr>
        <w:t xml:space="preserve"> </w:t>
      </w:r>
      <w:hyperlink r:id="rId1" w:history="1">
        <w:r w:rsidR="00822BF9" w:rsidRPr="00581E03">
          <w:rPr>
            <w:rStyle w:val="Hipervnculo"/>
            <w:rFonts w:ascii="Aptos" w:hAnsi="Aptos"/>
            <w:bCs/>
            <w:color w:val="0070C0"/>
            <w:sz w:val="18"/>
            <w:szCs w:val="18"/>
          </w:rPr>
          <w:t>jjnaresh@uaemex.mx</w:t>
        </w:r>
      </w:hyperlink>
      <w:r w:rsidR="00822BF9" w:rsidRPr="00581E03">
        <w:rPr>
          <w:rFonts w:ascii="Aptos" w:hAnsi="Aptos"/>
          <w:bCs/>
          <w:color w:val="000000" w:themeColor="text1"/>
          <w:sz w:val="18"/>
          <w:szCs w:val="18"/>
        </w:rPr>
        <w:t xml:space="preserve">. </w:t>
      </w:r>
      <w:hyperlink r:id="rId2" w:history="1">
        <w:r w:rsidRPr="00581E03">
          <w:rPr>
            <w:rStyle w:val="Hipervnculo"/>
            <w:rFonts w:ascii="Aptos" w:hAnsi="Aptos"/>
            <w:bCs/>
            <w:color w:val="0070C0"/>
            <w:sz w:val="18"/>
            <w:szCs w:val="18"/>
          </w:rPr>
          <w:t>http://orcid.org/0000-0001-5402-1227</w:t>
        </w:r>
      </w:hyperlink>
      <w:r w:rsidRPr="00581E03">
        <w:rPr>
          <w:rFonts w:ascii="Aptos" w:hAnsi="Aptos"/>
          <w:bCs/>
          <w:color w:val="000000" w:themeColor="text1"/>
          <w:sz w:val="18"/>
          <w:szCs w:val="18"/>
        </w:rPr>
        <w:t xml:space="preserve">. </w:t>
      </w:r>
      <w:r w:rsidR="00822BF9" w:rsidRPr="00581E03">
        <w:rPr>
          <w:rFonts w:ascii="Aptos" w:hAnsi="Aptos"/>
          <w:bCs/>
          <w:color w:val="000000" w:themeColor="text1"/>
          <w:sz w:val="18"/>
          <w:szCs w:val="18"/>
        </w:rPr>
        <w:t xml:space="preserve">Lic. Derecho por la </w:t>
      </w:r>
      <w:r w:rsidR="00E66056" w:rsidRPr="00581E03">
        <w:rPr>
          <w:rFonts w:ascii="Aptos" w:hAnsi="Aptos"/>
          <w:bCs/>
          <w:color w:val="000000" w:themeColor="text1"/>
          <w:sz w:val="18"/>
          <w:szCs w:val="18"/>
        </w:rPr>
        <w:t xml:space="preserve">Facultad de Derecho de la </w:t>
      </w:r>
      <w:r w:rsidR="00822BF9" w:rsidRPr="00581E03">
        <w:rPr>
          <w:rFonts w:ascii="Aptos" w:hAnsi="Aptos"/>
          <w:bCs/>
          <w:color w:val="000000" w:themeColor="text1"/>
          <w:sz w:val="18"/>
          <w:szCs w:val="18"/>
        </w:rPr>
        <w:t xml:space="preserve">Universidad Nacional Autónoma de México. Mtría. </w:t>
      </w:r>
      <w:r w:rsidR="00E66056" w:rsidRPr="00581E03">
        <w:rPr>
          <w:rFonts w:ascii="Aptos" w:hAnsi="Aptos"/>
          <w:bCs/>
          <w:color w:val="000000" w:themeColor="text1"/>
          <w:sz w:val="18"/>
          <w:szCs w:val="18"/>
        </w:rPr>
        <w:t>e</w:t>
      </w:r>
      <w:r w:rsidR="00822BF9" w:rsidRPr="00581E03">
        <w:rPr>
          <w:rFonts w:ascii="Aptos" w:hAnsi="Aptos"/>
          <w:bCs/>
          <w:color w:val="000000" w:themeColor="text1"/>
          <w:sz w:val="18"/>
          <w:szCs w:val="18"/>
        </w:rPr>
        <w:t>n Ciencias Jurídico Penales por el Instituto Nacional de Ciencias Penales (INACIPE). Miembro del Sistema Nacional de Investigadores (</w:t>
      </w:r>
      <w:r w:rsidR="00243D7E" w:rsidRPr="00581E03">
        <w:rPr>
          <w:rFonts w:ascii="Aptos" w:hAnsi="Aptos"/>
          <w:bCs/>
          <w:color w:val="000000" w:themeColor="text1"/>
          <w:sz w:val="18"/>
          <w:szCs w:val="18"/>
        </w:rPr>
        <w:t>n</w:t>
      </w:r>
      <w:r w:rsidR="00822BF9" w:rsidRPr="00581E03">
        <w:rPr>
          <w:rFonts w:ascii="Aptos" w:hAnsi="Aptos"/>
          <w:bCs/>
          <w:color w:val="000000" w:themeColor="text1"/>
          <w:sz w:val="18"/>
          <w:szCs w:val="18"/>
        </w:rPr>
        <w:t>ivel 1). Línea</w:t>
      </w:r>
      <w:r w:rsidR="00E66056" w:rsidRPr="00581E03">
        <w:rPr>
          <w:rFonts w:ascii="Aptos" w:hAnsi="Aptos"/>
          <w:bCs/>
          <w:color w:val="000000" w:themeColor="text1"/>
          <w:sz w:val="18"/>
          <w:szCs w:val="18"/>
        </w:rPr>
        <w:t>s</w:t>
      </w:r>
      <w:r w:rsidR="00822BF9" w:rsidRPr="00581E03">
        <w:rPr>
          <w:rFonts w:ascii="Aptos" w:hAnsi="Aptos"/>
          <w:bCs/>
          <w:color w:val="000000" w:themeColor="text1"/>
          <w:sz w:val="18"/>
          <w:szCs w:val="18"/>
        </w:rPr>
        <w:t xml:space="preserve"> de investigación en </w:t>
      </w:r>
      <w:r w:rsidR="00243D7E" w:rsidRPr="00581E03">
        <w:rPr>
          <w:rFonts w:ascii="Aptos" w:hAnsi="Aptos"/>
          <w:bCs/>
          <w:color w:val="000000" w:themeColor="text1"/>
          <w:sz w:val="18"/>
          <w:szCs w:val="18"/>
        </w:rPr>
        <w:t>derechos humanos, y en proceso penal acusatorio</w:t>
      </w:r>
      <w:r w:rsidR="00822BF9" w:rsidRPr="00581E03">
        <w:rPr>
          <w:rFonts w:ascii="Aptos" w:hAnsi="Aptos"/>
          <w:bCs/>
          <w:color w:val="000000" w:themeColor="text1"/>
          <w:sz w:val="18"/>
          <w:szCs w:val="18"/>
        </w:rPr>
        <w:t xml:space="preserve">. Líder del Cuerpo Académico </w:t>
      </w:r>
      <w:r w:rsidR="00E66056" w:rsidRPr="00581E03">
        <w:rPr>
          <w:rFonts w:ascii="Aptos" w:hAnsi="Aptos"/>
          <w:bCs/>
          <w:color w:val="000000" w:themeColor="text1"/>
          <w:sz w:val="18"/>
          <w:szCs w:val="18"/>
        </w:rPr>
        <w:t xml:space="preserve">Sistemas Complejos, Sustentabilidad e Innovación. </w:t>
      </w:r>
    </w:p>
    <w:p w14:paraId="771199DC" w14:textId="77777777" w:rsidR="005964F3" w:rsidRPr="00581E03" w:rsidRDefault="005964F3" w:rsidP="00581E03">
      <w:pPr>
        <w:pStyle w:val="BIOLpie"/>
        <w:rPr>
          <w:rFonts w:ascii="Aptos" w:hAnsi="Aptos"/>
          <w:color w:val="000000" w:themeColor="text1"/>
          <w:sz w:val="18"/>
          <w:szCs w:val="18"/>
          <w:lang w:val="es-ES"/>
        </w:rPr>
      </w:pPr>
    </w:p>
  </w:footnote>
  <w:footnote w:id="3">
    <w:p w14:paraId="587D6F2A" w14:textId="7777777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Constitución Política de los Estados Unidos Mexicanos, Congreso Constituyente, 5 de febrero de 1917, Diario Oficial de la Federación.</w:t>
      </w:r>
    </w:p>
  </w:footnote>
  <w:footnote w:id="4">
    <w:p w14:paraId="00315E61" w14:textId="325D734D" w:rsidR="00360385" w:rsidRPr="00581E03" w:rsidRDefault="00360385" w:rsidP="00581E03">
      <w:pPr>
        <w:pStyle w:val="BIOLpie"/>
        <w:rPr>
          <w:rFonts w:ascii="Aptos" w:hAnsi="Aptos"/>
          <w:color w:val="000000" w:themeColor="text1"/>
          <w:sz w:val="18"/>
          <w:szCs w:val="18"/>
          <w:lang w:val="es-ES"/>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Comisión Nacional de los Derechos Humanos. Congreso de los Estados Unidos Mexicanos, </w:t>
      </w:r>
      <w:r w:rsidRPr="00581E03">
        <w:rPr>
          <w:rFonts w:ascii="Aptos" w:hAnsi="Aptos"/>
          <w:i/>
          <w:iCs/>
          <w:color w:val="000000" w:themeColor="text1"/>
          <w:sz w:val="18"/>
          <w:szCs w:val="18"/>
        </w:rPr>
        <w:t>D</w:t>
      </w:r>
      <w:r w:rsidR="00192706" w:rsidRPr="00581E03">
        <w:rPr>
          <w:rFonts w:ascii="Aptos" w:hAnsi="Aptos"/>
          <w:i/>
          <w:iCs/>
          <w:color w:val="000000" w:themeColor="text1"/>
          <w:sz w:val="18"/>
          <w:szCs w:val="18"/>
        </w:rPr>
        <w:t xml:space="preserve">iario </w:t>
      </w:r>
      <w:r w:rsidRPr="00581E03">
        <w:rPr>
          <w:rFonts w:ascii="Aptos" w:hAnsi="Aptos"/>
          <w:i/>
          <w:iCs/>
          <w:color w:val="000000" w:themeColor="text1"/>
          <w:sz w:val="18"/>
          <w:szCs w:val="18"/>
        </w:rPr>
        <w:t>O</w:t>
      </w:r>
      <w:r w:rsidR="00192706" w:rsidRPr="00581E03">
        <w:rPr>
          <w:rFonts w:ascii="Aptos" w:hAnsi="Aptos"/>
          <w:i/>
          <w:iCs/>
          <w:color w:val="000000" w:themeColor="text1"/>
          <w:sz w:val="18"/>
          <w:szCs w:val="18"/>
        </w:rPr>
        <w:t xml:space="preserve">ficial de la </w:t>
      </w:r>
      <w:r w:rsidRPr="00581E03">
        <w:rPr>
          <w:rFonts w:ascii="Aptos" w:hAnsi="Aptos"/>
          <w:i/>
          <w:iCs/>
          <w:color w:val="000000" w:themeColor="text1"/>
          <w:sz w:val="18"/>
          <w:szCs w:val="18"/>
        </w:rPr>
        <w:t>F</w:t>
      </w:r>
      <w:r w:rsidR="00192706" w:rsidRPr="00581E03">
        <w:rPr>
          <w:rFonts w:ascii="Aptos" w:hAnsi="Aptos"/>
          <w:i/>
          <w:iCs/>
          <w:color w:val="000000" w:themeColor="text1"/>
          <w:sz w:val="18"/>
          <w:szCs w:val="18"/>
        </w:rPr>
        <w:t>ederación</w:t>
      </w:r>
      <w:r w:rsidR="00192706" w:rsidRPr="00581E03">
        <w:rPr>
          <w:rFonts w:ascii="Aptos" w:hAnsi="Aptos"/>
          <w:color w:val="000000" w:themeColor="text1"/>
          <w:sz w:val="18"/>
          <w:szCs w:val="18"/>
        </w:rPr>
        <w:t>,</w:t>
      </w:r>
      <w:r w:rsidRPr="00581E03">
        <w:rPr>
          <w:rFonts w:ascii="Aptos" w:hAnsi="Aptos"/>
          <w:color w:val="000000" w:themeColor="text1"/>
          <w:sz w:val="18"/>
          <w:szCs w:val="18"/>
        </w:rPr>
        <w:t xml:space="preserve"> 6 de junio de 1990.</w:t>
      </w:r>
    </w:p>
  </w:footnote>
  <w:footnote w:id="5">
    <w:p w14:paraId="687565AC" w14:textId="46F0BCD1"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Ley de la Comisión Nacional de los Derechos Humanos, </w:t>
      </w:r>
      <w:r w:rsidRPr="00581E03">
        <w:rPr>
          <w:rFonts w:ascii="Aptos" w:hAnsi="Aptos"/>
          <w:color w:val="000000" w:themeColor="text1"/>
          <w:sz w:val="18"/>
          <w:szCs w:val="18"/>
        </w:rPr>
        <w:t>Congreso de los Estados Unidos Mexicanos</w:t>
      </w:r>
      <w:r w:rsidRPr="00581E03">
        <w:rPr>
          <w:rFonts w:ascii="Aptos" w:hAnsi="Aptos"/>
          <w:bCs/>
          <w:color w:val="000000" w:themeColor="text1"/>
          <w:sz w:val="18"/>
          <w:szCs w:val="18"/>
        </w:rPr>
        <w:t xml:space="preserve">, 29 de junio de 1992, </w:t>
      </w:r>
      <w:r w:rsidRPr="00581E03">
        <w:rPr>
          <w:rFonts w:ascii="Aptos" w:hAnsi="Aptos"/>
          <w:bCs/>
          <w:i/>
          <w:iCs/>
          <w:color w:val="000000" w:themeColor="text1"/>
          <w:sz w:val="18"/>
          <w:szCs w:val="18"/>
        </w:rPr>
        <w:t>Diario Oficial de la Federación</w:t>
      </w:r>
      <w:r w:rsidRPr="00581E03">
        <w:rPr>
          <w:rFonts w:ascii="Aptos" w:hAnsi="Aptos"/>
          <w:bCs/>
          <w:color w:val="000000" w:themeColor="text1"/>
          <w:sz w:val="18"/>
          <w:szCs w:val="18"/>
        </w:rPr>
        <w:t>.</w:t>
      </w:r>
    </w:p>
  </w:footnote>
  <w:footnote w:id="6">
    <w:p w14:paraId="411741D5" w14:textId="21E06C3A"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Corte Interamericana de Derechos Humanos, 08 de enero de 1998, </w:t>
      </w:r>
      <w:r w:rsidRPr="00581E03">
        <w:rPr>
          <w:rFonts w:ascii="Aptos" w:hAnsi="Aptos"/>
          <w:i/>
          <w:iCs/>
          <w:color w:val="000000" w:themeColor="text1"/>
          <w:sz w:val="18"/>
          <w:szCs w:val="18"/>
        </w:rPr>
        <w:t>Diario Oficial de la Federación</w:t>
      </w:r>
      <w:r w:rsidR="00E26996" w:rsidRPr="00581E03">
        <w:rPr>
          <w:rFonts w:ascii="Aptos" w:hAnsi="Aptos"/>
          <w:color w:val="000000" w:themeColor="text1"/>
          <w:sz w:val="18"/>
          <w:szCs w:val="18"/>
        </w:rPr>
        <w:t>.</w:t>
      </w:r>
    </w:p>
  </w:footnote>
  <w:footnote w:id="7">
    <w:p w14:paraId="4C16D87A" w14:textId="70FE1A66"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26996" w:rsidRPr="00581E03">
        <w:rPr>
          <w:rFonts w:ascii="Aptos" w:hAnsi="Aptos"/>
          <w:bCs/>
          <w:color w:val="000000" w:themeColor="text1"/>
          <w:sz w:val="18"/>
          <w:szCs w:val="18"/>
        </w:rPr>
        <w:t xml:space="preserve">Antonio </w:t>
      </w:r>
      <w:r w:rsidRPr="00581E03">
        <w:rPr>
          <w:rFonts w:ascii="Aptos" w:hAnsi="Aptos"/>
          <w:bCs/>
          <w:color w:val="000000" w:themeColor="text1"/>
          <w:sz w:val="18"/>
          <w:szCs w:val="18"/>
        </w:rPr>
        <w:t xml:space="preserve">Pérez Luño, </w:t>
      </w:r>
      <w:r w:rsidRPr="00581E03">
        <w:rPr>
          <w:rFonts w:ascii="Aptos" w:hAnsi="Aptos"/>
          <w:bCs/>
          <w:i/>
          <w:iCs/>
          <w:color w:val="000000" w:themeColor="text1"/>
          <w:sz w:val="18"/>
          <w:szCs w:val="18"/>
        </w:rPr>
        <w:t xml:space="preserve">Derechos </w:t>
      </w:r>
      <w:r w:rsidR="00E26996" w:rsidRPr="00581E03">
        <w:rPr>
          <w:rFonts w:ascii="Aptos" w:hAnsi="Aptos"/>
          <w:bCs/>
          <w:i/>
          <w:iCs/>
          <w:color w:val="000000" w:themeColor="text1"/>
          <w:sz w:val="18"/>
          <w:szCs w:val="18"/>
        </w:rPr>
        <w:t>h</w:t>
      </w:r>
      <w:r w:rsidRPr="00581E03">
        <w:rPr>
          <w:rFonts w:ascii="Aptos" w:hAnsi="Aptos"/>
          <w:bCs/>
          <w:i/>
          <w:iCs/>
          <w:color w:val="000000" w:themeColor="text1"/>
          <w:sz w:val="18"/>
          <w:szCs w:val="18"/>
        </w:rPr>
        <w:t xml:space="preserve">umanos, </w:t>
      </w:r>
      <w:r w:rsidR="00E26996" w:rsidRPr="00581E03">
        <w:rPr>
          <w:rFonts w:ascii="Aptos" w:hAnsi="Aptos"/>
          <w:bCs/>
          <w:i/>
          <w:iCs/>
          <w:color w:val="000000" w:themeColor="text1"/>
          <w:sz w:val="18"/>
          <w:szCs w:val="18"/>
        </w:rPr>
        <w:t>E</w:t>
      </w:r>
      <w:r w:rsidRPr="00581E03">
        <w:rPr>
          <w:rFonts w:ascii="Aptos" w:hAnsi="Aptos"/>
          <w:bCs/>
          <w:i/>
          <w:iCs/>
          <w:color w:val="000000" w:themeColor="text1"/>
          <w:sz w:val="18"/>
          <w:szCs w:val="18"/>
        </w:rPr>
        <w:t>stado y Constitución</w:t>
      </w:r>
      <w:r w:rsidR="00E26996" w:rsidRPr="00581E03">
        <w:rPr>
          <w:rFonts w:ascii="Aptos" w:hAnsi="Aptos"/>
          <w:bCs/>
          <w:color w:val="000000" w:themeColor="text1"/>
          <w:sz w:val="18"/>
          <w:szCs w:val="18"/>
        </w:rPr>
        <w:t xml:space="preserve"> (</w:t>
      </w:r>
      <w:r w:rsidRPr="00581E03">
        <w:rPr>
          <w:rFonts w:ascii="Aptos" w:hAnsi="Aptos"/>
          <w:bCs/>
          <w:color w:val="000000" w:themeColor="text1"/>
          <w:sz w:val="18"/>
          <w:szCs w:val="18"/>
        </w:rPr>
        <w:t>Madrid</w:t>
      </w:r>
      <w:r w:rsidR="00E26996" w:rsidRPr="00581E03">
        <w:rPr>
          <w:rFonts w:ascii="Aptos" w:hAnsi="Aptos"/>
          <w:bCs/>
          <w:color w:val="000000" w:themeColor="text1"/>
          <w:sz w:val="18"/>
          <w:szCs w:val="18"/>
        </w:rPr>
        <w:t>:</w:t>
      </w:r>
      <w:r w:rsidRPr="00581E03">
        <w:rPr>
          <w:rFonts w:ascii="Aptos" w:hAnsi="Aptos"/>
          <w:bCs/>
          <w:color w:val="000000" w:themeColor="text1"/>
          <w:sz w:val="18"/>
          <w:szCs w:val="18"/>
        </w:rPr>
        <w:t xml:space="preserve"> Tecnos, 2018</w:t>
      </w:r>
      <w:r w:rsidR="00E26996"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8">
    <w:p w14:paraId="237BA7E0" w14:textId="7777777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Corte Interamericana de Derechos Humanos, Opinión consultiva OC-8/87, 1987, párrafo 25.</w:t>
      </w:r>
    </w:p>
  </w:footnote>
  <w:footnote w:id="9">
    <w:p w14:paraId="59E3F0E6" w14:textId="1CE88915"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8B0CFF" w:rsidRPr="00581E03">
        <w:rPr>
          <w:rFonts w:ascii="Aptos" w:hAnsi="Aptos"/>
          <w:bCs/>
          <w:color w:val="000000" w:themeColor="text1"/>
          <w:sz w:val="18"/>
          <w:szCs w:val="18"/>
        </w:rPr>
        <w:t xml:space="preserve">Carlos </w:t>
      </w:r>
      <w:r w:rsidRPr="00581E03">
        <w:rPr>
          <w:rFonts w:ascii="Aptos" w:hAnsi="Aptos"/>
          <w:bCs/>
          <w:color w:val="000000" w:themeColor="text1"/>
          <w:sz w:val="18"/>
          <w:szCs w:val="18"/>
        </w:rPr>
        <w:t xml:space="preserve">Ruiz Miguel, </w:t>
      </w:r>
      <w:r w:rsidRPr="00581E03">
        <w:rPr>
          <w:rFonts w:ascii="Aptos" w:hAnsi="Aptos"/>
          <w:bCs/>
          <w:i/>
          <w:iCs/>
          <w:color w:val="000000" w:themeColor="text1"/>
          <w:sz w:val="18"/>
          <w:szCs w:val="18"/>
        </w:rPr>
        <w:t>Derechos fundamentales y derecho procesal constitucional</w:t>
      </w:r>
      <w:r w:rsidR="008B0CFF" w:rsidRPr="00581E03">
        <w:rPr>
          <w:rFonts w:ascii="Aptos" w:hAnsi="Aptos"/>
          <w:bCs/>
          <w:color w:val="000000" w:themeColor="text1"/>
          <w:sz w:val="18"/>
          <w:szCs w:val="18"/>
        </w:rPr>
        <w:t xml:space="preserve"> (</w:t>
      </w:r>
      <w:r w:rsidRPr="00581E03">
        <w:rPr>
          <w:rFonts w:ascii="Aptos" w:hAnsi="Aptos"/>
          <w:bCs/>
          <w:color w:val="000000" w:themeColor="text1"/>
          <w:sz w:val="18"/>
          <w:szCs w:val="18"/>
        </w:rPr>
        <w:t>México</w:t>
      </w:r>
      <w:r w:rsidR="008B0CFF" w:rsidRPr="00581E03">
        <w:rPr>
          <w:rFonts w:ascii="Aptos" w:hAnsi="Aptos"/>
          <w:bCs/>
          <w:color w:val="000000" w:themeColor="text1"/>
          <w:sz w:val="18"/>
          <w:szCs w:val="18"/>
        </w:rPr>
        <w:t>:</w:t>
      </w:r>
      <w:r w:rsidRPr="00581E03">
        <w:rPr>
          <w:rFonts w:ascii="Aptos" w:hAnsi="Aptos"/>
          <w:bCs/>
          <w:color w:val="000000" w:themeColor="text1"/>
          <w:sz w:val="18"/>
          <w:szCs w:val="18"/>
        </w:rPr>
        <w:t xml:space="preserve"> Porrúa, 2014</w:t>
      </w:r>
      <w:r w:rsidR="008B0CFF"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10">
    <w:p w14:paraId="189D8E0F" w14:textId="3525F450"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8B0CFF" w:rsidRPr="00581E03">
        <w:rPr>
          <w:rFonts w:ascii="Aptos" w:hAnsi="Aptos"/>
          <w:color w:val="000000" w:themeColor="text1"/>
          <w:sz w:val="18"/>
          <w:szCs w:val="18"/>
        </w:rPr>
        <w:t xml:space="preserve">Arturo </w:t>
      </w:r>
      <w:r w:rsidRPr="00581E03">
        <w:rPr>
          <w:rFonts w:ascii="Aptos" w:hAnsi="Aptos"/>
          <w:color w:val="000000" w:themeColor="text1"/>
          <w:sz w:val="18"/>
          <w:szCs w:val="18"/>
        </w:rPr>
        <w:t xml:space="preserve">Garita Alonso, </w:t>
      </w:r>
      <w:r w:rsidR="008B0CFF" w:rsidRPr="00581E03">
        <w:rPr>
          <w:rFonts w:ascii="Aptos" w:hAnsi="Aptos"/>
          <w:color w:val="000000" w:themeColor="text1"/>
          <w:sz w:val="18"/>
          <w:szCs w:val="18"/>
        </w:rPr>
        <w:t xml:space="preserve">Mario </w:t>
      </w:r>
      <w:r w:rsidRPr="00581E03">
        <w:rPr>
          <w:rFonts w:ascii="Aptos" w:hAnsi="Aptos"/>
          <w:color w:val="000000" w:themeColor="text1"/>
          <w:sz w:val="18"/>
          <w:szCs w:val="18"/>
        </w:rPr>
        <w:t>López García</w:t>
      </w:r>
      <w:r w:rsidR="008B0CFF" w:rsidRPr="00581E03">
        <w:rPr>
          <w:rFonts w:ascii="Aptos" w:hAnsi="Aptos"/>
          <w:color w:val="000000" w:themeColor="text1"/>
          <w:sz w:val="18"/>
          <w:szCs w:val="18"/>
        </w:rPr>
        <w:t xml:space="preserve"> y</w:t>
      </w:r>
      <w:r w:rsidRPr="00581E03">
        <w:rPr>
          <w:rFonts w:ascii="Aptos" w:hAnsi="Aptos"/>
          <w:color w:val="000000" w:themeColor="text1"/>
          <w:sz w:val="18"/>
          <w:szCs w:val="18"/>
        </w:rPr>
        <w:t xml:space="preserve"> </w:t>
      </w:r>
      <w:r w:rsidR="008B0CFF" w:rsidRPr="00581E03">
        <w:rPr>
          <w:rFonts w:ascii="Aptos" w:hAnsi="Aptos"/>
          <w:color w:val="000000" w:themeColor="text1"/>
          <w:sz w:val="18"/>
          <w:szCs w:val="18"/>
        </w:rPr>
        <w:t xml:space="preserve">Jaime </w:t>
      </w:r>
      <w:r w:rsidRPr="00581E03">
        <w:rPr>
          <w:rFonts w:ascii="Aptos" w:hAnsi="Aptos"/>
          <w:color w:val="000000" w:themeColor="text1"/>
          <w:sz w:val="18"/>
          <w:szCs w:val="18"/>
        </w:rPr>
        <w:t>Mena Álvarez</w:t>
      </w:r>
      <w:r w:rsidR="008B0CFF" w:rsidRPr="00581E03">
        <w:rPr>
          <w:rFonts w:ascii="Aptos" w:hAnsi="Aptos"/>
          <w:color w:val="000000" w:themeColor="text1"/>
          <w:sz w:val="18"/>
          <w:szCs w:val="18"/>
        </w:rPr>
        <w:t>,</w:t>
      </w:r>
      <w:r w:rsidRPr="00581E03">
        <w:rPr>
          <w:rFonts w:ascii="Aptos" w:hAnsi="Aptos"/>
          <w:color w:val="000000" w:themeColor="text1"/>
          <w:sz w:val="18"/>
          <w:szCs w:val="18"/>
        </w:rPr>
        <w:t xml:space="preserve"> </w:t>
      </w:r>
      <w:r w:rsidRPr="00581E03">
        <w:rPr>
          <w:rFonts w:ascii="Aptos" w:hAnsi="Aptos"/>
          <w:i/>
          <w:iCs/>
          <w:color w:val="000000" w:themeColor="text1"/>
          <w:sz w:val="18"/>
          <w:szCs w:val="18"/>
        </w:rPr>
        <w:t xml:space="preserve">Los </w:t>
      </w:r>
      <w:r w:rsidR="008B0CFF" w:rsidRPr="00581E03">
        <w:rPr>
          <w:rFonts w:ascii="Aptos" w:hAnsi="Aptos"/>
          <w:i/>
          <w:iCs/>
          <w:color w:val="000000" w:themeColor="text1"/>
          <w:sz w:val="18"/>
          <w:szCs w:val="18"/>
        </w:rPr>
        <w:t>medios de control constitucional en</w:t>
      </w:r>
      <w:r w:rsidRPr="00581E03">
        <w:rPr>
          <w:rFonts w:ascii="Aptos" w:hAnsi="Aptos"/>
          <w:i/>
          <w:iCs/>
          <w:color w:val="000000" w:themeColor="text1"/>
          <w:sz w:val="18"/>
          <w:szCs w:val="18"/>
        </w:rPr>
        <w:t xml:space="preserve"> México</w:t>
      </w:r>
      <w:r w:rsidRPr="00581E03">
        <w:rPr>
          <w:rFonts w:ascii="Aptos" w:hAnsi="Aptos"/>
          <w:color w:val="000000" w:themeColor="text1"/>
          <w:sz w:val="18"/>
          <w:szCs w:val="18"/>
        </w:rPr>
        <w:t xml:space="preserve"> </w:t>
      </w:r>
      <w:r w:rsidR="008B0CFF" w:rsidRPr="00581E03">
        <w:rPr>
          <w:rFonts w:ascii="Aptos" w:hAnsi="Aptos"/>
          <w:color w:val="000000" w:themeColor="text1"/>
          <w:sz w:val="18"/>
          <w:szCs w:val="18"/>
        </w:rPr>
        <w:t>(</w:t>
      </w:r>
      <w:r w:rsidRPr="00581E03">
        <w:rPr>
          <w:rFonts w:ascii="Aptos" w:hAnsi="Aptos"/>
          <w:color w:val="000000" w:themeColor="text1"/>
          <w:sz w:val="18"/>
          <w:szCs w:val="18"/>
        </w:rPr>
        <w:t>México</w:t>
      </w:r>
      <w:r w:rsidR="008B0CFF" w:rsidRPr="00581E03">
        <w:rPr>
          <w:rFonts w:ascii="Aptos" w:hAnsi="Aptos"/>
          <w:color w:val="000000" w:themeColor="text1"/>
          <w:sz w:val="18"/>
          <w:szCs w:val="18"/>
        </w:rPr>
        <w:t>:</w:t>
      </w:r>
      <w:r w:rsidRPr="00581E03">
        <w:rPr>
          <w:rFonts w:ascii="Aptos" w:hAnsi="Aptos"/>
          <w:color w:val="000000" w:themeColor="text1"/>
          <w:sz w:val="18"/>
          <w:szCs w:val="18"/>
        </w:rPr>
        <w:t xml:space="preserve"> Senado de la República, 2013</w:t>
      </w:r>
      <w:r w:rsidR="008B0CFF" w:rsidRPr="00581E03">
        <w:rPr>
          <w:rFonts w:ascii="Aptos" w:hAnsi="Aptos"/>
          <w:color w:val="000000" w:themeColor="text1"/>
          <w:sz w:val="18"/>
          <w:szCs w:val="18"/>
        </w:rPr>
        <w:t>)</w:t>
      </w:r>
      <w:r w:rsidRPr="00581E03">
        <w:rPr>
          <w:rFonts w:ascii="Aptos" w:hAnsi="Aptos"/>
          <w:color w:val="000000" w:themeColor="text1"/>
          <w:sz w:val="18"/>
          <w:szCs w:val="18"/>
        </w:rPr>
        <w:t>.</w:t>
      </w:r>
    </w:p>
  </w:footnote>
  <w:footnote w:id="11">
    <w:p w14:paraId="6F5F9B81" w14:textId="4278FFBB"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8B0CFF" w:rsidRPr="00581E03">
        <w:rPr>
          <w:rFonts w:ascii="Aptos" w:hAnsi="Aptos"/>
          <w:bCs/>
          <w:color w:val="000000" w:themeColor="text1"/>
          <w:sz w:val="18"/>
          <w:szCs w:val="18"/>
        </w:rPr>
        <w:t xml:space="preserve">Luis Raúl </w:t>
      </w:r>
      <w:r w:rsidRPr="00581E03">
        <w:rPr>
          <w:rFonts w:ascii="Aptos" w:hAnsi="Aptos"/>
          <w:bCs/>
          <w:color w:val="000000" w:themeColor="text1"/>
          <w:sz w:val="18"/>
          <w:szCs w:val="18"/>
        </w:rPr>
        <w:t xml:space="preserve">González Pérez, “El sistema no-jurisdiccional de protección de los derechos humanos en México”, </w:t>
      </w:r>
      <w:r w:rsidRPr="00581E03">
        <w:rPr>
          <w:rFonts w:ascii="Aptos" w:hAnsi="Aptos"/>
          <w:bCs/>
          <w:i/>
          <w:iCs/>
          <w:color w:val="000000" w:themeColor="text1"/>
          <w:sz w:val="18"/>
          <w:szCs w:val="18"/>
        </w:rPr>
        <w:t>IUS Revista del Instituto de Ciencias Jurídicas de Puebla, México</w:t>
      </w:r>
      <w:r w:rsidRPr="00581E03">
        <w:rPr>
          <w:rFonts w:ascii="Aptos" w:hAnsi="Aptos"/>
          <w:bCs/>
          <w:color w:val="000000" w:themeColor="text1"/>
          <w:sz w:val="18"/>
          <w:szCs w:val="18"/>
        </w:rPr>
        <w:t xml:space="preserve">, </w:t>
      </w:r>
      <w:r w:rsidR="008B0CFF" w:rsidRPr="00581E03">
        <w:rPr>
          <w:rFonts w:ascii="Aptos" w:hAnsi="Aptos"/>
          <w:bCs/>
          <w:color w:val="000000" w:themeColor="text1"/>
          <w:sz w:val="18"/>
          <w:szCs w:val="18"/>
        </w:rPr>
        <w:t>n.</w:t>
      </w:r>
      <w:r w:rsidRPr="00581E03">
        <w:rPr>
          <w:rFonts w:ascii="Aptos" w:hAnsi="Aptos"/>
          <w:bCs/>
          <w:color w:val="000000" w:themeColor="text1"/>
          <w:sz w:val="18"/>
          <w:szCs w:val="18"/>
          <w:vertAlign w:val="superscript"/>
        </w:rPr>
        <w:t>o</w:t>
      </w:r>
      <w:r w:rsidRPr="00581E03">
        <w:rPr>
          <w:rFonts w:ascii="Aptos" w:hAnsi="Aptos"/>
          <w:bCs/>
          <w:color w:val="000000" w:themeColor="text1"/>
          <w:sz w:val="18"/>
          <w:szCs w:val="18"/>
        </w:rPr>
        <w:t xml:space="preserve"> 28</w:t>
      </w:r>
      <w:r w:rsidR="008B0CFF" w:rsidRPr="00581E03">
        <w:rPr>
          <w:rFonts w:ascii="Aptos" w:hAnsi="Aptos"/>
          <w:bCs/>
          <w:color w:val="000000" w:themeColor="text1"/>
          <w:sz w:val="18"/>
          <w:szCs w:val="18"/>
        </w:rPr>
        <w:t>, (2011):</w:t>
      </w:r>
      <w:r w:rsidRPr="00581E03">
        <w:rPr>
          <w:rFonts w:ascii="Aptos" w:hAnsi="Aptos"/>
          <w:bCs/>
          <w:color w:val="000000" w:themeColor="text1"/>
          <w:sz w:val="18"/>
          <w:szCs w:val="18"/>
        </w:rPr>
        <w:t xml:space="preserve"> 99-122.</w:t>
      </w:r>
    </w:p>
  </w:footnote>
  <w:footnote w:id="12">
    <w:p w14:paraId="7A58EE47" w14:textId="6C4ABE6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Reglamento Interno de la Comisión Nacional de los Derechos Humanos, </w:t>
      </w:r>
      <w:r w:rsidR="006F7EEE" w:rsidRPr="00581E03">
        <w:rPr>
          <w:rFonts w:ascii="Aptos" w:hAnsi="Aptos"/>
          <w:color w:val="000000" w:themeColor="text1"/>
          <w:sz w:val="18"/>
          <w:szCs w:val="18"/>
        </w:rPr>
        <w:t>última reforma incorporada el 10 de agosto de 2023 (publicada por la Comisión Nacional de los Derechos Humanos).</w:t>
      </w:r>
      <w:r w:rsidRPr="00581E03">
        <w:rPr>
          <w:rFonts w:ascii="Aptos" w:hAnsi="Aptos"/>
          <w:color w:val="000000" w:themeColor="text1"/>
          <w:sz w:val="18"/>
          <w:szCs w:val="18"/>
        </w:rPr>
        <w:t xml:space="preserve"> </w:t>
      </w:r>
    </w:p>
  </w:footnote>
  <w:footnote w:id="13">
    <w:p w14:paraId="59F4C3E7" w14:textId="47B12A6C"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7C6C72" w:rsidRPr="00581E03">
        <w:rPr>
          <w:rFonts w:ascii="Aptos" w:hAnsi="Aptos"/>
          <w:color w:val="000000" w:themeColor="text1"/>
          <w:sz w:val="18"/>
          <w:szCs w:val="18"/>
        </w:rPr>
        <w:t xml:space="preserve">“México: Una ola de continuas violaciones de derechos humanos”, </w:t>
      </w:r>
      <w:r w:rsidRPr="00581E03">
        <w:rPr>
          <w:rFonts w:ascii="Aptos" w:hAnsi="Aptos"/>
          <w:color w:val="000000" w:themeColor="text1"/>
          <w:sz w:val="18"/>
          <w:szCs w:val="18"/>
        </w:rPr>
        <w:t>Organización de las Naciones Unidas</w:t>
      </w:r>
      <w:r w:rsidR="007C6C72" w:rsidRPr="00581E03">
        <w:rPr>
          <w:rFonts w:ascii="Aptos" w:hAnsi="Aptos"/>
          <w:color w:val="000000" w:themeColor="text1"/>
          <w:sz w:val="18"/>
          <w:szCs w:val="18"/>
        </w:rPr>
        <w:t>,</w:t>
      </w:r>
      <w:r w:rsidRPr="00581E03">
        <w:rPr>
          <w:rFonts w:ascii="Aptos" w:hAnsi="Aptos"/>
          <w:color w:val="000000" w:themeColor="text1"/>
          <w:sz w:val="18"/>
          <w:szCs w:val="18"/>
        </w:rPr>
        <w:t xml:space="preserve">  </w:t>
      </w:r>
    </w:p>
    <w:p w14:paraId="1E0C5B33" w14:textId="5ED1926C" w:rsidR="00360385" w:rsidRPr="00581E03" w:rsidRDefault="00360385" w:rsidP="00581E03">
      <w:pPr>
        <w:pStyle w:val="BIOLpie"/>
        <w:rPr>
          <w:rFonts w:ascii="Aptos" w:hAnsi="Aptos"/>
          <w:color w:val="000000" w:themeColor="text1"/>
          <w:sz w:val="18"/>
          <w:szCs w:val="18"/>
          <w:lang w:val="es-ES"/>
        </w:rPr>
      </w:pPr>
      <w:hyperlink r:id="rId3" w:history="1">
        <w:r w:rsidRPr="00581E03">
          <w:rPr>
            <w:rStyle w:val="Hipervnculo"/>
            <w:rFonts w:ascii="Aptos" w:hAnsi="Aptos"/>
            <w:sz w:val="18"/>
            <w:szCs w:val="18"/>
          </w:rPr>
          <w:t>https://hchr.org.mx/historias-destacadas/mexico-una-ola-de-continuas-violaciones-de-derechos-humanos-2/#:~:text=El%20Alto%20Comisionado%20de%20las,mediante%20reformas%20jur%C3%ADdicas%20y%20constitucionales</w:t>
        </w:r>
      </w:hyperlink>
    </w:p>
  </w:footnote>
  <w:footnote w:id="14">
    <w:p w14:paraId="10AFA4AA" w14:textId="250AA77D" w:rsidR="007C6C72" w:rsidRPr="00581E03" w:rsidRDefault="007C6C72" w:rsidP="00581E03">
      <w:pPr>
        <w:pStyle w:val="BIOLpie"/>
        <w:rPr>
          <w:rFonts w:ascii="Aptos" w:hAnsi="Aptos"/>
          <w:sz w:val="18"/>
          <w:szCs w:val="18"/>
        </w:rPr>
      </w:pPr>
      <w:r w:rsidRPr="00581E03">
        <w:rPr>
          <w:rStyle w:val="Refdenotaalpie"/>
          <w:rFonts w:ascii="Aptos" w:hAnsi="Aptos"/>
          <w:sz w:val="18"/>
          <w:szCs w:val="18"/>
        </w:rPr>
        <w:footnoteRef/>
      </w:r>
      <w:r w:rsidRPr="00581E03">
        <w:rPr>
          <w:rFonts w:ascii="Aptos" w:hAnsi="Aptos"/>
          <w:sz w:val="18"/>
          <w:szCs w:val="18"/>
        </w:rPr>
        <w:t xml:space="preserve"> </w:t>
      </w:r>
      <w:r w:rsidRPr="00581E03">
        <w:rPr>
          <w:rFonts w:ascii="Aptos" w:hAnsi="Aptos"/>
          <w:color w:val="000000" w:themeColor="text1"/>
          <w:sz w:val="18"/>
          <w:szCs w:val="18"/>
        </w:rPr>
        <w:t xml:space="preserve">Comisión Nacional de los Derechos Humanos, </w:t>
      </w:r>
      <w:r w:rsidRPr="00581E03">
        <w:rPr>
          <w:rFonts w:ascii="Aptos" w:hAnsi="Aptos"/>
          <w:i/>
          <w:iCs/>
          <w:color w:val="000000" w:themeColor="text1"/>
          <w:sz w:val="18"/>
          <w:szCs w:val="18"/>
        </w:rPr>
        <w:t>Informe de actividades del 1 de enero al 31 de diciembre de 2021</w:t>
      </w:r>
      <w:r w:rsidRPr="00581E03">
        <w:rPr>
          <w:rFonts w:ascii="Aptos" w:hAnsi="Aptos"/>
          <w:color w:val="000000" w:themeColor="text1"/>
          <w:sz w:val="18"/>
          <w:szCs w:val="18"/>
        </w:rPr>
        <w:t>.</w:t>
      </w:r>
    </w:p>
  </w:footnote>
  <w:footnote w:id="15">
    <w:p w14:paraId="76DA07B9" w14:textId="1FAB9576" w:rsidR="007C6C72" w:rsidRPr="00581E03" w:rsidRDefault="007C6C72" w:rsidP="00581E03">
      <w:pPr>
        <w:pStyle w:val="BIOLpie"/>
        <w:rPr>
          <w:rFonts w:ascii="Aptos" w:hAnsi="Aptos"/>
          <w:sz w:val="18"/>
          <w:szCs w:val="18"/>
        </w:rPr>
      </w:pPr>
      <w:r w:rsidRPr="00581E03">
        <w:rPr>
          <w:rStyle w:val="Refdenotaalpie"/>
          <w:rFonts w:ascii="Aptos" w:hAnsi="Aptos"/>
          <w:sz w:val="18"/>
          <w:szCs w:val="18"/>
        </w:rPr>
        <w:footnoteRef/>
      </w:r>
      <w:r w:rsidRPr="00581E03">
        <w:rPr>
          <w:rFonts w:ascii="Aptos" w:hAnsi="Aptos"/>
          <w:sz w:val="18"/>
          <w:szCs w:val="18"/>
        </w:rPr>
        <w:t xml:space="preserve"> </w:t>
      </w:r>
      <w:r w:rsidRPr="00581E03">
        <w:rPr>
          <w:rFonts w:ascii="Aptos" w:hAnsi="Aptos"/>
          <w:color w:val="000000" w:themeColor="text1"/>
          <w:sz w:val="18"/>
          <w:szCs w:val="18"/>
        </w:rPr>
        <w:t xml:space="preserve">Comisión Nacional de los Derechos Humanos, </w:t>
      </w:r>
      <w:r w:rsidRPr="00581E03">
        <w:rPr>
          <w:rFonts w:ascii="Aptos" w:hAnsi="Aptos"/>
          <w:i/>
          <w:iCs/>
          <w:color w:val="000000" w:themeColor="text1"/>
          <w:sz w:val="18"/>
          <w:szCs w:val="18"/>
        </w:rPr>
        <w:t>Informe de Actividades del 1 de enero al 31 de diciembre de 2022</w:t>
      </w:r>
      <w:r w:rsidRPr="00581E03">
        <w:rPr>
          <w:rFonts w:ascii="Aptos" w:hAnsi="Aptos"/>
          <w:color w:val="000000" w:themeColor="text1"/>
          <w:sz w:val="18"/>
          <w:szCs w:val="18"/>
        </w:rPr>
        <w:t>.</w:t>
      </w:r>
    </w:p>
  </w:footnote>
  <w:footnote w:id="16">
    <w:p w14:paraId="6E7BBD9F" w14:textId="56526E3A" w:rsidR="007C6C72" w:rsidRPr="00581E03" w:rsidRDefault="007C6C72" w:rsidP="00581E03">
      <w:pPr>
        <w:pStyle w:val="BIOLpie"/>
        <w:rPr>
          <w:rFonts w:ascii="Aptos" w:hAnsi="Aptos"/>
          <w:sz w:val="18"/>
          <w:szCs w:val="18"/>
        </w:rPr>
      </w:pPr>
      <w:r w:rsidRPr="00581E03">
        <w:rPr>
          <w:rStyle w:val="Refdenotaalpie"/>
          <w:rFonts w:ascii="Aptos" w:hAnsi="Aptos"/>
          <w:sz w:val="18"/>
          <w:szCs w:val="18"/>
        </w:rPr>
        <w:footnoteRef/>
      </w:r>
      <w:r w:rsidRPr="00581E03">
        <w:rPr>
          <w:rFonts w:ascii="Aptos" w:hAnsi="Aptos"/>
          <w:sz w:val="18"/>
          <w:szCs w:val="18"/>
        </w:rPr>
        <w:t xml:space="preserve"> </w:t>
      </w:r>
      <w:r w:rsidRPr="00581E03">
        <w:rPr>
          <w:rFonts w:ascii="Aptos" w:hAnsi="Aptos"/>
          <w:color w:val="000000" w:themeColor="text1"/>
          <w:sz w:val="18"/>
          <w:szCs w:val="18"/>
        </w:rPr>
        <w:t xml:space="preserve">Comisión Nacional de los Derechos Humanos. </w:t>
      </w:r>
      <w:r w:rsidRPr="00581E03">
        <w:rPr>
          <w:rFonts w:ascii="Aptos" w:hAnsi="Aptos"/>
          <w:i/>
          <w:iCs/>
          <w:color w:val="000000" w:themeColor="text1"/>
          <w:sz w:val="18"/>
          <w:szCs w:val="18"/>
        </w:rPr>
        <w:t>Informe de actividades del 1 de enero al 31 de diciembre de 2023.</w:t>
      </w:r>
    </w:p>
  </w:footnote>
  <w:footnote w:id="17">
    <w:p w14:paraId="21FDD2CC" w14:textId="3B7F75A3" w:rsidR="00D05DCC" w:rsidRPr="00581E03" w:rsidRDefault="00D05DCC" w:rsidP="00581E03">
      <w:pPr>
        <w:pStyle w:val="BIOLpie"/>
        <w:rPr>
          <w:rFonts w:ascii="Aptos" w:hAnsi="Aptos"/>
          <w:color w:val="000000" w:themeColor="text1"/>
          <w:sz w:val="18"/>
          <w:szCs w:val="18"/>
          <w:lang w:val="es-ES"/>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Comisión Nacional de los Derechos Humanos. </w:t>
      </w:r>
      <w:r w:rsidRPr="00581E03">
        <w:rPr>
          <w:rFonts w:ascii="Aptos" w:hAnsi="Aptos"/>
          <w:i/>
          <w:iCs/>
          <w:color w:val="000000" w:themeColor="text1"/>
          <w:sz w:val="18"/>
          <w:szCs w:val="18"/>
        </w:rPr>
        <w:t>Informe de Actividades del 1 de enero al 31 de diciembre de 2024</w:t>
      </w:r>
      <w:r w:rsidRPr="00581E03">
        <w:rPr>
          <w:rFonts w:ascii="Aptos" w:hAnsi="Aptos"/>
          <w:color w:val="000000" w:themeColor="text1"/>
          <w:sz w:val="18"/>
          <w:szCs w:val="18"/>
        </w:rPr>
        <w:t>, 12.</w:t>
      </w:r>
    </w:p>
  </w:footnote>
  <w:footnote w:id="18">
    <w:p w14:paraId="412F75FB" w14:textId="18DAF862"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45301C" w:rsidRPr="00581E03">
        <w:rPr>
          <w:rFonts w:ascii="Aptos" w:hAnsi="Aptos"/>
          <w:color w:val="000000" w:themeColor="text1"/>
          <w:sz w:val="18"/>
          <w:szCs w:val="18"/>
        </w:rPr>
        <w:t xml:space="preserve">Jorge </w:t>
      </w:r>
      <w:r w:rsidRPr="00581E03">
        <w:rPr>
          <w:rFonts w:ascii="Aptos" w:hAnsi="Aptos"/>
          <w:color w:val="000000" w:themeColor="text1"/>
          <w:sz w:val="18"/>
          <w:szCs w:val="18"/>
        </w:rPr>
        <w:t xml:space="preserve">Carpizo, </w:t>
      </w:r>
      <w:r w:rsidR="00A90589" w:rsidRPr="00581E03">
        <w:rPr>
          <w:rFonts w:ascii="Aptos" w:hAnsi="Aptos"/>
          <w:i/>
          <w:iCs/>
          <w:color w:val="000000" w:themeColor="text1"/>
          <w:sz w:val="18"/>
          <w:szCs w:val="18"/>
        </w:rPr>
        <w:t>”</w:t>
      </w:r>
      <w:r w:rsidRPr="00581E03">
        <w:rPr>
          <w:rFonts w:ascii="Aptos" w:hAnsi="Aptos"/>
          <w:i/>
          <w:iCs/>
          <w:color w:val="000000" w:themeColor="text1"/>
          <w:sz w:val="18"/>
          <w:szCs w:val="18"/>
        </w:rPr>
        <w:t>El sistema nacional no-jurisdiccional de defensa de los derechos humanos en México: algunas preocupaciones</w:t>
      </w:r>
      <w:r w:rsidR="00A90589" w:rsidRPr="00581E03">
        <w:rPr>
          <w:rFonts w:ascii="Aptos" w:hAnsi="Aptos"/>
          <w:i/>
          <w:iCs/>
          <w:color w:val="000000" w:themeColor="text1"/>
          <w:sz w:val="18"/>
          <w:szCs w:val="18"/>
        </w:rPr>
        <w:t>”</w:t>
      </w:r>
      <w:r w:rsidR="00794A94" w:rsidRPr="00581E03">
        <w:rPr>
          <w:rFonts w:ascii="Aptos" w:hAnsi="Aptos"/>
          <w:color w:val="000000" w:themeColor="text1"/>
          <w:sz w:val="18"/>
          <w:szCs w:val="18"/>
        </w:rPr>
        <w:t>, e</w:t>
      </w:r>
      <w:r w:rsidR="00A90589" w:rsidRPr="00581E03">
        <w:rPr>
          <w:rFonts w:ascii="Aptos" w:hAnsi="Aptos"/>
          <w:color w:val="000000" w:themeColor="text1"/>
          <w:sz w:val="18"/>
          <w:szCs w:val="18"/>
        </w:rPr>
        <w:t>n</w:t>
      </w:r>
      <w:r w:rsidR="00A90589" w:rsidRPr="00581E03">
        <w:rPr>
          <w:rFonts w:ascii="Aptos" w:hAnsi="Aptos"/>
          <w:i/>
          <w:iCs/>
          <w:color w:val="000000" w:themeColor="text1"/>
          <w:sz w:val="18"/>
          <w:szCs w:val="18"/>
        </w:rPr>
        <w:t xml:space="preserve"> Los derechos humanos en los umbrales del siglo XXI: una visión interdisciplinar</w:t>
      </w:r>
      <w:r w:rsidR="00A90589" w:rsidRPr="00581E03">
        <w:rPr>
          <w:rFonts w:ascii="Aptos" w:hAnsi="Aptos"/>
          <w:color w:val="000000" w:themeColor="text1"/>
          <w:sz w:val="18"/>
          <w:szCs w:val="18"/>
        </w:rPr>
        <w:t>, e</w:t>
      </w:r>
      <w:r w:rsidR="00326BAC" w:rsidRPr="00581E03">
        <w:rPr>
          <w:rFonts w:ascii="Aptos" w:hAnsi="Aptos"/>
          <w:color w:val="000000" w:themeColor="text1"/>
          <w:sz w:val="18"/>
          <w:szCs w:val="18"/>
        </w:rPr>
        <w:t>d. por</w:t>
      </w:r>
      <w:r w:rsidRPr="00581E03">
        <w:rPr>
          <w:rFonts w:ascii="Aptos" w:hAnsi="Aptos"/>
          <w:color w:val="000000" w:themeColor="text1"/>
          <w:sz w:val="18"/>
          <w:szCs w:val="18"/>
        </w:rPr>
        <w:t xml:space="preserve"> </w:t>
      </w:r>
      <w:r w:rsidR="00326BAC" w:rsidRPr="00581E03">
        <w:rPr>
          <w:rFonts w:ascii="Aptos" w:hAnsi="Aptos"/>
          <w:color w:val="000000" w:themeColor="text1"/>
          <w:sz w:val="18"/>
          <w:szCs w:val="18"/>
        </w:rPr>
        <w:t xml:space="preserve">Aída </w:t>
      </w:r>
      <w:r w:rsidRPr="00581E03">
        <w:rPr>
          <w:rFonts w:ascii="Aptos" w:hAnsi="Aptos"/>
          <w:color w:val="000000" w:themeColor="text1"/>
          <w:sz w:val="18"/>
          <w:szCs w:val="18"/>
        </w:rPr>
        <w:t>Figueroa Bello</w:t>
      </w:r>
      <w:r w:rsidR="00326BAC" w:rsidRPr="00581E03">
        <w:rPr>
          <w:rFonts w:ascii="Aptos" w:hAnsi="Aptos"/>
          <w:color w:val="000000" w:themeColor="text1"/>
          <w:sz w:val="18"/>
          <w:szCs w:val="18"/>
        </w:rPr>
        <w:t xml:space="preserve"> (</w:t>
      </w:r>
      <w:r w:rsidRPr="00581E03">
        <w:rPr>
          <w:rFonts w:ascii="Aptos" w:hAnsi="Aptos"/>
          <w:color w:val="000000" w:themeColor="text1"/>
          <w:sz w:val="18"/>
          <w:szCs w:val="18"/>
        </w:rPr>
        <w:t>México</w:t>
      </w:r>
      <w:r w:rsidR="00326BAC" w:rsidRPr="00581E03">
        <w:rPr>
          <w:rFonts w:ascii="Aptos" w:hAnsi="Aptos"/>
          <w:color w:val="000000" w:themeColor="text1"/>
          <w:sz w:val="18"/>
          <w:szCs w:val="18"/>
        </w:rPr>
        <w:t>:</w:t>
      </w:r>
      <w:r w:rsidRPr="00581E03">
        <w:rPr>
          <w:rFonts w:ascii="Aptos" w:hAnsi="Aptos"/>
          <w:color w:val="000000" w:themeColor="text1"/>
          <w:sz w:val="18"/>
          <w:szCs w:val="18"/>
        </w:rPr>
        <w:t xml:space="preserve"> UNAM, 2019</w:t>
      </w:r>
      <w:r w:rsidR="00326BAC" w:rsidRPr="00581E03">
        <w:rPr>
          <w:rFonts w:ascii="Aptos" w:hAnsi="Aptos"/>
          <w:color w:val="000000" w:themeColor="text1"/>
          <w:sz w:val="18"/>
          <w:szCs w:val="18"/>
        </w:rPr>
        <w:t>),</w:t>
      </w:r>
      <w:r w:rsidRPr="00581E03">
        <w:rPr>
          <w:rFonts w:ascii="Aptos" w:hAnsi="Aptos"/>
          <w:color w:val="000000" w:themeColor="text1"/>
          <w:sz w:val="18"/>
          <w:szCs w:val="18"/>
        </w:rPr>
        <w:t>1-58.</w:t>
      </w:r>
    </w:p>
  </w:footnote>
  <w:footnote w:id="19">
    <w:p w14:paraId="1E532E86" w14:textId="71646E8F"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326BAC" w:rsidRPr="00581E03">
        <w:rPr>
          <w:rFonts w:ascii="Aptos" w:hAnsi="Aptos"/>
          <w:color w:val="000000" w:themeColor="text1"/>
          <w:sz w:val="18"/>
          <w:szCs w:val="18"/>
        </w:rPr>
        <w:t xml:space="preserve">José Francisco </w:t>
      </w:r>
      <w:r w:rsidRPr="00581E03">
        <w:rPr>
          <w:rFonts w:ascii="Aptos" w:hAnsi="Aptos"/>
          <w:color w:val="000000" w:themeColor="text1"/>
          <w:sz w:val="18"/>
          <w:szCs w:val="18"/>
        </w:rPr>
        <w:t xml:space="preserve">Báez Corona, “Eficacia de las recomendaciones emitidas por la Comisión Nacional de los Derechos Humanos en México y la reforma constitucional 2011”, Una Voz </w:t>
      </w:r>
      <w:r w:rsidRPr="00581E03">
        <w:rPr>
          <w:rFonts w:ascii="Aptos" w:hAnsi="Aptos"/>
          <w:i/>
          <w:iCs/>
          <w:color w:val="000000" w:themeColor="text1"/>
          <w:sz w:val="18"/>
          <w:szCs w:val="18"/>
        </w:rPr>
        <w:t>Pro Persona</w:t>
      </w:r>
      <w:r w:rsidRPr="00581E03">
        <w:rPr>
          <w:rFonts w:ascii="Aptos" w:hAnsi="Aptos"/>
          <w:color w:val="000000" w:themeColor="text1"/>
          <w:sz w:val="18"/>
          <w:szCs w:val="18"/>
        </w:rPr>
        <w:t xml:space="preserve">, </w:t>
      </w:r>
      <w:r w:rsidR="00326BAC" w:rsidRPr="00581E03">
        <w:rPr>
          <w:rFonts w:ascii="Aptos" w:hAnsi="Aptos"/>
          <w:color w:val="000000" w:themeColor="text1"/>
          <w:sz w:val="18"/>
          <w:szCs w:val="18"/>
        </w:rPr>
        <w:t>n.</w:t>
      </w:r>
      <w:r w:rsidR="00326BAC" w:rsidRPr="00581E03">
        <w:rPr>
          <w:rFonts w:ascii="Aptos" w:hAnsi="Aptos"/>
          <w:color w:val="000000" w:themeColor="text1"/>
          <w:sz w:val="18"/>
          <w:szCs w:val="18"/>
          <w:vertAlign w:val="superscript"/>
        </w:rPr>
        <w:t>o</w:t>
      </w:r>
      <w:r w:rsidRPr="00581E03">
        <w:rPr>
          <w:rFonts w:ascii="Aptos" w:hAnsi="Aptos"/>
          <w:color w:val="000000" w:themeColor="text1"/>
          <w:sz w:val="18"/>
          <w:szCs w:val="18"/>
        </w:rPr>
        <w:t xml:space="preserve"> 1, </w:t>
      </w:r>
      <w:r w:rsidR="00326BAC" w:rsidRPr="00581E03">
        <w:rPr>
          <w:rFonts w:ascii="Aptos" w:hAnsi="Aptos"/>
          <w:color w:val="000000" w:themeColor="text1"/>
          <w:sz w:val="18"/>
          <w:szCs w:val="18"/>
        </w:rPr>
        <w:t>(</w:t>
      </w:r>
      <w:r w:rsidRPr="00581E03">
        <w:rPr>
          <w:rFonts w:ascii="Aptos" w:hAnsi="Aptos"/>
          <w:color w:val="000000" w:themeColor="text1"/>
          <w:sz w:val="18"/>
          <w:szCs w:val="18"/>
        </w:rPr>
        <w:t>2013</w:t>
      </w:r>
      <w:r w:rsidR="00326BAC" w:rsidRPr="00581E03">
        <w:rPr>
          <w:rFonts w:ascii="Aptos" w:hAnsi="Aptos"/>
          <w:color w:val="000000" w:themeColor="text1"/>
          <w:sz w:val="18"/>
          <w:szCs w:val="18"/>
        </w:rPr>
        <w:t xml:space="preserve">): </w:t>
      </w:r>
      <w:r w:rsidRPr="00581E03">
        <w:rPr>
          <w:rFonts w:ascii="Aptos" w:hAnsi="Aptos"/>
          <w:color w:val="000000" w:themeColor="text1"/>
          <w:sz w:val="18"/>
          <w:szCs w:val="18"/>
        </w:rPr>
        <w:t>31-40.</w:t>
      </w:r>
    </w:p>
  </w:footnote>
  <w:footnote w:id="20">
    <w:p w14:paraId="3CCEF302" w14:textId="3ED9D421"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Comisión Nacional de los Derechos Humanos</w:t>
      </w:r>
      <w:r w:rsidRPr="00581E03">
        <w:rPr>
          <w:rFonts w:ascii="Aptos" w:hAnsi="Aptos"/>
          <w:bCs/>
          <w:i/>
          <w:iCs/>
          <w:color w:val="000000" w:themeColor="text1"/>
          <w:sz w:val="18"/>
          <w:szCs w:val="18"/>
        </w:rPr>
        <w:t>. Informe de actividades del 1 de enero al 31 de diciembre</w:t>
      </w:r>
      <w:r w:rsidRPr="00581E03">
        <w:rPr>
          <w:rFonts w:ascii="Aptos" w:hAnsi="Aptos"/>
          <w:bCs/>
          <w:color w:val="000000" w:themeColor="text1"/>
          <w:sz w:val="18"/>
          <w:szCs w:val="18"/>
        </w:rPr>
        <w:t xml:space="preserve"> </w:t>
      </w:r>
      <w:r w:rsidRPr="00581E03">
        <w:rPr>
          <w:rFonts w:ascii="Aptos" w:hAnsi="Aptos"/>
          <w:bCs/>
          <w:i/>
          <w:iCs/>
          <w:color w:val="000000" w:themeColor="text1"/>
          <w:sz w:val="18"/>
          <w:szCs w:val="18"/>
        </w:rPr>
        <w:t>de 2023</w:t>
      </w:r>
      <w:r w:rsidR="00326BAC" w:rsidRPr="00581E03">
        <w:rPr>
          <w:rFonts w:ascii="Aptos" w:hAnsi="Aptos"/>
          <w:bCs/>
          <w:color w:val="000000" w:themeColor="text1"/>
          <w:sz w:val="18"/>
          <w:szCs w:val="18"/>
        </w:rPr>
        <w:t>.</w:t>
      </w:r>
    </w:p>
  </w:footnote>
  <w:footnote w:id="21">
    <w:p w14:paraId="6C2F95F3" w14:textId="248A2A0B"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A33F37" w:rsidRPr="00581E03">
        <w:rPr>
          <w:rFonts w:ascii="Aptos" w:hAnsi="Aptos"/>
          <w:bCs/>
          <w:color w:val="000000" w:themeColor="text1"/>
          <w:sz w:val="18"/>
          <w:szCs w:val="18"/>
        </w:rPr>
        <w:t xml:space="preserve">Pedro </w:t>
      </w:r>
      <w:r w:rsidRPr="00581E03">
        <w:rPr>
          <w:rFonts w:ascii="Aptos" w:hAnsi="Aptos"/>
          <w:bCs/>
          <w:color w:val="000000" w:themeColor="text1"/>
          <w:sz w:val="18"/>
          <w:szCs w:val="18"/>
        </w:rPr>
        <w:t>Sagüés</w:t>
      </w:r>
      <w:r w:rsidR="00A33F37" w:rsidRPr="00581E03">
        <w:rPr>
          <w:rFonts w:ascii="Aptos" w:hAnsi="Aptos"/>
          <w:bCs/>
          <w:color w:val="000000" w:themeColor="text1"/>
          <w:sz w:val="18"/>
          <w:szCs w:val="18"/>
        </w:rPr>
        <w:t xml:space="preserve"> </w:t>
      </w:r>
      <w:r w:rsidRPr="00581E03">
        <w:rPr>
          <w:rFonts w:ascii="Aptos" w:hAnsi="Aptos"/>
          <w:bCs/>
          <w:color w:val="000000" w:themeColor="text1"/>
          <w:sz w:val="18"/>
          <w:szCs w:val="18"/>
        </w:rPr>
        <w:t xml:space="preserve">Néstor, </w:t>
      </w:r>
      <w:r w:rsidRPr="00581E03">
        <w:rPr>
          <w:rFonts w:ascii="Aptos" w:hAnsi="Aptos"/>
          <w:bCs/>
          <w:i/>
          <w:color w:val="000000" w:themeColor="text1"/>
          <w:sz w:val="18"/>
          <w:szCs w:val="18"/>
        </w:rPr>
        <w:t>La interpretación judicial de la Constitución</w:t>
      </w:r>
      <w:r w:rsidRPr="00581E03">
        <w:rPr>
          <w:rFonts w:ascii="Aptos" w:hAnsi="Aptos"/>
          <w:bCs/>
          <w:color w:val="000000" w:themeColor="text1"/>
          <w:sz w:val="18"/>
          <w:szCs w:val="18"/>
        </w:rPr>
        <w:t xml:space="preserve"> </w:t>
      </w:r>
      <w:r w:rsidR="00A33F37" w:rsidRPr="00581E03">
        <w:rPr>
          <w:rFonts w:ascii="Aptos" w:hAnsi="Aptos"/>
          <w:bCs/>
          <w:color w:val="000000" w:themeColor="text1"/>
          <w:sz w:val="18"/>
          <w:szCs w:val="18"/>
        </w:rPr>
        <w:t>(</w:t>
      </w:r>
      <w:r w:rsidRPr="00581E03">
        <w:rPr>
          <w:rFonts w:ascii="Aptos" w:hAnsi="Aptos"/>
          <w:bCs/>
          <w:color w:val="000000" w:themeColor="text1"/>
          <w:sz w:val="18"/>
          <w:szCs w:val="18"/>
        </w:rPr>
        <w:t>México</w:t>
      </w:r>
      <w:r w:rsidR="00A33F37" w:rsidRPr="00581E03">
        <w:rPr>
          <w:rFonts w:ascii="Aptos" w:hAnsi="Aptos"/>
          <w:bCs/>
          <w:color w:val="000000" w:themeColor="text1"/>
          <w:sz w:val="18"/>
          <w:szCs w:val="18"/>
        </w:rPr>
        <w:t>:</w:t>
      </w:r>
      <w:r w:rsidRPr="00581E03">
        <w:rPr>
          <w:rFonts w:ascii="Aptos" w:hAnsi="Aptos"/>
          <w:bCs/>
          <w:color w:val="000000" w:themeColor="text1"/>
          <w:sz w:val="18"/>
          <w:szCs w:val="18"/>
        </w:rPr>
        <w:t xml:space="preserve"> Porrúa, 2017</w:t>
      </w:r>
      <w:r w:rsidR="00A33F37"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22">
    <w:p w14:paraId="2792DC03" w14:textId="637BB58C"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lang w:val="pt-BR"/>
        </w:rPr>
        <w:t xml:space="preserve"> </w:t>
      </w:r>
      <w:r w:rsidRPr="00581E03">
        <w:rPr>
          <w:rFonts w:ascii="Aptos" w:hAnsi="Aptos"/>
          <w:bCs/>
          <w:color w:val="000000" w:themeColor="text1"/>
          <w:sz w:val="18"/>
          <w:szCs w:val="18"/>
          <w:lang w:val="pt-BR"/>
        </w:rPr>
        <w:t xml:space="preserve">Corte IDH. </w:t>
      </w:r>
      <w:r w:rsidRPr="00581E03">
        <w:rPr>
          <w:rFonts w:ascii="Aptos" w:hAnsi="Aptos"/>
          <w:bCs/>
          <w:i/>
          <w:iCs/>
          <w:color w:val="000000" w:themeColor="text1"/>
          <w:sz w:val="18"/>
          <w:szCs w:val="18"/>
          <w:lang w:val="pt-BR"/>
        </w:rPr>
        <w:t xml:space="preserve">Caso López Mendoza </w:t>
      </w:r>
      <w:r w:rsidR="00A90589" w:rsidRPr="00581E03">
        <w:rPr>
          <w:rFonts w:ascii="Aptos" w:hAnsi="Aptos"/>
          <w:bCs/>
          <w:i/>
          <w:iCs/>
          <w:color w:val="000000" w:themeColor="text1"/>
          <w:sz w:val="18"/>
          <w:szCs w:val="18"/>
          <w:lang w:val="pt-BR"/>
        </w:rPr>
        <w:t>v</w:t>
      </w:r>
      <w:r w:rsidRPr="00581E03">
        <w:rPr>
          <w:rFonts w:ascii="Aptos" w:hAnsi="Aptos"/>
          <w:bCs/>
          <w:i/>
          <w:iCs/>
          <w:color w:val="000000" w:themeColor="text1"/>
          <w:sz w:val="18"/>
          <w:szCs w:val="18"/>
          <w:lang w:val="pt-BR"/>
        </w:rPr>
        <w:t xml:space="preserve">s. </w:t>
      </w:r>
      <w:r w:rsidRPr="00581E03">
        <w:rPr>
          <w:rFonts w:ascii="Aptos" w:hAnsi="Aptos"/>
          <w:bCs/>
          <w:i/>
          <w:iCs/>
          <w:color w:val="000000" w:themeColor="text1"/>
          <w:sz w:val="18"/>
          <w:szCs w:val="18"/>
        </w:rPr>
        <w:t>Venezuela</w:t>
      </w:r>
      <w:r w:rsidRPr="00581E03">
        <w:rPr>
          <w:rFonts w:ascii="Aptos" w:hAnsi="Aptos"/>
          <w:bCs/>
          <w:color w:val="000000" w:themeColor="text1"/>
          <w:sz w:val="18"/>
          <w:szCs w:val="18"/>
        </w:rPr>
        <w:t xml:space="preserve">. </w:t>
      </w:r>
      <w:r w:rsidRPr="00581E03">
        <w:rPr>
          <w:rFonts w:ascii="Aptos" w:hAnsi="Aptos"/>
          <w:bCs/>
          <w:iCs/>
          <w:color w:val="000000" w:themeColor="text1"/>
          <w:sz w:val="18"/>
          <w:szCs w:val="18"/>
        </w:rPr>
        <w:t>Fondo Reparaciones y Costas</w:t>
      </w:r>
      <w:r w:rsidRPr="00581E03">
        <w:rPr>
          <w:rFonts w:ascii="Aptos" w:hAnsi="Aptos"/>
          <w:bCs/>
          <w:i/>
          <w:color w:val="000000" w:themeColor="text1"/>
          <w:sz w:val="18"/>
          <w:szCs w:val="18"/>
        </w:rPr>
        <w:t xml:space="preserve">. </w:t>
      </w:r>
      <w:r w:rsidRPr="00581E03">
        <w:rPr>
          <w:rFonts w:ascii="Aptos" w:hAnsi="Aptos"/>
          <w:bCs/>
          <w:iCs/>
          <w:color w:val="000000" w:themeColor="text1"/>
          <w:sz w:val="18"/>
          <w:szCs w:val="18"/>
        </w:rPr>
        <w:t>Sentencia de 1 de septiembre de 2011</w:t>
      </w:r>
      <w:r w:rsidRPr="00581E03">
        <w:rPr>
          <w:rFonts w:ascii="Aptos" w:hAnsi="Aptos"/>
          <w:bCs/>
          <w:color w:val="000000" w:themeColor="text1"/>
          <w:sz w:val="18"/>
          <w:szCs w:val="18"/>
        </w:rPr>
        <w:t>. Serie C No. 233, párr. 202.</w:t>
      </w:r>
    </w:p>
  </w:footnote>
  <w:footnote w:id="23">
    <w:p w14:paraId="7E0FC7DA" w14:textId="1AC2CE41"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bookmarkStart w:id="6" w:name="_Hlk217791244"/>
      <w:r w:rsidR="00997387" w:rsidRPr="00581E03">
        <w:rPr>
          <w:rFonts w:ascii="Aptos" w:hAnsi="Aptos"/>
          <w:color w:val="000000" w:themeColor="text1"/>
          <w:sz w:val="18"/>
          <w:szCs w:val="18"/>
        </w:rPr>
        <w:t xml:space="preserve">Erick Alberto </w:t>
      </w:r>
      <w:r w:rsidRPr="00581E03">
        <w:rPr>
          <w:rFonts w:ascii="Aptos" w:hAnsi="Aptos"/>
          <w:color w:val="000000" w:themeColor="text1"/>
          <w:sz w:val="18"/>
          <w:szCs w:val="18"/>
        </w:rPr>
        <w:t xml:space="preserve">Durand De Sanjuan y </w:t>
      </w:r>
      <w:r w:rsidR="00997387" w:rsidRPr="00581E03">
        <w:rPr>
          <w:rFonts w:ascii="Aptos" w:hAnsi="Aptos"/>
          <w:color w:val="000000" w:themeColor="text1"/>
          <w:sz w:val="18"/>
          <w:szCs w:val="18"/>
        </w:rPr>
        <w:t xml:space="preserve">Francisco Javier </w:t>
      </w:r>
      <w:r w:rsidRPr="00581E03">
        <w:rPr>
          <w:rFonts w:ascii="Aptos" w:hAnsi="Aptos"/>
          <w:color w:val="000000" w:themeColor="text1"/>
          <w:sz w:val="18"/>
          <w:szCs w:val="18"/>
        </w:rPr>
        <w:t>Gorjón Gómez, “</w:t>
      </w:r>
      <w:r w:rsidRPr="00581E03">
        <w:rPr>
          <w:rFonts w:ascii="Aptos" w:hAnsi="Aptos"/>
          <w:iCs/>
          <w:color w:val="000000" w:themeColor="text1"/>
          <w:sz w:val="18"/>
          <w:szCs w:val="18"/>
        </w:rPr>
        <w:t>La obligatoriedad de los métodos alternos de solución de conflictos conforme al principio del debido proceso</w:t>
      </w:r>
      <w:r w:rsidRPr="00581E03">
        <w:rPr>
          <w:rFonts w:ascii="Aptos" w:hAnsi="Aptos"/>
          <w:color w:val="000000" w:themeColor="text1"/>
          <w:sz w:val="18"/>
          <w:szCs w:val="18"/>
        </w:rPr>
        <w:t>”</w:t>
      </w:r>
      <w:r w:rsidR="00A90589" w:rsidRPr="00581E03">
        <w:rPr>
          <w:rFonts w:ascii="Aptos" w:hAnsi="Aptos"/>
          <w:color w:val="000000" w:themeColor="text1"/>
          <w:sz w:val="18"/>
          <w:szCs w:val="18"/>
        </w:rPr>
        <w:t xml:space="preserve">, en </w:t>
      </w:r>
      <w:r w:rsidR="00A90589" w:rsidRPr="00581E03">
        <w:rPr>
          <w:rFonts w:ascii="Aptos" w:hAnsi="Aptos"/>
          <w:i/>
          <w:iCs/>
          <w:color w:val="000000" w:themeColor="text1"/>
          <w:sz w:val="18"/>
          <w:szCs w:val="18"/>
        </w:rPr>
        <w:t>El debido proceso T. II</w:t>
      </w:r>
      <w:r w:rsidR="00A90589" w:rsidRPr="00581E03">
        <w:rPr>
          <w:rFonts w:ascii="Aptos" w:hAnsi="Aptos"/>
          <w:color w:val="000000" w:themeColor="text1"/>
          <w:sz w:val="18"/>
          <w:szCs w:val="18"/>
        </w:rPr>
        <w:t>,</w:t>
      </w:r>
      <w:r w:rsidR="00C16A38" w:rsidRPr="00581E03">
        <w:rPr>
          <w:rFonts w:ascii="Aptos" w:hAnsi="Aptos"/>
          <w:color w:val="000000" w:themeColor="text1"/>
          <w:sz w:val="18"/>
          <w:szCs w:val="18"/>
        </w:rPr>
        <w:t xml:space="preserve"> </w:t>
      </w:r>
      <w:r w:rsidR="00997387" w:rsidRPr="00581E03">
        <w:rPr>
          <w:rFonts w:ascii="Aptos" w:hAnsi="Aptos"/>
          <w:color w:val="000000" w:themeColor="text1"/>
          <w:sz w:val="18"/>
          <w:szCs w:val="18"/>
        </w:rPr>
        <w:t xml:space="preserve"> Coord. por Manuel Salvador</w:t>
      </w:r>
      <w:r w:rsidR="00C16A38" w:rsidRPr="00581E03">
        <w:rPr>
          <w:rFonts w:ascii="Aptos" w:hAnsi="Aptos"/>
          <w:color w:val="000000" w:themeColor="text1"/>
          <w:sz w:val="18"/>
          <w:szCs w:val="18"/>
        </w:rPr>
        <w:t xml:space="preserve"> </w:t>
      </w:r>
      <w:r w:rsidRPr="00581E03">
        <w:rPr>
          <w:rFonts w:ascii="Aptos" w:hAnsi="Aptos"/>
          <w:color w:val="000000" w:themeColor="text1"/>
          <w:sz w:val="18"/>
          <w:szCs w:val="18"/>
        </w:rPr>
        <w:t>Acuña Zeped</w:t>
      </w:r>
      <w:r w:rsidR="00997387" w:rsidRPr="00581E03">
        <w:rPr>
          <w:rFonts w:ascii="Aptos" w:hAnsi="Aptos"/>
          <w:color w:val="000000" w:themeColor="text1"/>
          <w:sz w:val="18"/>
          <w:szCs w:val="18"/>
        </w:rPr>
        <w:t>a</w:t>
      </w:r>
      <w:r w:rsidR="00C16A38" w:rsidRPr="00581E03">
        <w:rPr>
          <w:rFonts w:ascii="Aptos" w:hAnsi="Aptos"/>
          <w:color w:val="000000" w:themeColor="text1"/>
          <w:sz w:val="18"/>
          <w:szCs w:val="18"/>
        </w:rPr>
        <w:t xml:space="preserve">, Luis Gerardo Rodríguez Lozano y Juan Ángel Salinas Garza </w:t>
      </w:r>
      <w:r w:rsidR="00997387" w:rsidRPr="00581E03">
        <w:rPr>
          <w:rFonts w:ascii="Aptos" w:hAnsi="Aptos"/>
          <w:color w:val="000000" w:themeColor="text1"/>
          <w:sz w:val="18"/>
          <w:szCs w:val="18"/>
        </w:rPr>
        <w:t xml:space="preserve">(México: </w:t>
      </w:r>
      <w:r w:rsidRPr="00581E03">
        <w:rPr>
          <w:rFonts w:ascii="Aptos" w:hAnsi="Aptos"/>
          <w:color w:val="000000" w:themeColor="text1"/>
          <w:sz w:val="18"/>
          <w:szCs w:val="18"/>
        </w:rPr>
        <w:t>Tirant lo Blanch, 2016</w:t>
      </w:r>
      <w:r w:rsidR="00997387" w:rsidRPr="00581E03">
        <w:rPr>
          <w:rFonts w:ascii="Aptos" w:hAnsi="Aptos"/>
          <w:color w:val="000000" w:themeColor="text1"/>
          <w:sz w:val="18"/>
          <w:szCs w:val="18"/>
        </w:rPr>
        <w:t xml:space="preserve">), </w:t>
      </w:r>
      <w:r w:rsidRPr="00581E03">
        <w:rPr>
          <w:rFonts w:ascii="Aptos" w:hAnsi="Aptos"/>
          <w:color w:val="000000" w:themeColor="text1"/>
          <w:sz w:val="18"/>
          <w:szCs w:val="18"/>
        </w:rPr>
        <w:t>59-75.</w:t>
      </w:r>
    </w:p>
    <w:bookmarkEnd w:id="6"/>
  </w:footnote>
  <w:footnote w:id="24">
    <w:p w14:paraId="714E0443" w14:textId="28C1F721"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997387" w:rsidRPr="00581E03">
        <w:rPr>
          <w:rFonts w:ascii="Aptos" w:hAnsi="Aptos"/>
          <w:bCs/>
          <w:color w:val="000000" w:themeColor="text1"/>
          <w:sz w:val="18"/>
          <w:szCs w:val="18"/>
        </w:rPr>
        <w:t xml:space="preserve">Miguel </w:t>
      </w:r>
      <w:r w:rsidRPr="00581E03">
        <w:rPr>
          <w:rFonts w:ascii="Aptos" w:hAnsi="Aptos"/>
          <w:bCs/>
          <w:color w:val="000000" w:themeColor="text1"/>
          <w:sz w:val="18"/>
          <w:szCs w:val="18"/>
        </w:rPr>
        <w:t xml:space="preserve">Carbonell, </w:t>
      </w:r>
      <w:r w:rsidRPr="00581E03">
        <w:rPr>
          <w:rFonts w:ascii="Aptos" w:hAnsi="Aptos"/>
          <w:bCs/>
          <w:i/>
          <w:color w:val="000000" w:themeColor="text1"/>
          <w:sz w:val="18"/>
          <w:szCs w:val="18"/>
        </w:rPr>
        <w:t>Los derechos humanos en México</w:t>
      </w:r>
      <w:r w:rsidR="00997387" w:rsidRPr="00581E03">
        <w:rPr>
          <w:rFonts w:ascii="Aptos" w:hAnsi="Aptos"/>
          <w:bCs/>
          <w:color w:val="000000" w:themeColor="text1"/>
          <w:sz w:val="18"/>
          <w:szCs w:val="18"/>
        </w:rPr>
        <w:t xml:space="preserve"> (</w:t>
      </w:r>
      <w:r w:rsidRPr="00581E03">
        <w:rPr>
          <w:rFonts w:ascii="Aptos" w:hAnsi="Aptos"/>
          <w:bCs/>
          <w:color w:val="000000" w:themeColor="text1"/>
          <w:sz w:val="18"/>
          <w:szCs w:val="18"/>
        </w:rPr>
        <w:t>México</w:t>
      </w:r>
      <w:r w:rsidR="00997387" w:rsidRPr="00581E03">
        <w:rPr>
          <w:rFonts w:ascii="Aptos" w:hAnsi="Aptos"/>
          <w:bCs/>
          <w:color w:val="000000" w:themeColor="text1"/>
          <w:sz w:val="18"/>
          <w:szCs w:val="18"/>
        </w:rPr>
        <w:t>:</w:t>
      </w:r>
      <w:r w:rsidRPr="00581E03">
        <w:rPr>
          <w:rFonts w:ascii="Aptos" w:hAnsi="Aptos"/>
          <w:bCs/>
          <w:color w:val="000000" w:themeColor="text1"/>
          <w:sz w:val="18"/>
          <w:szCs w:val="18"/>
        </w:rPr>
        <w:t xml:space="preserve"> UNAM-Flores Editor y Distribuidor, 2015</w:t>
      </w:r>
      <w:r w:rsidR="00997387"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25">
    <w:p w14:paraId="14C6CCDA" w14:textId="7DD25D70"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i/>
          <w:color w:val="000000" w:themeColor="text1"/>
          <w:sz w:val="18"/>
          <w:szCs w:val="18"/>
        </w:rPr>
        <w:t>Ley de Amparo Reglamentaria de los artículos 103 y 107 de la Constitución Política de los Estados Unidos Mexicanos</w:t>
      </w:r>
      <w:r w:rsidRPr="00581E03">
        <w:rPr>
          <w:rFonts w:ascii="Aptos" w:hAnsi="Aptos"/>
          <w:bCs/>
          <w:color w:val="000000" w:themeColor="text1"/>
          <w:sz w:val="18"/>
          <w:szCs w:val="18"/>
        </w:rPr>
        <w:t xml:space="preserve">, Congreso General de los Estados Unidos Mexicanos, 2 de abril de 2013, </w:t>
      </w:r>
      <w:r w:rsidRPr="00581E03">
        <w:rPr>
          <w:rFonts w:ascii="Aptos" w:hAnsi="Aptos"/>
          <w:bCs/>
          <w:i/>
          <w:iCs/>
          <w:color w:val="000000" w:themeColor="text1"/>
          <w:sz w:val="18"/>
          <w:szCs w:val="18"/>
        </w:rPr>
        <w:t>Diario Oficial de la Federación</w:t>
      </w:r>
      <w:r w:rsidRPr="00581E03">
        <w:rPr>
          <w:rFonts w:ascii="Aptos" w:hAnsi="Aptos"/>
          <w:bCs/>
          <w:color w:val="000000" w:themeColor="text1"/>
          <w:sz w:val="18"/>
          <w:szCs w:val="18"/>
        </w:rPr>
        <w:t>.</w:t>
      </w:r>
    </w:p>
  </w:footnote>
  <w:footnote w:id="26">
    <w:p w14:paraId="29AD94E6" w14:textId="4F97EFF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Hernández Segovia, Arturo, </w:t>
      </w:r>
      <w:r w:rsidRPr="00581E03">
        <w:rPr>
          <w:rFonts w:ascii="Aptos" w:hAnsi="Aptos"/>
          <w:bCs/>
          <w:i/>
          <w:color w:val="000000" w:themeColor="text1"/>
          <w:sz w:val="18"/>
          <w:szCs w:val="18"/>
        </w:rPr>
        <w:t>El derecho de amparo</w:t>
      </w:r>
      <w:r w:rsidRPr="00581E03">
        <w:rPr>
          <w:rFonts w:ascii="Aptos" w:hAnsi="Aptos"/>
          <w:bCs/>
          <w:color w:val="000000" w:themeColor="text1"/>
          <w:sz w:val="18"/>
          <w:szCs w:val="18"/>
        </w:rPr>
        <w:t>, México, Porrúa, 2020.</w:t>
      </w:r>
    </w:p>
  </w:footnote>
  <w:footnote w:id="27">
    <w:p w14:paraId="5AFC4AD0" w14:textId="4B5B85B3" w:rsidR="002C7E35" w:rsidRPr="00581E03" w:rsidRDefault="002C7E35" w:rsidP="00581E03">
      <w:pPr>
        <w:pStyle w:val="BIOLpie"/>
        <w:rPr>
          <w:rFonts w:ascii="Aptos" w:hAnsi="Aptos"/>
          <w:sz w:val="18"/>
          <w:szCs w:val="18"/>
        </w:rPr>
      </w:pPr>
      <w:r w:rsidRPr="00581E03">
        <w:rPr>
          <w:rStyle w:val="Refdenotaalpie"/>
          <w:rFonts w:ascii="Aptos" w:hAnsi="Aptos"/>
          <w:sz w:val="18"/>
          <w:szCs w:val="18"/>
        </w:rPr>
        <w:footnoteRef/>
      </w:r>
      <w:r w:rsidRPr="00581E03">
        <w:rPr>
          <w:rFonts w:ascii="Aptos" w:hAnsi="Aptos"/>
          <w:sz w:val="18"/>
          <w:szCs w:val="18"/>
        </w:rPr>
        <w:t xml:space="preserve"> </w:t>
      </w:r>
      <w:bookmarkStart w:id="10" w:name="_Hlk217792479"/>
      <w:r w:rsidRPr="00581E03">
        <w:rPr>
          <w:rFonts w:ascii="Aptos" w:hAnsi="Aptos"/>
          <w:sz w:val="18"/>
          <w:szCs w:val="18"/>
        </w:rPr>
        <w:t xml:space="preserve">Artículo 107, fracción V, de la Ley de Amparo, Ley publicada en el </w:t>
      </w:r>
      <w:r w:rsidRPr="00581E03">
        <w:rPr>
          <w:rFonts w:ascii="Aptos" w:hAnsi="Aptos"/>
          <w:i/>
          <w:iCs/>
          <w:sz w:val="18"/>
          <w:szCs w:val="18"/>
        </w:rPr>
        <w:t>Diario Oficial de la Federación</w:t>
      </w:r>
      <w:bookmarkEnd w:id="10"/>
      <w:r w:rsidRPr="00581E03">
        <w:rPr>
          <w:rFonts w:ascii="Aptos" w:hAnsi="Aptos"/>
          <w:sz w:val="18"/>
          <w:szCs w:val="18"/>
        </w:rPr>
        <w:t>,</w:t>
      </w:r>
    </w:p>
  </w:footnote>
  <w:footnote w:id="28">
    <w:p w14:paraId="0335FCE5" w14:textId="07A5558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CB3EDA" w:rsidRPr="00581E03">
        <w:rPr>
          <w:rFonts w:ascii="Aptos" w:hAnsi="Aptos"/>
          <w:color w:val="000000" w:themeColor="text1"/>
          <w:sz w:val="18"/>
          <w:szCs w:val="18"/>
        </w:rPr>
        <w:t xml:space="preserve">Vicente Roberto </w:t>
      </w:r>
      <w:r w:rsidRPr="00581E03">
        <w:rPr>
          <w:rFonts w:ascii="Aptos" w:hAnsi="Aptos"/>
          <w:color w:val="000000" w:themeColor="text1"/>
          <w:sz w:val="18"/>
          <w:szCs w:val="18"/>
        </w:rPr>
        <w:t xml:space="preserve">Del Arenal Martínez, </w:t>
      </w:r>
      <w:r w:rsidRPr="00581E03">
        <w:rPr>
          <w:rFonts w:ascii="Aptos" w:hAnsi="Aptos"/>
          <w:i/>
          <w:color w:val="000000" w:themeColor="text1"/>
          <w:sz w:val="18"/>
          <w:szCs w:val="18"/>
        </w:rPr>
        <w:t>La jurisprudencia de los Tribunales Colegiados de Circuito</w:t>
      </w:r>
      <w:r w:rsidR="00CB3EDA" w:rsidRPr="00581E03">
        <w:rPr>
          <w:rFonts w:ascii="Aptos" w:hAnsi="Aptos"/>
          <w:i/>
          <w:color w:val="000000" w:themeColor="text1"/>
          <w:sz w:val="18"/>
          <w:szCs w:val="18"/>
        </w:rPr>
        <w:t xml:space="preserve"> </w:t>
      </w:r>
      <w:r w:rsidR="00CB3EDA" w:rsidRPr="00581E03">
        <w:rPr>
          <w:rFonts w:ascii="Aptos" w:hAnsi="Aptos"/>
          <w:iCs/>
          <w:color w:val="000000" w:themeColor="text1"/>
          <w:sz w:val="18"/>
          <w:szCs w:val="18"/>
        </w:rPr>
        <w:t>(</w:t>
      </w:r>
      <w:r w:rsidRPr="00581E03">
        <w:rPr>
          <w:rFonts w:ascii="Aptos" w:hAnsi="Aptos"/>
          <w:iCs/>
          <w:color w:val="000000" w:themeColor="text1"/>
          <w:sz w:val="18"/>
          <w:szCs w:val="18"/>
        </w:rPr>
        <w:t>México</w:t>
      </w:r>
      <w:r w:rsidR="00CB3EDA" w:rsidRPr="00581E03">
        <w:rPr>
          <w:rFonts w:ascii="Aptos" w:hAnsi="Aptos"/>
          <w:iCs/>
          <w:color w:val="000000" w:themeColor="text1"/>
          <w:sz w:val="18"/>
          <w:szCs w:val="18"/>
        </w:rPr>
        <w:t>:</w:t>
      </w:r>
      <w:r w:rsidRPr="00581E03">
        <w:rPr>
          <w:rFonts w:ascii="Aptos" w:hAnsi="Aptos"/>
          <w:color w:val="000000" w:themeColor="text1"/>
          <w:sz w:val="18"/>
          <w:szCs w:val="18"/>
        </w:rPr>
        <w:t xml:space="preserve"> Flores Editor y Distribuidor, 2020</w:t>
      </w:r>
      <w:r w:rsidR="00CB3EDA" w:rsidRPr="00581E03">
        <w:rPr>
          <w:rFonts w:ascii="Aptos" w:hAnsi="Aptos"/>
          <w:color w:val="000000" w:themeColor="text1"/>
          <w:sz w:val="18"/>
          <w:szCs w:val="18"/>
        </w:rPr>
        <w:t>)</w:t>
      </w:r>
      <w:r w:rsidRPr="00581E03">
        <w:rPr>
          <w:rFonts w:ascii="Aptos" w:hAnsi="Aptos"/>
          <w:color w:val="000000" w:themeColor="text1"/>
          <w:sz w:val="18"/>
          <w:szCs w:val="18"/>
        </w:rPr>
        <w:t>.</w:t>
      </w:r>
    </w:p>
  </w:footnote>
  <w:footnote w:id="29">
    <w:p w14:paraId="49339FA7" w14:textId="0DE83922" w:rsidR="00360385" w:rsidRPr="00581E03" w:rsidRDefault="00360385" w:rsidP="00581E03">
      <w:pPr>
        <w:pStyle w:val="BIOLpie"/>
        <w:rPr>
          <w:rFonts w:ascii="Aptos" w:hAnsi="Aptos"/>
          <w:bC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33575B" w:rsidRPr="00581E03">
        <w:rPr>
          <w:rFonts w:ascii="Aptos" w:hAnsi="Aptos"/>
          <w:bCs/>
          <w:color w:val="000000" w:themeColor="text1"/>
          <w:sz w:val="18"/>
          <w:szCs w:val="18"/>
        </w:rPr>
        <w:t xml:space="preserve">Francisco Rubén </w:t>
      </w:r>
      <w:r w:rsidRPr="00581E03">
        <w:rPr>
          <w:rFonts w:ascii="Aptos" w:hAnsi="Aptos"/>
          <w:bCs/>
          <w:color w:val="000000" w:themeColor="text1"/>
          <w:sz w:val="18"/>
          <w:szCs w:val="18"/>
        </w:rPr>
        <w:t xml:space="preserve">Quiñonez Huízar, </w:t>
      </w:r>
      <w:r w:rsidRPr="00581E03">
        <w:rPr>
          <w:rFonts w:ascii="Aptos" w:hAnsi="Aptos"/>
          <w:bCs/>
          <w:i/>
          <w:color w:val="000000" w:themeColor="text1"/>
          <w:sz w:val="18"/>
          <w:szCs w:val="18"/>
        </w:rPr>
        <w:t>Jurisprudencia y control constitucional en México</w:t>
      </w:r>
      <w:r w:rsidRPr="00581E03">
        <w:rPr>
          <w:rFonts w:ascii="Aptos" w:hAnsi="Aptos"/>
          <w:bCs/>
          <w:color w:val="000000" w:themeColor="text1"/>
          <w:sz w:val="18"/>
          <w:szCs w:val="18"/>
        </w:rPr>
        <w:t xml:space="preserve"> </w:t>
      </w:r>
      <w:r w:rsidR="0033575B" w:rsidRPr="00581E03">
        <w:rPr>
          <w:rFonts w:ascii="Aptos" w:hAnsi="Aptos"/>
          <w:bCs/>
          <w:color w:val="000000" w:themeColor="text1"/>
          <w:sz w:val="18"/>
          <w:szCs w:val="18"/>
        </w:rPr>
        <w:t>(</w:t>
      </w:r>
      <w:r w:rsidRPr="00581E03">
        <w:rPr>
          <w:rFonts w:ascii="Aptos" w:hAnsi="Aptos"/>
          <w:bCs/>
          <w:color w:val="000000" w:themeColor="text1"/>
          <w:sz w:val="18"/>
          <w:szCs w:val="18"/>
        </w:rPr>
        <w:t>México</w:t>
      </w:r>
      <w:r w:rsidR="0033575B" w:rsidRPr="00581E03">
        <w:rPr>
          <w:rFonts w:ascii="Aptos" w:hAnsi="Aptos"/>
          <w:bCs/>
          <w:color w:val="000000" w:themeColor="text1"/>
          <w:sz w:val="18"/>
          <w:szCs w:val="18"/>
        </w:rPr>
        <w:t>;</w:t>
      </w:r>
      <w:r w:rsidRPr="00581E03">
        <w:rPr>
          <w:rFonts w:ascii="Aptos" w:hAnsi="Aptos"/>
          <w:bCs/>
          <w:color w:val="000000" w:themeColor="text1"/>
          <w:sz w:val="18"/>
          <w:szCs w:val="18"/>
        </w:rPr>
        <w:t xml:space="preserve"> Flores Editor y Distribuidor, 2021</w:t>
      </w:r>
      <w:r w:rsidR="0033575B" w:rsidRPr="00581E03">
        <w:rPr>
          <w:rFonts w:ascii="Aptos" w:hAnsi="Aptos"/>
          <w:bCs/>
          <w:color w:val="000000" w:themeColor="text1"/>
          <w:sz w:val="18"/>
          <w:szCs w:val="18"/>
        </w:rPr>
        <w:t>).</w:t>
      </w:r>
    </w:p>
  </w:footnote>
  <w:footnote w:id="30">
    <w:p w14:paraId="5899A8CD" w14:textId="1470CC43" w:rsidR="00360385" w:rsidRPr="00581E03" w:rsidRDefault="00360385" w:rsidP="00581E03">
      <w:pPr>
        <w:pStyle w:val="BIOLpie"/>
        <w:rPr>
          <w:rFonts w:ascii="Aptos" w:hAnsi="Aptos"/>
          <w:color w:val="000000" w:themeColor="text1"/>
          <w:sz w:val="18"/>
          <w:szCs w:val="18"/>
          <w:lang w:val="es-ES"/>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Tesis Aislada P. XCVII/98, </w:t>
      </w:r>
      <w:r w:rsidRPr="00581E03">
        <w:rPr>
          <w:rFonts w:ascii="Aptos" w:hAnsi="Aptos"/>
          <w:i/>
          <w:iCs/>
          <w:color w:val="000000" w:themeColor="text1"/>
          <w:sz w:val="18"/>
          <w:szCs w:val="18"/>
        </w:rPr>
        <w:t>Semanario Judicial de la Federación y su Gaceta</w:t>
      </w:r>
      <w:r w:rsidRPr="00581E03">
        <w:rPr>
          <w:rFonts w:ascii="Aptos" w:hAnsi="Aptos"/>
          <w:color w:val="000000" w:themeColor="text1"/>
          <w:sz w:val="18"/>
          <w:szCs w:val="18"/>
        </w:rPr>
        <w:t>, Novena Época, t. VIII, diciembre de 1998,</w:t>
      </w:r>
      <w:r w:rsidR="0033575B" w:rsidRPr="00581E03">
        <w:rPr>
          <w:rFonts w:ascii="Aptos" w:hAnsi="Aptos"/>
          <w:color w:val="000000" w:themeColor="text1"/>
          <w:sz w:val="18"/>
          <w:szCs w:val="18"/>
        </w:rPr>
        <w:t xml:space="preserve"> </w:t>
      </w:r>
      <w:r w:rsidRPr="00581E03">
        <w:rPr>
          <w:rFonts w:ascii="Aptos" w:hAnsi="Aptos"/>
          <w:color w:val="000000" w:themeColor="text1"/>
          <w:sz w:val="18"/>
          <w:szCs w:val="18"/>
        </w:rPr>
        <w:t>223. Reg</w:t>
      </w:r>
      <w:r w:rsidR="0033575B" w:rsidRPr="00581E03">
        <w:rPr>
          <w:rFonts w:ascii="Aptos" w:hAnsi="Aptos"/>
          <w:color w:val="000000" w:themeColor="text1"/>
          <w:sz w:val="18"/>
          <w:szCs w:val="18"/>
        </w:rPr>
        <w:t>istro</w:t>
      </w:r>
      <w:r w:rsidRPr="00581E03">
        <w:rPr>
          <w:rFonts w:ascii="Aptos" w:hAnsi="Aptos"/>
          <w:color w:val="000000" w:themeColor="text1"/>
          <w:sz w:val="18"/>
          <w:szCs w:val="18"/>
        </w:rPr>
        <w:t xml:space="preserve"> digital: 194951)</w:t>
      </w:r>
      <w:r w:rsidR="0033575B" w:rsidRPr="00581E03">
        <w:rPr>
          <w:rFonts w:ascii="Aptos" w:hAnsi="Aptos"/>
          <w:color w:val="000000" w:themeColor="text1"/>
          <w:sz w:val="18"/>
          <w:szCs w:val="18"/>
        </w:rPr>
        <w:t xml:space="preserve">. </w:t>
      </w:r>
      <w:r w:rsidRPr="00581E03">
        <w:rPr>
          <w:rFonts w:ascii="Aptos" w:hAnsi="Aptos"/>
          <w:color w:val="000000" w:themeColor="text1"/>
          <w:sz w:val="18"/>
          <w:szCs w:val="18"/>
        </w:rPr>
        <w:t>Tesis Aislada: VIII.1o.P.A.11 A (11a.), Gaceta del Semanario Judicial de la Federación, Undécima Época, t. IV, l. 19, noviembre de 2022, pág. 3757.</w:t>
      </w:r>
    </w:p>
  </w:footnote>
  <w:footnote w:id="31">
    <w:p w14:paraId="308B74D5" w14:textId="0C4C1714"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bookmarkStart w:id="11" w:name="_Hlk211016622"/>
      <w:r w:rsidRPr="00581E03">
        <w:rPr>
          <w:rFonts w:ascii="Aptos" w:hAnsi="Aptos"/>
          <w:bCs/>
          <w:color w:val="000000" w:themeColor="text1"/>
          <w:sz w:val="18"/>
          <w:szCs w:val="18"/>
        </w:rPr>
        <w:t>Tesis</w:t>
      </w:r>
      <w:r w:rsidR="0033575B" w:rsidRPr="00581E03">
        <w:rPr>
          <w:rFonts w:ascii="Aptos" w:hAnsi="Aptos"/>
          <w:bCs/>
          <w:color w:val="000000" w:themeColor="text1"/>
          <w:sz w:val="18"/>
          <w:szCs w:val="18"/>
        </w:rPr>
        <w:t xml:space="preserve"> Aislada </w:t>
      </w:r>
      <w:r w:rsidRPr="00581E03">
        <w:rPr>
          <w:rFonts w:ascii="Aptos" w:hAnsi="Aptos"/>
          <w:bCs/>
          <w:color w:val="000000" w:themeColor="text1"/>
          <w:sz w:val="18"/>
          <w:szCs w:val="18"/>
        </w:rPr>
        <w:t>P. XLVIII/2000</w:t>
      </w:r>
      <w:bookmarkEnd w:id="11"/>
      <w:r w:rsidRPr="00581E03">
        <w:rPr>
          <w:rFonts w:ascii="Aptos" w:hAnsi="Aptos"/>
          <w:bCs/>
          <w:color w:val="000000" w:themeColor="text1"/>
          <w:sz w:val="18"/>
          <w:szCs w:val="18"/>
        </w:rPr>
        <w:t xml:space="preserve">, </w:t>
      </w:r>
      <w:r w:rsidRPr="00581E03">
        <w:rPr>
          <w:rFonts w:ascii="Aptos" w:hAnsi="Aptos"/>
          <w:bCs/>
          <w:i/>
          <w:iCs/>
          <w:color w:val="000000" w:themeColor="text1"/>
          <w:sz w:val="18"/>
          <w:szCs w:val="18"/>
        </w:rPr>
        <w:t>Semanario Judicial de la Federación y su Gaceta</w:t>
      </w:r>
      <w:r w:rsidRPr="00581E03">
        <w:rPr>
          <w:rFonts w:ascii="Aptos" w:hAnsi="Aptos"/>
          <w:bCs/>
          <w:color w:val="000000" w:themeColor="text1"/>
          <w:sz w:val="18"/>
          <w:szCs w:val="18"/>
        </w:rPr>
        <w:t>, Novena Época, t. XI, abril de 2000,</w:t>
      </w:r>
      <w:r w:rsidR="0033575B" w:rsidRPr="00581E03">
        <w:rPr>
          <w:rFonts w:ascii="Aptos" w:hAnsi="Aptos"/>
          <w:bCs/>
          <w:color w:val="000000" w:themeColor="text1"/>
          <w:sz w:val="18"/>
          <w:szCs w:val="18"/>
        </w:rPr>
        <w:t xml:space="preserve"> </w:t>
      </w:r>
      <w:r w:rsidRPr="00581E03">
        <w:rPr>
          <w:rFonts w:ascii="Aptos" w:hAnsi="Aptos"/>
          <w:bCs/>
          <w:color w:val="000000" w:themeColor="text1"/>
          <w:sz w:val="18"/>
          <w:szCs w:val="18"/>
        </w:rPr>
        <w:t>65.</w:t>
      </w:r>
    </w:p>
  </w:footnote>
  <w:footnote w:id="32">
    <w:p w14:paraId="710DD0E7" w14:textId="12C98A22"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3E6FEA" w:rsidRPr="00581E03">
        <w:rPr>
          <w:rStyle w:val="bold"/>
          <w:rFonts w:ascii="Aptos" w:hAnsi="Aptos"/>
          <w:bCs/>
          <w:color w:val="000000" w:themeColor="text1"/>
          <w:sz w:val="18"/>
          <w:szCs w:val="18"/>
        </w:rPr>
        <w:t xml:space="preserve">Verónica </w:t>
      </w:r>
      <w:r w:rsidRPr="00581E03">
        <w:rPr>
          <w:rStyle w:val="bold"/>
          <w:rFonts w:ascii="Aptos" w:hAnsi="Aptos"/>
          <w:bCs/>
          <w:color w:val="000000" w:themeColor="text1"/>
          <w:sz w:val="18"/>
          <w:szCs w:val="18"/>
        </w:rPr>
        <w:t xml:space="preserve">Cervera Torres y </w:t>
      </w:r>
      <w:r w:rsidR="003E6FEA" w:rsidRPr="00581E03">
        <w:rPr>
          <w:rStyle w:val="bold"/>
          <w:rFonts w:ascii="Aptos" w:hAnsi="Aptos"/>
          <w:bCs/>
          <w:color w:val="000000" w:themeColor="text1"/>
          <w:sz w:val="18"/>
          <w:szCs w:val="18"/>
        </w:rPr>
        <w:t xml:space="preserve">Sylvia </w:t>
      </w:r>
      <w:r w:rsidRPr="00581E03">
        <w:rPr>
          <w:rStyle w:val="bold"/>
          <w:rFonts w:ascii="Aptos" w:hAnsi="Aptos"/>
          <w:bCs/>
          <w:color w:val="000000" w:themeColor="text1"/>
          <w:sz w:val="18"/>
          <w:szCs w:val="18"/>
        </w:rPr>
        <w:t>Torres Caballero</w:t>
      </w:r>
      <w:r w:rsidR="003E6FEA" w:rsidRPr="00581E03">
        <w:rPr>
          <w:rStyle w:val="bold"/>
          <w:rFonts w:ascii="Aptos" w:hAnsi="Aptos"/>
          <w:bCs/>
          <w:color w:val="000000" w:themeColor="text1"/>
          <w:sz w:val="18"/>
          <w:szCs w:val="18"/>
        </w:rPr>
        <w:t xml:space="preserve">, </w:t>
      </w:r>
      <w:r w:rsidRPr="00581E03">
        <w:rPr>
          <w:rStyle w:val="bold"/>
          <w:rFonts w:ascii="Aptos" w:hAnsi="Aptos"/>
          <w:bCs/>
          <w:color w:val="000000" w:themeColor="text1"/>
          <w:sz w:val="18"/>
          <w:szCs w:val="18"/>
        </w:rPr>
        <w:t>“</w:t>
      </w:r>
      <w:r w:rsidRPr="00581E03">
        <w:rPr>
          <w:rStyle w:val="bold"/>
          <w:rFonts w:ascii="Aptos" w:hAnsi="Aptos"/>
          <w:bCs/>
          <w:iCs/>
          <w:color w:val="000000" w:themeColor="text1"/>
          <w:sz w:val="18"/>
          <w:szCs w:val="18"/>
        </w:rPr>
        <w:t>La Comisión Nacional de los Derechos Humanos como autoridad responsable para efectos del Juicio de Amparo</w:t>
      </w:r>
      <w:r w:rsidRPr="00581E03">
        <w:rPr>
          <w:rStyle w:val="bold"/>
          <w:rFonts w:ascii="Aptos" w:hAnsi="Aptos"/>
          <w:bCs/>
          <w:color w:val="000000" w:themeColor="text1"/>
          <w:sz w:val="18"/>
          <w:szCs w:val="18"/>
        </w:rPr>
        <w:t xml:space="preserve">”, </w:t>
      </w:r>
      <w:r w:rsidRPr="00581E03">
        <w:rPr>
          <w:rStyle w:val="bold"/>
          <w:rFonts w:ascii="Aptos" w:hAnsi="Aptos"/>
          <w:bCs/>
          <w:i/>
          <w:iCs/>
          <w:color w:val="000000" w:themeColor="text1"/>
          <w:sz w:val="18"/>
          <w:szCs w:val="18"/>
        </w:rPr>
        <w:t>Revista del Posgrado en Derecho de la UNAM</w:t>
      </w:r>
      <w:r w:rsidR="003E6FEA" w:rsidRPr="00581E03">
        <w:rPr>
          <w:rStyle w:val="bold"/>
          <w:rFonts w:ascii="Aptos" w:hAnsi="Aptos"/>
          <w:bCs/>
          <w:color w:val="000000" w:themeColor="text1"/>
          <w:sz w:val="18"/>
          <w:szCs w:val="18"/>
        </w:rPr>
        <w:t xml:space="preserve">, </w:t>
      </w:r>
      <w:r w:rsidRPr="00581E03">
        <w:rPr>
          <w:rStyle w:val="bold"/>
          <w:rFonts w:ascii="Aptos" w:hAnsi="Aptos"/>
          <w:bCs/>
          <w:color w:val="000000" w:themeColor="text1"/>
          <w:sz w:val="18"/>
          <w:szCs w:val="18"/>
        </w:rPr>
        <w:t xml:space="preserve"> </w:t>
      </w:r>
      <w:r w:rsidR="003E6FEA" w:rsidRPr="00581E03">
        <w:rPr>
          <w:rStyle w:val="bold"/>
          <w:rFonts w:ascii="Aptos" w:hAnsi="Aptos"/>
          <w:bCs/>
          <w:color w:val="000000" w:themeColor="text1"/>
          <w:sz w:val="18"/>
          <w:szCs w:val="18"/>
        </w:rPr>
        <w:t>n.</w:t>
      </w:r>
      <w:r w:rsidR="003E6FEA" w:rsidRPr="00581E03">
        <w:rPr>
          <w:rStyle w:val="bold"/>
          <w:rFonts w:ascii="Aptos" w:hAnsi="Aptos"/>
          <w:bCs/>
          <w:color w:val="000000" w:themeColor="text1"/>
          <w:sz w:val="18"/>
          <w:szCs w:val="18"/>
          <w:vertAlign w:val="superscript"/>
        </w:rPr>
        <w:t>o</w:t>
      </w:r>
      <w:r w:rsidRPr="00581E03">
        <w:rPr>
          <w:rStyle w:val="bold"/>
          <w:rFonts w:ascii="Aptos" w:hAnsi="Aptos"/>
          <w:bCs/>
          <w:color w:val="000000" w:themeColor="text1"/>
          <w:sz w:val="18"/>
          <w:szCs w:val="18"/>
        </w:rPr>
        <w:t xml:space="preserve"> 6</w:t>
      </w:r>
      <w:r w:rsidR="003E6FEA" w:rsidRPr="00581E03">
        <w:rPr>
          <w:rStyle w:val="bold"/>
          <w:rFonts w:ascii="Aptos" w:hAnsi="Aptos"/>
          <w:bCs/>
          <w:color w:val="000000" w:themeColor="text1"/>
          <w:sz w:val="18"/>
          <w:szCs w:val="18"/>
        </w:rPr>
        <w:t xml:space="preserve"> (2017): </w:t>
      </w:r>
      <w:r w:rsidRPr="00581E03">
        <w:rPr>
          <w:rStyle w:val="bold"/>
          <w:rFonts w:ascii="Aptos" w:hAnsi="Aptos"/>
          <w:bCs/>
          <w:color w:val="000000" w:themeColor="text1"/>
          <w:sz w:val="18"/>
          <w:szCs w:val="18"/>
        </w:rPr>
        <w:t>153-171.</w:t>
      </w:r>
    </w:p>
  </w:footnote>
  <w:footnote w:id="33">
    <w:p w14:paraId="43F8EADA" w14:textId="58C507AD"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Tesis: 1a./J. 23/2018 (10a.), </w:t>
      </w:r>
      <w:r w:rsidRPr="00581E03">
        <w:rPr>
          <w:rFonts w:ascii="Aptos" w:hAnsi="Aptos"/>
          <w:bCs/>
          <w:i/>
          <w:iCs/>
          <w:color w:val="000000" w:themeColor="text1"/>
          <w:sz w:val="18"/>
          <w:szCs w:val="18"/>
        </w:rPr>
        <w:t>Gaceta del Semanario Judicial de la Federación</w:t>
      </w:r>
      <w:r w:rsidRPr="00581E03">
        <w:rPr>
          <w:rFonts w:ascii="Aptos" w:hAnsi="Aptos"/>
          <w:bCs/>
          <w:color w:val="000000" w:themeColor="text1"/>
          <w:sz w:val="18"/>
          <w:szCs w:val="18"/>
        </w:rPr>
        <w:t>, Décima Época, t. I, l. 59, octubre de 2018,</w:t>
      </w:r>
      <w:r w:rsidR="003E6FEA" w:rsidRPr="00581E03">
        <w:rPr>
          <w:rFonts w:ascii="Aptos" w:hAnsi="Aptos"/>
          <w:bCs/>
          <w:color w:val="000000" w:themeColor="text1"/>
          <w:sz w:val="18"/>
          <w:szCs w:val="18"/>
        </w:rPr>
        <w:t xml:space="preserve"> </w:t>
      </w:r>
      <w:r w:rsidRPr="00581E03">
        <w:rPr>
          <w:rFonts w:ascii="Aptos" w:hAnsi="Aptos"/>
          <w:bCs/>
          <w:color w:val="000000" w:themeColor="text1"/>
          <w:sz w:val="18"/>
          <w:szCs w:val="18"/>
        </w:rPr>
        <w:t>716.</w:t>
      </w:r>
    </w:p>
  </w:footnote>
  <w:footnote w:id="34">
    <w:p w14:paraId="2D0E4216" w14:textId="1E19809C" w:rsidR="00360385" w:rsidRPr="00581E03" w:rsidRDefault="00360385" w:rsidP="00581E03">
      <w:pPr>
        <w:pStyle w:val="BIOLpie"/>
        <w:rPr>
          <w:rFonts w:ascii="Aptos" w:hAnsi="Aptos"/>
          <w:color w:val="000000" w:themeColor="text1"/>
          <w:sz w:val="18"/>
          <w:szCs w:val="18"/>
          <w:lang w:val="es-ES"/>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Tesis</w:t>
      </w:r>
      <w:r w:rsidR="003E6FEA" w:rsidRPr="00581E03">
        <w:rPr>
          <w:rFonts w:ascii="Aptos" w:hAnsi="Aptos"/>
          <w:bCs/>
          <w:color w:val="000000" w:themeColor="text1"/>
          <w:sz w:val="18"/>
          <w:szCs w:val="18"/>
        </w:rPr>
        <w:t xml:space="preserve"> </w:t>
      </w:r>
      <w:r w:rsidRPr="00581E03">
        <w:rPr>
          <w:rFonts w:ascii="Aptos" w:hAnsi="Aptos"/>
          <w:bCs/>
          <w:color w:val="000000" w:themeColor="text1"/>
          <w:sz w:val="18"/>
          <w:szCs w:val="18"/>
        </w:rPr>
        <w:t xml:space="preserve">P./J. 13/2025 (11a.), </w:t>
      </w:r>
      <w:r w:rsidRPr="00581E03">
        <w:rPr>
          <w:rFonts w:ascii="Aptos" w:hAnsi="Aptos"/>
          <w:bCs/>
          <w:i/>
          <w:iCs/>
          <w:color w:val="000000" w:themeColor="text1"/>
          <w:sz w:val="18"/>
          <w:szCs w:val="18"/>
        </w:rPr>
        <w:t>Semanario Judicial de la Federación</w:t>
      </w:r>
      <w:r w:rsidRPr="00581E03">
        <w:rPr>
          <w:rFonts w:ascii="Aptos" w:hAnsi="Aptos"/>
          <w:bCs/>
          <w:color w:val="000000" w:themeColor="text1"/>
          <w:sz w:val="18"/>
          <w:szCs w:val="18"/>
        </w:rPr>
        <w:t>, Undécima Época, agosto de 2025. Reg</w:t>
      </w:r>
      <w:r w:rsidR="003E6FEA" w:rsidRPr="00581E03">
        <w:rPr>
          <w:rFonts w:ascii="Aptos" w:hAnsi="Aptos"/>
          <w:bCs/>
          <w:color w:val="000000" w:themeColor="text1"/>
          <w:sz w:val="18"/>
          <w:szCs w:val="18"/>
        </w:rPr>
        <w:t>istro</w:t>
      </w:r>
      <w:r w:rsidRPr="00581E03">
        <w:rPr>
          <w:rFonts w:ascii="Aptos" w:hAnsi="Aptos"/>
          <w:bCs/>
          <w:color w:val="000000" w:themeColor="text1"/>
          <w:sz w:val="18"/>
          <w:szCs w:val="18"/>
        </w:rPr>
        <w:t xml:space="preserve"> digital: 2030791. </w:t>
      </w:r>
    </w:p>
  </w:footnote>
  <w:footnote w:id="35">
    <w:p w14:paraId="0415A58D" w14:textId="363BFCF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A44AC5" w:rsidRPr="00581E03">
        <w:rPr>
          <w:rFonts w:ascii="Aptos" w:hAnsi="Aptos"/>
          <w:bCs/>
          <w:color w:val="000000" w:themeColor="text1"/>
          <w:sz w:val="18"/>
          <w:szCs w:val="18"/>
        </w:rPr>
        <w:t xml:space="preserve">Víctor Eduardo </w:t>
      </w:r>
      <w:r w:rsidRPr="00581E03">
        <w:rPr>
          <w:rFonts w:ascii="Aptos" w:hAnsi="Aptos"/>
          <w:bCs/>
          <w:color w:val="000000" w:themeColor="text1"/>
          <w:sz w:val="18"/>
          <w:szCs w:val="18"/>
        </w:rPr>
        <w:t xml:space="preserve">Orozco Solano, </w:t>
      </w:r>
      <w:r w:rsidRPr="00581E03">
        <w:rPr>
          <w:rFonts w:ascii="Aptos" w:hAnsi="Aptos"/>
          <w:bCs/>
          <w:i/>
          <w:color w:val="000000" w:themeColor="text1"/>
          <w:sz w:val="18"/>
          <w:szCs w:val="18"/>
        </w:rPr>
        <w:t>La fuerza normativa de la Constitución</w:t>
      </w:r>
      <w:r w:rsidR="00A44AC5" w:rsidRPr="00581E03">
        <w:rPr>
          <w:rFonts w:ascii="Aptos" w:hAnsi="Aptos"/>
          <w:bCs/>
          <w:color w:val="000000" w:themeColor="text1"/>
          <w:sz w:val="18"/>
          <w:szCs w:val="18"/>
        </w:rPr>
        <w:t xml:space="preserve"> (</w:t>
      </w:r>
      <w:r w:rsidRPr="00581E03">
        <w:rPr>
          <w:rFonts w:ascii="Aptos" w:hAnsi="Aptos"/>
          <w:bCs/>
          <w:color w:val="000000" w:themeColor="text1"/>
          <w:sz w:val="18"/>
          <w:szCs w:val="18"/>
        </w:rPr>
        <w:t>México</w:t>
      </w:r>
      <w:r w:rsidR="00A44AC5" w:rsidRPr="00581E03">
        <w:rPr>
          <w:rFonts w:ascii="Aptos" w:hAnsi="Aptos"/>
          <w:bCs/>
          <w:color w:val="000000" w:themeColor="text1"/>
          <w:sz w:val="18"/>
          <w:szCs w:val="18"/>
        </w:rPr>
        <w:t xml:space="preserve">: </w:t>
      </w:r>
      <w:r w:rsidRPr="00581E03">
        <w:rPr>
          <w:rFonts w:ascii="Aptos" w:hAnsi="Aptos"/>
          <w:bCs/>
          <w:color w:val="000000" w:themeColor="text1"/>
          <w:sz w:val="18"/>
          <w:szCs w:val="18"/>
        </w:rPr>
        <w:t>Porrúa, 2017</w:t>
      </w:r>
      <w:r w:rsidR="00A44AC5" w:rsidRPr="00581E03">
        <w:rPr>
          <w:rFonts w:ascii="Aptos" w:hAnsi="Aptos"/>
          <w:bCs/>
          <w:color w:val="000000" w:themeColor="text1"/>
          <w:sz w:val="18"/>
          <w:szCs w:val="18"/>
        </w:rPr>
        <w:t>).</w:t>
      </w:r>
    </w:p>
  </w:footnote>
  <w:footnote w:id="36">
    <w:p w14:paraId="4D7CB42A" w14:textId="6D9C2644"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Tesis P./J. 20/2007, </w:t>
      </w:r>
      <w:r w:rsidRPr="00581E03">
        <w:rPr>
          <w:rFonts w:ascii="Aptos" w:hAnsi="Aptos"/>
          <w:i/>
          <w:iCs/>
          <w:color w:val="000000" w:themeColor="text1"/>
          <w:sz w:val="18"/>
          <w:szCs w:val="18"/>
        </w:rPr>
        <w:t>Semanario Judicial de la Federación y su Gacet</w:t>
      </w:r>
      <w:r w:rsidRPr="00581E03">
        <w:rPr>
          <w:rFonts w:ascii="Aptos" w:hAnsi="Aptos"/>
          <w:color w:val="000000" w:themeColor="text1"/>
          <w:sz w:val="18"/>
          <w:szCs w:val="18"/>
        </w:rPr>
        <w:t>a, Novena Época, t. XXV, mayo de 2007, 1647.</w:t>
      </w:r>
    </w:p>
  </w:footnote>
  <w:footnote w:id="37">
    <w:p w14:paraId="7DF12300" w14:textId="493C05E9"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A44AC5" w:rsidRPr="00581E03">
        <w:rPr>
          <w:rFonts w:ascii="Aptos" w:hAnsi="Aptos"/>
          <w:bCs/>
          <w:color w:val="000000" w:themeColor="text1"/>
          <w:sz w:val="18"/>
          <w:szCs w:val="18"/>
        </w:rPr>
        <w:t>Luis Raúl González Pérez, “El sistema no-jurisdiccional…</w:t>
      </w:r>
    </w:p>
  </w:footnote>
  <w:footnote w:id="38">
    <w:p w14:paraId="1FB45E2F" w14:textId="7777777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i/>
          <w:color w:val="000000" w:themeColor="text1"/>
          <w:sz w:val="18"/>
          <w:szCs w:val="18"/>
        </w:rPr>
        <w:t>Convención Americana sobre Derechos Humanos</w:t>
      </w:r>
      <w:r w:rsidRPr="00581E03">
        <w:rPr>
          <w:rFonts w:ascii="Aptos" w:hAnsi="Aptos"/>
          <w:color w:val="000000" w:themeColor="text1"/>
          <w:sz w:val="18"/>
          <w:szCs w:val="18"/>
        </w:rPr>
        <w:t xml:space="preserve">, 09 de enero de 1980, </w:t>
      </w:r>
      <w:r w:rsidRPr="00581E03">
        <w:rPr>
          <w:rFonts w:ascii="Aptos" w:hAnsi="Aptos"/>
          <w:i/>
          <w:iCs/>
          <w:color w:val="000000" w:themeColor="text1"/>
          <w:sz w:val="18"/>
          <w:szCs w:val="18"/>
        </w:rPr>
        <w:t>Diario Oficial de la Federación</w:t>
      </w:r>
      <w:r w:rsidRPr="00581E03">
        <w:rPr>
          <w:rFonts w:ascii="Aptos" w:hAnsi="Aptos"/>
          <w:color w:val="000000" w:themeColor="text1"/>
          <w:sz w:val="18"/>
          <w:szCs w:val="18"/>
        </w:rPr>
        <w:t>.</w:t>
      </w:r>
    </w:p>
  </w:footnote>
  <w:footnote w:id="39">
    <w:p w14:paraId="012EC497" w14:textId="62351793" w:rsidR="00360385" w:rsidRPr="00581E03" w:rsidRDefault="00360385" w:rsidP="00581E03">
      <w:pPr>
        <w:pStyle w:val="BIOLpie"/>
        <w:rPr>
          <w:rFonts w:ascii="Aptos" w:hAnsi="Aptos"/>
          <w:color w:val="000000" w:themeColor="text1"/>
          <w:sz w:val="18"/>
          <w:szCs w:val="18"/>
          <w:lang w:val="es-ES"/>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i/>
          <w:color w:val="000000" w:themeColor="text1"/>
          <w:sz w:val="18"/>
          <w:szCs w:val="18"/>
        </w:rPr>
        <w:t>Comisión Interamericana de Derechos Humanos</w:t>
      </w:r>
      <w:r w:rsidRPr="00581E03">
        <w:rPr>
          <w:rFonts w:ascii="Aptos" w:hAnsi="Aptos"/>
          <w:bCs/>
          <w:color w:val="000000" w:themeColor="text1"/>
          <w:sz w:val="18"/>
          <w:szCs w:val="18"/>
        </w:rPr>
        <w:t xml:space="preserve">, 08 de enero de 1998, </w:t>
      </w:r>
      <w:r w:rsidRPr="00581E03">
        <w:rPr>
          <w:rFonts w:ascii="Aptos" w:hAnsi="Aptos"/>
          <w:bCs/>
          <w:i/>
          <w:iCs/>
          <w:color w:val="000000" w:themeColor="text1"/>
          <w:sz w:val="18"/>
          <w:szCs w:val="18"/>
        </w:rPr>
        <w:t>Diario Oficial de la Federación</w:t>
      </w:r>
      <w:r w:rsidRPr="00581E03">
        <w:rPr>
          <w:rFonts w:ascii="Aptos" w:hAnsi="Aptos"/>
          <w:bCs/>
          <w:color w:val="000000" w:themeColor="text1"/>
          <w:sz w:val="18"/>
          <w:szCs w:val="18"/>
        </w:rPr>
        <w:t>.</w:t>
      </w:r>
    </w:p>
  </w:footnote>
  <w:footnote w:id="40">
    <w:p w14:paraId="5F2F8C02" w14:textId="3920F2A2"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A44AC5" w:rsidRPr="00581E03">
        <w:rPr>
          <w:rFonts w:ascii="Aptos" w:hAnsi="Aptos"/>
          <w:color w:val="000000" w:themeColor="text1"/>
          <w:sz w:val="18"/>
          <w:szCs w:val="18"/>
        </w:rPr>
        <w:t xml:space="preserve">Arturo </w:t>
      </w:r>
      <w:r w:rsidRPr="00581E03">
        <w:rPr>
          <w:rFonts w:ascii="Aptos" w:hAnsi="Aptos"/>
          <w:color w:val="000000" w:themeColor="text1"/>
          <w:sz w:val="18"/>
          <w:szCs w:val="18"/>
        </w:rPr>
        <w:t xml:space="preserve">Altamirano González, </w:t>
      </w:r>
      <w:r w:rsidRPr="00581E03">
        <w:rPr>
          <w:rFonts w:ascii="Aptos" w:hAnsi="Aptos"/>
          <w:i/>
          <w:color w:val="000000" w:themeColor="text1"/>
          <w:sz w:val="18"/>
          <w:szCs w:val="18"/>
        </w:rPr>
        <w:t>El amparo contra el sobreseimiento y desistimiento de la acción penal en el sistema penal acusatorio de México</w:t>
      </w:r>
      <w:r w:rsidR="00A44AC5" w:rsidRPr="00581E03">
        <w:rPr>
          <w:rFonts w:ascii="Aptos" w:hAnsi="Aptos"/>
          <w:color w:val="000000" w:themeColor="text1"/>
          <w:sz w:val="18"/>
          <w:szCs w:val="18"/>
        </w:rPr>
        <w:t xml:space="preserve"> (</w:t>
      </w:r>
      <w:r w:rsidRPr="00581E03">
        <w:rPr>
          <w:rFonts w:ascii="Aptos" w:hAnsi="Aptos"/>
          <w:color w:val="000000" w:themeColor="text1"/>
          <w:sz w:val="18"/>
          <w:szCs w:val="18"/>
        </w:rPr>
        <w:t>México</w:t>
      </w:r>
      <w:r w:rsidR="00A44AC5" w:rsidRPr="00581E03">
        <w:rPr>
          <w:rFonts w:ascii="Aptos" w:hAnsi="Aptos"/>
          <w:color w:val="000000" w:themeColor="text1"/>
          <w:sz w:val="18"/>
          <w:szCs w:val="18"/>
        </w:rPr>
        <w:t>:</w:t>
      </w:r>
      <w:r w:rsidRPr="00581E03">
        <w:rPr>
          <w:rFonts w:ascii="Aptos" w:hAnsi="Aptos"/>
          <w:color w:val="000000" w:themeColor="text1"/>
          <w:sz w:val="18"/>
          <w:szCs w:val="18"/>
        </w:rPr>
        <w:t xml:space="preserve"> UBIJUS, 2021</w:t>
      </w:r>
      <w:r w:rsidR="00A44AC5" w:rsidRPr="00581E03">
        <w:rPr>
          <w:rFonts w:ascii="Aptos" w:hAnsi="Aptos"/>
          <w:color w:val="000000" w:themeColor="text1"/>
          <w:sz w:val="18"/>
          <w:szCs w:val="18"/>
        </w:rPr>
        <w:t>)</w:t>
      </w:r>
      <w:r w:rsidRPr="00581E03">
        <w:rPr>
          <w:rFonts w:ascii="Aptos" w:hAnsi="Aptos"/>
          <w:color w:val="000000" w:themeColor="text1"/>
          <w:sz w:val="18"/>
          <w:szCs w:val="18"/>
        </w:rPr>
        <w:t>.</w:t>
      </w:r>
    </w:p>
  </w:footnote>
  <w:footnote w:id="41">
    <w:p w14:paraId="6045075A" w14:textId="23987AD3"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A44AC5" w:rsidRPr="00581E03">
        <w:rPr>
          <w:rFonts w:ascii="Aptos" w:hAnsi="Aptos"/>
          <w:bCs/>
          <w:color w:val="000000" w:themeColor="text1"/>
          <w:sz w:val="18"/>
          <w:szCs w:val="18"/>
        </w:rPr>
        <w:t xml:space="preserve">Miguel </w:t>
      </w:r>
      <w:r w:rsidRPr="00581E03">
        <w:rPr>
          <w:rFonts w:ascii="Aptos" w:hAnsi="Aptos"/>
          <w:bCs/>
          <w:color w:val="000000" w:themeColor="text1"/>
          <w:sz w:val="18"/>
          <w:szCs w:val="18"/>
        </w:rPr>
        <w:t xml:space="preserve">Carbonell, </w:t>
      </w:r>
      <w:r w:rsidRPr="00581E03">
        <w:rPr>
          <w:rFonts w:ascii="Aptos" w:hAnsi="Aptos"/>
          <w:bCs/>
          <w:i/>
          <w:color w:val="000000" w:themeColor="text1"/>
          <w:sz w:val="18"/>
          <w:szCs w:val="18"/>
        </w:rPr>
        <w:t>El ABC de los derechos humanos y del control de convencionalidad</w:t>
      </w:r>
      <w:r w:rsidR="00913BA9" w:rsidRPr="00581E03">
        <w:rPr>
          <w:rFonts w:ascii="Aptos" w:hAnsi="Aptos"/>
          <w:bCs/>
          <w:color w:val="000000" w:themeColor="text1"/>
          <w:sz w:val="18"/>
          <w:szCs w:val="18"/>
        </w:rPr>
        <w:t xml:space="preserve"> (</w:t>
      </w:r>
      <w:r w:rsidRPr="00581E03">
        <w:rPr>
          <w:rFonts w:ascii="Aptos" w:hAnsi="Aptos"/>
          <w:bCs/>
          <w:color w:val="000000" w:themeColor="text1"/>
          <w:sz w:val="18"/>
          <w:szCs w:val="18"/>
        </w:rPr>
        <w:t>México</w:t>
      </w:r>
      <w:r w:rsidR="00913BA9" w:rsidRPr="00581E03">
        <w:rPr>
          <w:rFonts w:ascii="Aptos" w:hAnsi="Aptos"/>
          <w:bCs/>
          <w:color w:val="000000" w:themeColor="text1"/>
          <w:sz w:val="18"/>
          <w:szCs w:val="18"/>
        </w:rPr>
        <w:t>:</w:t>
      </w:r>
      <w:r w:rsidRPr="00581E03">
        <w:rPr>
          <w:rFonts w:ascii="Aptos" w:hAnsi="Aptos"/>
          <w:bCs/>
          <w:color w:val="000000" w:themeColor="text1"/>
          <w:sz w:val="18"/>
          <w:szCs w:val="18"/>
        </w:rPr>
        <w:t xml:space="preserve"> Porrúa, 2014</w:t>
      </w:r>
      <w:r w:rsidR="00913BA9"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42">
    <w:p w14:paraId="5337F65D" w14:textId="1D5A2709"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 Tesis</w:t>
      </w:r>
      <w:r w:rsidR="00913BA9" w:rsidRPr="00581E03">
        <w:rPr>
          <w:rFonts w:ascii="Aptos" w:hAnsi="Aptos"/>
          <w:bCs/>
          <w:color w:val="000000" w:themeColor="text1"/>
          <w:sz w:val="18"/>
          <w:szCs w:val="18"/>
        </w:rPr>
        <w:t xml:space="preserve"> </w:t>
      </w:r>
      <w:r w:rsidRPr="00581E03">
        <w:rPr>
          <w:rFonts w:ascii="Aptos" w:hAnsi="Aptos"/>
          <w:bCs/>
          <w:color w:val="000000" w:themeColor="text1"/>
          <w:sz w:val="18"/>
          <w:szCs w:val="18"/>
        </w:rPr>
        <w:t xml:space="preserve">P./J. 21/2014 (10a.), </w:t>
      </w:r>
      <w:r w:rsidRPr="00581E03">
        <w:rPr>
          <w:rFonts w:ascii="Aptos" w:hAnsi="Aptos"/>
          <w:bCs/>
          <w:i/>
          <w:iCs/>
          <w:color w:val="000000" w:themeColor="text1"/>
          <w:sz w:val="18"/>
          <w:szCs w:val="18"/>
        </w:rPr>
        <w:t>Gaceta del Semanario Judicial de la Federación</w:t>
      </w:r>
      <w:r w:rsidRPr="00581E03">
        <w:rPr>
          <w:rFonts w:ascii="Aptos" w:hAnsi="Aptos"/>
          <w:bCs/>
          <w:color w:val="000000" w:themeColor="text1"/>
          <w:sz w:val="18"/>
          <w:szCs w:val="18"/>
        </w:rPr>
        <w:t>, t. I, l. 5, abril de 2014, 204.</w:t>
      </w:r>
    </w:p>
  </w:footnote>
  <w:footnote w:id="43">
    <w:p w14:paraId="660D8C53" w14:textId="272BE762"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913BA9" w:rsidRPr="00581E03">
        <w:rPr>
          <w:rFonts w:ascii="Aptos" w:hAnsi="Aptos"/>
          <w:color w:val="000000" w:themeColor="text1"/>
          <w:sz w:val="18"/>
          <w:szCs w:val="18"/>
        </w:rPr>
        <w:t xml:space="preserve">Ydalia </w:t>
      </w:r>
      <w:r w:rsidRPr="00581E03">
        <w:rPr>
          <w:rFonts w:ascii="Aptos" w:hAnsi="Aptos"/>
          <w:color w:val="000000" w:themeColor="text1"/>
          <w:sz w:val="18"/>
          <w:szCs w:val="18"/>
        </w:rPr>
        <w:t xml:space="preserve">Pérez Fernández Ceja, </w:t>
      </w:r>
      <w:r w:rsidRPr="00581E03">
        <w:rPr>
          <w:rFonts w:ascii="Aptos" w:hAnsi="Aptos"/>
          <w:i/>
          <w:color w:val="000000" w:themeColor="text1"/>
          <w:sz w:val="18"/>
          <w:szCs w:val="18"/>
        </w:rPr>
        <w:t>La incorporación de la jurisprudencia internacional de derechos humanos por los tribunales de derecho interno</w:t>
      </w:r>
      <w:r w:rsidR="00913BA9" w:rsidRPr="00581E03">
        <w:rPr>
          <w:rFonts w:ascii="Aptos" w:hAnsi="Aptos"/>
          <w:color w:val="000000" w:themeColor="text1"/>
          <w:sz w:val="18"/>
          <w:szCs w:val="18"/>
        </w:rPr>
        <w:t xml:space="preserve"> (</w:t>
      </w:r>
      <w:r w:rsidRPr="00581E03">
        <w:rPr>
          <w:rFonts w:ascii="Aptos" w:hAnsi="Aptos"/>
          <w:color w:val="000000" w:themeColor="text1"/>
          <w:sz w:val="18"/>
          <w:szCs w:val="18"/>
        </w:rPr>
        <w:t>México</w:t>
      </w:r>
      <w:r w:rsidR="00913BA9" w:rsidRPr="00581E03">
        <w:rPr>
          <w:rFonts w:ascii="Aptos" w:hAnsi="Aptos"/>
          <w:color w:val="000000" w:themeColor="text1"/>
          <w:sz w:val="18"/>
          <w:szCs w:val="18"/>
        </w:rPr>
        <w:t>:</w:t>
      </w:r>
      <w:r w:rsidRPr="00581E03">
        <w:rPr>
          <w:rFonts w:ascii="Aptos" w:hAnsi="Aptos"/>
          <w:color w:val="000000" w:themeColor="text1"/>
          <w:sz w:val="18"/>
          <w:szCs w:val="18"/>
        </w:rPr>
        <w:t xml:space="preserve"> Porrúa, 2017</w:t>
      </w:r>
      <w:r w:rsidR="00913BA9" w:rsidRPr="00581E03">
        <w:rPr>
          <w:rFonts w:ascii="Aptos" w:hAnsi="Aptos"/>
          <w:color w:val="000000" w:themeColor="text1"/>
          <w:sz w:val="18"/>
          <w:szCs w:val="18"/>
        </w:rPr>
        <w:t>)</w:t>
      </w:r>
      <w:r w:rsidRPr="00581E03">
        <w:rPr>
          <w:rFonts w:ascii="Aptos" w:hAnsi="Aptos"/>
          <w:color w:val="000000" w:themeColor="text1"/>
          <w:sz w:val="18"/>
          <w:szCs w:val="18"/>
        </w:rPr>
        <w:t>.</w:t>
      </w:r>
    </w:p>
  </w:footnote>
  <w:footnote w:id="44">
    <w:p w14:paraId="20E4C40C" w14:textId="7777777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Corte Interamericana de Derechos Humanos. </w:t>
      </w:r>
      <w:r w:rsidRPr="00581E03">
        <w:rPr>
          <w:rFonts w:ascii="Aptos" w:hAnsi="Aptos"/>
          <w:bCs/>
          <w:i/>
          <w:color w:val="000000" w:themeColor="text1"/>
          <w:sz w:val="18"/>
          <w:szCs w:val="18"/>
        </w:rPr>
        <w:t>Opinión consultiva OC-9/87</w:t>
      </w:r>
      <w:r w:rsidRPr="00581E03">
        <w:rPr>
          <w:rFonts w:ascii="Aptos" w:hAnsi="Aptos"/>
          <w:bCs/>
          <w:color w:val="000000" w:themeColor="text1"/>
          <w:sz w:val="18"/>
          <w:szCs w:val="18"/>
        </w:rPr>
        <w:t>, 1987, párrs. 27-28.</w:t>
      </w:r>
    </w:p>
  </w:footnote>
  <w:footnote w:id="45">
    <w:p w14:paraId="0341C3A6" w14:textId="2CDD638B"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bookmarkStart w:id="12" w:name="_Hlk217790963"/>
      <w:r w:rsidRPr="00581E03">
        <w:rPr>
          <w:rFonts w:ascii="Aptos" w:hAnsi="Aptos"/>
          <w:bCs/>
          <w:color w:val="000000" w:themeColor="text1"/>
          <w:sz w:val="18"/>
          <w:szCs w:val="18"/>
        </w:rPr>
        <w:t>Corte Interamericana de Derechos Humanos</w:t>
      </w:r>
      <w:r w:rsidR="00A7427E" w:rsidRPr="00581E03">
        <w:rPr>
          <w:rFonts w:ascii="Aptos" w:hAnsi="Aptos"/>
          <w:bCs/>
          <w:color w:val="000000" w:themeColor="text1"/>
          <w:sz w:val="18"/>
          <w:szCs w:val="18"/>
        </w:rPr>
        <w:t xml:space="preserve">, </w:t>
      </w:r>
      <w:r w:rsidRPr="00581E03">
        <w:rPr>
          <w:rFonts w:ascii="Aptos" w:hAnsi="Aptos"/>
          <w:bCs/>
          <w:i/>
          <w:color w:val="000000" w:themeColor="text1"/>
          <w:sz w:val="18"/>
          <w:szCs w:val="18"/>
        </w:rPr>
        <w:t>Cuadernillo de jurisprudencia de la Corte Interamericana de Derechos Humanos</w:t>
      </w:r>
      <w:r w:rsidRPr="00581E03">
        <w:rPr>
          <w:rFonts w:ascii="Aptos" w:hAnsi="Aptos"/>
          <w:bCs/>
          <w:color w:val="000000" w:themeColor="text1"/>
          <w:sz w:val="18"/>
          <w:szCs w:val="18"/>
        </w:rPr>
        <w:t xml:space="preserve"> n</w:t>
      </w:r>
      <w:r w:rsidR="00A7427E" w:rsidRPr="00581E03">
        <w:rPr>
          <w:rFonts w:ascii="Aptos" w:hAnsi="Aptos"/>
          <w:bCs/>
          <w:color w:val="000000" w:themeColor="text1"/>
          <w:sz w:val="18"/>
          <w:szCs w:val="18"/>
        </w:rPr>
        <w:t>.</w:t>
      </w:r>
      <w:r w:rsidRPr="00581E03">
        <w:rPr>
          <w:rFonts w:ascii="Aptos" w:hAnsi="Aptos"/>
          <w:bCs/>
          <w:color w:val="000000" w:themeColor="text1"/>
          <w:sz w:val="18"/>
          <w:szCs w:val="18"/>
        </w:rPr>
        <w:t>º 12</w:t>
      </w:r>
      <w:r w:rsidR="00A7427E" w:rsidRPr="00581E03">
        <w:rPr>
          <w:rFonts w:ascii="Aptos" w:hAnsi="Aptos"/>
          <w:bCs/>
          <w:color w:val="000000" w:themeColor="text1"/>
          <w:sz w:val="18"/>
          <w:szCs w:val="18"/>
        </w:rPr>
        <w:t xml:space="preserve"> (s/f): </w:t>
      </w:r>
      <w:r w:rsidRPr="00581E03">
        <w:rPr>
          <w:rFonts w:ascii="Aptos" w:hAnsi="Aptos"/>
          <w:bCs/>
          <w:color w:val="000000" w:themeColor="text1"/>
          <w:sz w:val="18"/>
          <w:szCs w:val="18"/>
        </w:rPr>
        <w:t>2.</w:t>
      </w:r>
    </w:p>
    <w:bookmarkEnd w:id="12"/>
  </w:footnote>
  <w:footnote w:id="46">
    <w:p w14:paraId="343D208F" w14:textId="4440A9AE" w:rsidR="00360385" w:rsidRPr="00581E03" w:rsidRDefault="00360385" w:rsidP="00581E03">
      <w:pPr>
        <w:pStyle w:val="BIOLpie"/>
        <w:rPr>
          <w:rFonts w:ascii="Aptos" w:hAnsi="Aptos"/>
          <w:bC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Corte IDH. </w:t>
      </w:r>
      <w:r w:rsidRPr="00581E03">
        <w:rPr>
          <w:rFonts w:ascii="Aptos" w:hAnsi="Aptos"/>
          <w:bCs/>
          <w:i/>
          <w:iCs/>
          <w:color w:val="000000" w:themeColor="text1"/>
          <w:sz w:val="18"/>
          <w:szCs w:val="18"/>
        </w:rPr>
        <w:t xml:space="preserve">Caso Ruano Torres y otros </w:t>
      </w:r>
      <w:r w:rsidR="00A7427E" w:rsidRPr="00581E03">
        <w:rPr>
          <w:rFonts w:ascii="Aptos" w:hAnsi="Aptos"/>
          <w:bCs/>
          <w:i/>
          <w:iCs/>
          <w:color w:val="000000" w:themeColor="text1"/>
          <w:sz w:val="18"/>
          <w:szCs w:val="18"/>
        </w:rPr>
        <w:t>v</w:t>
      </w:r>
      <w:r w:rsidRPr="00581E03">
        <w:rPr>
          <w:rFonts w:ascii="Aptos" w:hAnsi="Aptos"/>
          <w:bCs/>
          <w:i/>
          <w:iCs/>
          <w:color w:val="000000" w:themeColor="text1"/>
          <w:sz w:val="18"/>
          <w:szCs w:val="18"/>
        </w:rPr>
        <w:t>s. El Salvador</w:t>
      </w:r>
      <w:r w:rsidRPr="00581E03">
        <w:rPr>
          <w:rFonts w:ascii="Aptos" w:hAnsi="Aptos"/>
          <w:bCs/>
          <w:color w:val="000000" w:themeColor="text1"/>
          <w:sz w:val="18"/>
          <w:szCs w:val="18"/>
        </w:rPr>
        <w:t xml:space="preserve">. Fondo, </w:t>
      </w:r>
      <w:r w:rsidRPr="00581E03">
        <w:rPr>
          <w:rFonts w:ascii="Aptos" w:hAnsi="Aptos"/>
          <w:bCs/>
          <w:iCs/>
          <w:color w:val="000000" w:themeColor="text1"/>
          <w:sz w:val="18"/>
          <w:szCs w:val="18"/>
        </w:rPr>
        <w:t xml:space="preserve">Reparaciones y Costas. Sentencia de 5 de octubre de 2015. </w:t>
      </w:r>
      <w:r w:rsidRPr="00581E03">
        <w:rPr>
          <w:rFonts w:ascii="Aptos" w:hAnsi="Aptos"/>
          <w:bCs/>
          <w:color w:val="000000" w:themeColor="text1"/>
          <w:sz w:val="18"/>
          <w:szCs w:val="18"/>
        </w:rPr>
        <w:t>Serie C No. 303, párr. 153.</w:t>
      </w:r>
    </w:p>
  </w:footnote>
  <w:footnote w:id="47">
    <w:p w14:paraId="79874A31" w14:textId="35B964EC"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Convención Americana de Derechos Humanos</w:t>
      </w:r>
      <w:r w:rsidR="00A7427E" w:rsidRPr="00581E03">
        <w:rPr>
          <w:rFonts w:ascii="Aptos" w:hAnsi="Aptos"/>
          <w:bCs/>
          <w:color w:val="000000" w:themeColor="text1"/>
          <w:sz w:val="18"/>
          <w:szCs w:val="18"/>
        </w:rPr>
        <w:t>,</w:t>
      </w:r>
      <w:r w:rsidRPr="00581E03">
        <w:rPr>
          <w:rFonts w:ascii="Aptos" w:hAnsi="Aptos"/>
          <w:bCs/>
          <w:color w:val="000000" w:themeColor="text1"/>
          <w:sz w:val="18"/>
          <w:szCs w:val="18"/>
        </w:rPr>
        <w:t xml:space="preserve"> artículo 25.1.</w:t>
      </w:r>
    </w:p>
  </w:footnote>
  <w:footnote w:id="48">
    <w:p w14:paraId="5636341F" w14:textId="2BC4D90F"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00A7427E" w:rsidRPr="00581E03">
        <w:rPr>
          <w:rFonts w:ascii="Aptos" w:hAnsi="Aptos"/>
          <w:color w:val="000000" w:themeColor="text1"/>
          <w:sz w:val="18"/>
          <w:szCs w:val="18"/>
          <w:lang w:val="pt-BR"/>
        </w:rPr>
        <w:t xml:space="preserve"> </w:t>
      </w:r>
      <w:r w:rsidRPr="00581E03">
        <w:rPr>
          <w:rFonts w:ascii="Aptos" w:hAnsi="Aptos"/>
          <w:color w:val="000000" w:themeColor="text1"/>
          <w:sz w:val="18"/>
          <w:szCs w:val="18"/>
          <w:lang w:val="pt-BR"/>
        </w:rPr>
        <w:t xml:space="preserve">Corte IHD. </w:t>
      </w:r>
      <w:r w:rsidRPr="00581E03">
        <w:rPr>
          <w:rFonts w:ascii="Aptos" w:hAnsi="Aptos"/>
          <w:i/>
          <w:color w:val="000000" w:themeColor="text1"/>
          <w:sz w:val="18"/>
          <w:szCs w:val="18"/>
        </w:rPr>
        <w:t xml:space="preserve">Caso Usón Ramírez </w:t>
      </w:r>
      <w:r w:rsidR="00A7427E" w:rsidRPr="00581E03">
        <w:rPr>
          <w:rFonts w:ascii="Aptos" w:hAnsi="Aptos"/>
          <w:i/>
          <w:color w:val="000000" w:themeColor="text1"/>
          <w:sz w:val="18"/>
          <w:szCs w:val="18"/>
        </w:rPr>
        <w:t>v</w:t>
      </w:r>
      <w:r w:rsidRPr="00581E03">
        <w:rPr>
          <w:rFonts w:ascii="Aptos" w:hAnsi="Aptos"/>
          <w:i/>
          <w:color w:val="000000" w:themeColor="text1"/>
          <w:sz w:val="18"/>
          <w:szCs w:val="18"/>
        </w:rPr>
        <w:t>s. Venezuela</w:t>
      </w:r>
      <w:r w:rsidRPr="00581E03">
        <w:rPr>
          <w:rFonts w:ascii="Aptos" w:hAnsi="Aptos"/>
          <w:color w:val="000000" w:themeColor="text1"/>
          <w:sz w:val="18"/>
          <w:szCs w:val="18"/>
        </w:rPr>
        <w:t>. Excepción Preliminar. Fondo. Reparaciones y Costas. Sentencia de 20 de noviembre de 2009. Serie C. No. 207.</w:t>
      </w:r>
    </w:p>
  </w:footnote>
  <w:footnote w:id="49">
    <w:p w14:paraId="635D3644" w14:textId="39C7D21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Corte IDH. </w:t>
      </w:r>
      <w:r w:rsidRPr="00581E03">
        <w:rPr>
          <w:rFonts w:ascii="Aptos" w:hAnsi="Aptos"/>
          <w:bCs/>
          <w:i/>
          <w:iCs/>
          <w:color w:val="000000" w:themeColor="text1"/>
          <w:sz w:val="18"/>
          <w:szCs w:val="18"/>
        </w:rPr>
        <w:t xml:space="preserve">Caso Ivcher Bronstein </w:t>
      </w:r>
      <w:r w:rsidR="00A7427E" w:rsidRPr="00581E03">
        <w:rPr>
          <w:rFonts w:ascii="Aptos" w:hAnsi="Aptos"/>
          <w:bCs/>
          <w:i/>
          <w:iCs/>
          <w:color w:val="000000" w:themeColor="text1"/>
          <w:sz w:val="18"/>
          <w:szCs w:val="18"/>
        </w:rPr>
        <w:t>v</w:t>
      </w:r>
      <w:r w:rsidRPr="00581E03">
        <w:rPr>
          <w:rFonts w:ascii="Aptos" w:hAnsi="Aptos"/>
          <w:bCs/>
          <w:i/>
          <w:iCs/>
          <w:color w:val="000000" w:themeColor="text1"/>
          <w:sz w:val="18"/>
          <w:szCs w:val="18"/>
        </w:rPr>
        <w:t>s. Perú</w:t>
      </w:r>
      <w:r w:rsidRPr="00581E03">
        <w:rPr>
          <w:rFonts w:ascii="Aptos" w:hAnsi="Aptos"/>
          <w:bCs/>
          <w:color w:val="000000" w:themeColor="text1"/>
          <w:sz w:val="18"/>
          <w:szCs w:val="18"/>
        </w:rPr>
        <w:t>. Fondo, Reparaciones y Costas. Sentencia de 6 de febrero de 2001. Serie C No. 74, párr. 105.</w:t>
      </w:r>
    </w:p>
  </w:footnote>
  <w:footnote w:id="50">
    <w:p w14:paraId="09F7CB3D" w14:textId="41D48F2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Corte IDH. </w:t>
      </w:r>
      <w:r w:rsidRPr="00581E03">
        <w:rPr>
          <w:rFonts w:ascii="Aptos" w:hAnsi="Aptos"/>
          <w:bCs/>
          <w:i/>
          <w:iCs/>
          <w:color w:val="000000" w:themeColor="text1"/>
          <w:sz w:val="18"/>
          <w:szCs w:val="18"/>
        </w:rPr>
        <w:t xml:space="preserve">Caso del Tribunal Constitucional </w:t>
      </w:r>
      <w:r w:rsidR="00A7427E" w:rsidRPr="00581E03">
        <w:rPr>
          <w:rFonts w:ascii="Aptos" w:hAnsi="Aptos"/>
          <w:bCs/>
          <w:i/>
          <w:iCs/>
          <w:color w:val="000000" w:themeColor="text1"/>
          <w:sz w:val="18"/>
          <w:szCs w:val="18"/>
        </w:rPr>
        <w:t>v</w:t>
      </w:r>
      <w:r w:rsidRPr="00581E03">
        <w:rPr>
          <w:rFonts w:ascii="Aptos" w:hAnsi="Aptos"/>
          <w:bCs/>
          <w:i/>
          <w:iCs/>
          <w:color w:val="000000" w:themeColor="text1"/>
          <w:sz w:val="18"/>
          <w:szCs w:val="18"/>
        </w:rPr>
        <w:t>s. Perú</w:t>
      </w:r>
      <w:r w:rsidRPr="00581E03">
        <w:rPr>
          <w:rFonts w:ascii="Aptos" w:hAnsi="Aptos"/>
          <w:bCs/>
          <w:color w:val="000000" w:themeColor="text1"/>
          <w:sz w:val="18"/>
          <w:szCs w:val="18"/>
        </w:rPr>
        <w:t>. Fondo, Reparaciones y Costas. Sentencia de 31 de enero de 2001. Serie C No. 71, párr. 69.</w:t>
      </w:r>
    </w:p>
  </w:footnote>
  <w:footnote w:id="51">
    <w:p w14:paraId="023C924B" w14:textId="09D99465"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A7427E" w:rsidRPr="00581E03">
        <w:rPr>
          <w:rFonts w:ascii="Aptos" w:hAnsi="Aptos"/>
          <w:bCs/>
          <w:color w:val="000000" w:themeColor="text1"/>
          <w:sz w:val="18"/>
          <w:szCs w:val="18"/>
        </w:rPr>
        <w:t xml:space="preserve">Elizabeth </w:t>
      </w:r>
      <w:r w:rsidRPr="00581E03">
        <w:rPr>
          <w:rFonts w:ascii="Aptos" w:hAnsi="Aptos"/>
          <w:bCs/>
          <w:color w:val="000000" w:themeColor="text1"/>
          <w:sz w:val="18"/>
          <w:szCs w:val="18"/>
        </w:rPr>
        <w:t xml:space="preserve">Salmón y </w:t>
      </w:r>
      <w:r w:rsidR="00A7427E" w:rsidRPr="00581E03">
        <w:rPr>
          <w:rFonts w:ascii="Aptos" w:hAnsi="Aptos"/>
          <w:bCs/>
          <w:color w:val="000000" w:themeColor="text1"/>
          <w:sz w:val="18"/>
          <w:szCs w:val="18"/>
        </w:rPr>
        <w:t xml:space="preserve">Cristina </w:t>
      </w:r>
      <w:r w:rsidRPr="00581E03">
        <w:rPr>
          <w:rFonts w:ascii="Aptos" w:hAnsi="Aptos"/>
          <w:bCs/>
          <w:color w:val="000000" w:themeColor="text1"/>
          <w:sz w:val="18"/>
          <w:szCs w:val="18"/>
        </w:rPr>
        <w:t xml:space="preserve">Blanco, </w:t>
      </w:r>
      <w:r w:rsidRPr="00581E03">
        <w:rPr>
          <w:rFonts w:ascii="Aptos" w:hAnsi="Aptos"/>
          <w:bCs/>
          <w:i/>
          <w:color w:val="000000" w:themeColor="text1"/>
          <w:sz w:val="18"/>
          <w:szCs w:val="18"/>
        </w:rPr>
        <w:t>El derecho al debido proceso en la jurisprudencia de la Corte Interamericana de Derechos Humanos</w:t>
      </w:r>
      <w:r w:rsidR="00A7427E" w:rsidRPr="00581E03">
        <w:rPr>
          <w:rFonts w:ascii="Aptos" w:hAnsi="Aptos"/>
          <w:bCs/>
          <w:color w:val="000000" w:themeColor="text1"/>
          <w:sz w:val="18"/>
          <w:szCs w:val="18"/>
        </w:rPr>
        <w:t xml:space="preserve"> (</w:t>
      </w:r>
      <w:r w:rsidRPr="00581E03">
        <w:rPr>
          <w:rFonts w:ascii="Aptos" w:hAnsi="Aptos"/>
          <w:bCs/>
          <w:color w:val="000000" w:themeColor="text1"/>
          <w:sz w:val="18"/>
          <w:szCs w:val="18"/>
        </w:rPr>
        <w:t>Perú</w:t>
      </w:r>
      <w:r w:rsidR="00A7427E" w:rsidRPr="00581E03">
        <w:rPr>
          <w:rFonts w:ascii="Aptos" w:hAnsi="Aptos"/>
          <w:bCs/>
          <w:color w:val="000000" w:themeColor="text1"/>
          <w:sz w:val="18"/>
          <w:szCs w:val="18"/>
        </w:rPr>
        <w:t>:</w:t>
      </w:r>
      <w:r w:rsidRPr="00581E03">
        <w:rPr>
          <w:rFonts w:ascii="Aptos" w:hAnsi="Aptos"/>
          <w:bCs/>
          <w:color w:val="000000" w:themeColor="text1"/>
          <w:sz w:val="18"/>
          <w:szCs w:val="18"/>
        </w:rPr>
        <w:t xml:space="preserve"> </w:t>
      </w:r>
      <w:bookmarkStart w:id="13" w:name="_Hlk217791843"/>
      <w:r w:rsidR="00A7427E" w:rsidRPr="00581E03">
        <w:rPr>
          <w:rFonts w:ascii="Aptos" w:hAnsi="Aptos"/>
          <w:bCs/>
          <w:color w:val="000000" w:themeColor="text1"/>
          <w:sz w:val="18"/>
          <w:szCs w:val="18"/>
        </w:rPr>
        <w:t>Pontificia Universidad Católica del Perú</w:t>
      </w:r>
      <w:bookmarkEnd w:id="13"/>
      <w:r w:rsidR="00A7427E" w:rsidRPr="00581E03">
        <w:rPr>
          <w:rFonts w:ascii="Aptos" w:hAnsi="Aptos"/>
          <w:bCs/>
          <w:color w:val="000000" w:themeColor="text1"/>
          <w:sz w:val="18"/>
          <w:szCs w:val="18"/>
        </w:rPr>
        <w:t>,</w:t>
      </w:r>
      <w:r w:rsidRPr="00581E03">
        <w:rPr>
          <w:rFonts w:ascii="Aptos" w:hAnsi="Aptos"/>
          <w:bCs/>
          <w:color w:val="000000" w:themeColor="text1"/>
          <w:sz w:val="18"/>
          <w:szCs w:val="18"/>
        </w:rPr>
        <w:t xml:space="preserve"> 2012</w:t>
      </w:r>
      <w:r w:rsidR="00A7427E"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52">
    <w:p w14:paraId="68C50463" w14:textId="4055C13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lang w:val="pt-BR"/>
        </w:rPr>
        <w:t xml:space="preserve"> </w:t>
      </w:r>
      <w:r w:rsidR="00A7427E" w:rsidRPr="00581E03">
        <w:rPr>
          <w:rFonts w:ascii="Aptos" w:hAnsi="Aptos"/>
          <w:bCs/>
          <w:color w:val="000000" w:themeColor="text1"/>
          <w:sz w:val="18"/>
          <w:szCs w:val="18"/>
        </w:rPr>
        <w:t xml:space="preserve">Corte Interamericana de Derechos Humanos, </w:t>
      </w:r>
      <w:r w:rsidR="00A7427E" w:rsidRPr="00581E03">
        <w:rPr>
          <w:rFonts w:ascii="Aptos" w:hAnsi="Aptos"/>
          <w:bCs/>
          <w:i/>
          <w:color w:val="000000" w:themeColor="text1"/>
          <w:sz w:val="18"/>
          <w:szCs w:val="18"/>
        </w:rPr>
        <w:t>Cuadernillo de jurisprudencia</w:t>
      </w:r>
      <w:r w:rsidR="00A7427E" w:rsidRPr="00581E03">
        <w:rPr>
          <w:rFonts w:ascii="Aptos" w:hAnsi="Aptos"/>
          <w:bCs/>
          <w:color w:val="000000" w:themeColor="text1"/>
          <w:sz w:val="18"/>
          <w:szCs w:val="18"/>
          <w:lang w:val="pt-BR"/>
        </w:rPr>
        <w:t>..</w:t>
      </w:r>
      <w:r w:rsidRPr="00581E03">
        <w:rPr>
          <w:rFonts w:ascii="Aptos" w:hAnsi="Aptos"/>
          <w:bCs/>
          <w:color w:val="000000" w:themeColor="text1"/>
          <w:sz w:val="18"/>
          <w:szCs w:val="18"/>
        </w:rPr>
        <w:t>.</w:t>
      </w:r>
      <w:r w:rsidR="00A7427E" w:rsidRPr="00581E03">
        <w:rPr>
          <w:rFonts w:ascii="Aptos" w:hAnsi="Aptos"/>
          <w:bCs/>
          <w:color w:val="000000" w:themeColor="text1"/>
          <w:sz w:val="18"/>
          <w:szCs w:val="18"/>
        </w:rPr>
        <w:t>,</w:t>
      </w:r>
      <w:r w:rsidRPr="00581E03">
        <w:rPr>
          <w:rFonts w:ascii="Aptos" w:hAnsi="Aptos"/>
          <w:bCs/>
          <w:color w:val="000000" w:themeColor="text1"/>
          <w:sz w:val="18"/>
          <w:szCs w:val="18"/>
        </w:rPr>
        <w:t xml:space="preserve"> 4.</w:t>
      </w:r>
    </w:p>
  </w:footnote>
  <w:footnote w:id="53">
    <w:p w14:paraId="3356DCCD" w14:textId="65140DD4"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Tesis P./J. 40/96, </w:t>
      </w:r>
      <w:r w:rsidRPr="00581E03">
        <w:rPr>
          <w:rFonts w:ascii="Aptos" w:hAnsi="Aptos"/>
          <w:bCs/>
          <w:i/>
          <w:iCs/>
          <w:color w:val="000000" w:themeColor="text1"/>
          <w:sz w:val="18"/>
          <w:szCs w:val="18"/>
        </w:rPr>
        <w:t>Semanario Judicial de la Federación y su Gaceta</w:t>
      </w:r>
      <w:r w:rsidRPr="00581E03">
        <w:rPr>
          <w:rFonts w:ascii="Aptos" w:hAnsi="Aptos"/>
          <w:bCs/>
          <w:color w:val="000000" w:themeColor="text1"/>
          <w:sz w:val="18"/>
          <w:szCs w:val="18"/>
        </w:rPr>
        <w:t>, Novena Época, t. IV, Julio de 1996, 5.</w:t>
      </w:r>
    </w:p>
  </w:footnote>
  <w:footnote w:id="54">
    <w:p w14:paraId="26616151" w14:textId="6E0A4474"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C2561" w:rsidRPr="00581E03">
        <w:rPr>
          <w:rFonts w:ascii="Aptos" w:hAnsi="Aptos"/>
          <w:bCs/>
          <w:color w:val="000000" w:themeColor="text1"/>
          <w:sz w:val="18"/>
          <w:szCs w:val="18"/>
        </w:rPr>
        <w:t xml:space="preserve">José Julio </w:t>
      </w:r>
      <w:r w:rsidRPr="00581E03">
        <w:rPr>
          <w:rFonts w:ascii="Aptos" w:hAnsi="Aptos"/>
          <w:bCs/>
          <w:color w:val="000000" w:themeColor="text1"/>
          <w:sz w:val="18"/>
          <w:szCs w:val="18"/>
        </w:rPr>
        <w:t xml:space="preserve">Nares Hernández, </w:t>
      </w:r>
      <w:r w:rsidR="00EC2561" w:rsidRPr="00581E03">
        <w:rPr>
          <w:rFonts w:ascii="Aptos" w:hAnsi="Aptos"/>
          <w:bCs/>
          <w:color w:val="000000" w:themeColor="text1"/>
          <w:sz w:val="18"/>
          <w:szCs w:val="18"/>
        </w:rPr>
        <w:t xml:space="preserve">Ricardo </w:t>
      </w:r>
      <w:r w:rsidRPr="00581E03">
        <w:rPr>
          <w:rFonts w:ascii="Aptos" w:hAnsi="Aptos"/>
          <w:bCs/>
          <w:color w:val="000000" w:themeColor="text1"/>
          <w:sz w:val="18"/>
          <w:szCs w:val="18"/>
        </w:rPr>
        <w:t>Colín García</w:t>
      </w:r>
      <w:r w:rsidR="00EC2561" w:rsidRPr="00581E03">
        <w:rPr>
          <w:rFonts w:ascii="Aptos" w:hAnsi="Aptos"/>
          <w:bCs/>
          <w:color w:val="000000" w:themeColor="text1"/>
          <w:sz w:val="18"/>
          <w:szCs w:val="18"/>
        </w:rPr>
        <w:t xml:space="preserve"> y Kennly Jared </w:t>
      </w:r>
      <w:r w:rsidRPr="00581E03">
        <w:rPr>
          <w:rFonts w:ascii="Aptos" w:hAnsi="Aptos"/>
          <w:bCs/>
          <w:color w:val="000000" w:themeColor="text1"/>
          <w:sz w:val="18"/>
          <w:szCs w:val="18"/>
        </w:rPr>
        <w:t>Nava Rosales, “</w:t>
      </w:r>
      <w:r w:rsidRPr="00581E03">
        <w:rPr>
          <w:rFonts w:ascii="Aptos" w:hAnsi="Aptos"/>
          <w:bCs/>
          <w:iCs/>
          <w:color w:val="000000" w:themeColor="text1"/>
          <w:sz w:val="18"/>
          <w:szCs w:val="18"/>
        </w:rPr>
        <w:t>Derecho fundamental al debido proceso legal</w:t>
      </w:r>
      <w:r w:rsidRPr="00581E03">
        <w:rPr>
          <w:rFonts w:ascii="Aptos" w:hAnsi="Aptos"/>
          <w:bCs/>
          <w:color w:val="000000" w:themeColor="text1"/>
          <w:sz w:val="18"/>
          <w:szCs w:val="18"/>
        </w:rPr>
        <w:t xml:space="preserve">”, </w:t>
      </w:r>
      <w:r w:rsidRPr="00581E03">
        <w:rPr>
          <w:rFonts w:ascii="Aptos" w:hAnsi="Aptos"/>
          <w:bCs/>
          <w:i/>
          <w:iCs/>
          <w:color w:val="000000" w:themeColor="text1"/>
          <w:sz w:val="18"/>
          <w:szCs w:val="18"/>
        </w:rPr>
        <w:t>Ius Comitiãlis</w:t>
      </w:r>
      <w:r w:rsidR="00EC2561" w:rsidRPr="00581E03">
        <w:rPr>
          <w:rFonts w:ascii="Aptos" w:hAnsi="Aptos"/>
          <w:bCs/>
          <w:color w:val="000000" w:themeColor="text1"/>
          <w:sz w:val="18"/>
          <w:szCs w:val="18"/>
        </w:rPr>
        <w:t xml:space="preserve"> </w:t>
      </w:r>
      <w:r w:rsidRPr="00581E03">
        <w:rPr>
          <w:rFonts w:ascii="Aptos" w:hAnsi="Aptos"/>
          <w:bCs/>
          <w:color w:val="000000" w:themeColor="text1"/>
          <w:sz w:val="18"/>
          <w:szCs w:val="18"/>
        </w:rPr>
        <w:t>1, n.</w:t>
      </w:r>
      <w:r w:rsidR="00EC2561" w:rsidRPr="00581E03">
        <w:rPr>
          <w:rFonts w:ascii="Aptos" w:hAnsi="Aptos"/>
          <w:bCs/>
          <w:color w:val="000000" w:themeColor="text1"/>
          <w:sz w:val="18"/>
          <w:szCs w:val="18"/>
          <w:vertAlign w:val="superscript"/>
        </w:rPr>
        <w:t>o</w:t>
      </w:r>
      <w:r w:rsidRPr="00581E03">
        <w:rPr>
          <w:rFonts w:ascii="Aptos" w:hAnsi="Aptos"/>
          <w:bCs/>
          <w:color w:val="000000" w:themeColor="text1"/>
          <w:sz w:val="18"/>
          <w:szCs w:val="18"/>
        </w:rPr>
        <w:t xml:space="preserve"> 2 </w:t>
      </w:r>
      <w:r w:rsidR="00EC2561" w:rsidRPr="00581E03">
        <w:rPr>
          <w:rFonts w:ascii="Aptos" w:hAnsi="Aptos"/>
          <w:bCs/>
          <w:color w:val="000000" w:themeColor="text1"/>
          <w:sz w:val="18"/>
          <w:szCs w:val="18"/>
        </w:rPr>
        <w:t>(</w:t>
      </w:r>
      <w:r w:rsidRPr="00581E03">
        <w:rPr>
          <w:rFonts w:ascii="Aptos" w:hAnsi="Aptos"/>
          <w:bCs/>
          <w:color w:val="000000" w:themeColor="text1"/>
          <w:sz w:val="18"/>
          <w:szCs w:val="18"/>
        </w:rPr>
        <w:t>2018</w:t>
      </w:r>
      <w:r w:rsidR="00EC2561" w:rsidRPr="00581E03">
        <w:rPr>
          <w:rFonts w:ascii="Aptos" w:hAnsi="Aptos"/>
          <w:bCs/>
          <w:color w:val="000000" w:themeColor="text1"/>
          <w:sz w:val="18"/>
          <w:szCs w:val="18"/>
        </w:rPr>
        <w:t>):</w:t>
      </w:r>
      <w:r w:rsidRPr="00581E03">
        <w:rPr>
          <w:rFonts w:ascii="Aptos" w:hAnsi="Aptos"/>
          <w:bCs/>
          <w:color w:val="000000" w:themeColor="text1"/>
          <w:sz w:val="18"/>
          <w:szCs w:val="18"/>
        </w:rPr>
        <w:t xml:space="preserve"> </w:t>
      </w:r>
      <w:r w:rsidR="00EC2561" w:rsidRPr="00581E03">
        <w:rPr>
          <w:rFonts w:ascii="Aptos" w:hAnsi="Aptos"/>
          <w:bCs/>
          <w:color w:val="000000" w:themeColor="text1"/>
          <w:sz w:val="18"/>
          <w:szCs w:val="18"/>
        </w:rPr>
        <w:t>175-196.</w:t>
      </w:r>
    </w:p>
  </w:footnote>
  <w:footnote w:id="55">
    <w:p w14:paraId="7145525A" w14:textId="1AF10BB5" w:rsidR="00360385" w:rsidRPr="00581E03" w:rsidRDefault="00360385" w:rsidP="00581E03">
      <w:pPr>
        <w:pStyle w:val="BIOLpie"/>
        <w:rPr>
          <w:rFonts w:ascii="Aptos" w:hAnsi="Aptos"/>
          <w:bC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Tesis P./J.47/95, </w:t>
      </w:r>
      <w:r w:rsidRPr="00581E03">
        <w:rPr>
          <w:rFonts w:ascii="Aptos" w:hAnsi="Aptos"/>
          <w:bCs/>
          <w:i/>
          <w:iCs/>
          <w:color w:val="000000" w:themeColor="text1"/>
          <w:sz w:val="18"/>
          <w:szCs w:val="18"/>
        </w:rPr>
        <w:t>Semanario Judicial de la Federación y su Gaceta</w:t>
      </w:r>
      <w:r w:rsidRPr="00581E03">
        <w:rPr>
          <w:rFonts w:ascii="Aptos" w:hAnsi="Aptos"/>
          <w:bCs/>
          <w:color w:val="000000" w:themeColor="text1"/>
          <w:sz w:val="18"/>
          <w:szCs w:val="18"/>
        </w:rPr>
        <w:t>, Novena Época, t. II, diciembre de 1995, 133.</w:t>
      </w:r>
    </w:p>
  </w:footnote>
  <w:footnote w:id="56">
    <w:p w14:paraId="702E6CF1" w14:textId="2898E24F"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C2561" w:rsidRPr="00581E03">
        <w:rPr>
          <w:rFonts w:ascii="Aptos" w:hAnsi="Aptos"/>
          <w:bCs/>
          <w:color w:val="000000" w:themeColor="text1"/>
          <w:sz w:val="18"/>
          <w:szCs w:val="18"/>
        </w:rPr>
        <w:t xml:space="preserve">Fernando </w:t>
      </w:r>
      <w:r w:rsidRPr="00581E03">
        <w:rPr>
          <w:rFonts w:ascii="Aptos" w:hAnsi="Aptos"/>
          <w:bCs/>
          <w:color w:val="000000" w:themeColor="text1"/>
          <w:sz w:val="18"/>
          <w:szCs w:val="18"/>
        </w:rPr>
        <w:t>Silva García, “</w:t>
      </w:r>
      <w:r w:rsidRPr="00581E03">
        <w:rPr>
          <w:rFonts w:ascii="Aptos" w:hAnsi="Aptos"/>
          <w:bCs/>
          <w:iCs/>
          <w:color w:val="000000" w:themeColor="text1"/>
          <w:sz w:val="18"/>
          <w:szCs w:val="18"/>
        </w:rPr>
        <w:t>Derecho de audiencia: arts. 14 constitucional y 8</w:t>
      </w:r>
      <w:r w:rsidR="00293B7E" w:rsidRPr="00581E03">
        <w:rPr>
          <w:rFonts w:ascii="Aptos" w:hAnsi="Aptos"/>
          <w:bCs/>
          <w:iCs/>
          <w:color w:val="000000" w:themeColor="text1"/>
          <w:sz w:val="18"/>
          <w:szCs w:val="18"/>
        </w:rPr>
        <w:t>.</w:t>
      </w:r>
      <w:r w:rsidRPr="00581E03">
        <w:rPr>
          <w:rFonts w:ascii="Aptos" w:hAnsi="Aptos"/>
          <w:bCs/>
          <w:iCs/>
          <w:color w:val="000000" w:themeColor="text1"/>
          <w:sz w:val="18"/>
          <w:szCs w:val="18"/>
          <w:vertAlign w:val="superscript"/>
        </w:rPr>
        <w:t>o</w:t>
      </w:r>
      <w:r w:rsidRPr="00581E03">
        <w:rPr>
          <w:rFonts w:ascii="Aptos" w:hAnsi="Aptos"/>
          <w:bCs/>
          <w:iCs/>
          <w:color w:val="000000" w:themeColor="text1"/>
          <w:sz w:val="18"/>
          <w:szCs w:val="18"/>
        </w:rPr>
        <w:t>, de la Convención Americana sobre Derechos Humanos</w:t>
      </w:r>
      <w:r w:rsidRPr="00581E03">
        <w:rPr>
          <w:rFonts w:ascii="Aptos" w:hAnsi="Aptos"/>
          <w:bCs/>
          <w:color w:val="000000" w:themeColor="text1"/>
          <w:sz w:val="18"/>
          <w:szCs w:val="18"/>
        </w:rPr>
        <w:t>”</w:t>
      </w:r>
      <w:r w:rsidR="00C16A38" w:rsidRPr="00581E03">
        <w:rPr>
          <w:rFonts w:ascii="Aptos" w:hAnsi="Aptos"/>
          <w:bCs/>
          <w:color w:val="000000" w:themeColor="text1"/>
          <w:sz w:val="18"/>
          <w:szCs w:val="18"/>
        </w:rPr>
        <w:t xml:space="preserve">, en </w:t>
      </w:r>
      <w:r w:rsidR="00C16A38" w:rsidRPr="00581E03">
        <w:rPr>
          <w:rFonts w:ascii="Aptos" w:hAnsi="Aptos"/>
          <w:bCs/>
          <w:i/>
          <w:iCs/>
          <w:color w:val="000000" w:themeColor="text1"/>
          <w:sz w:val="18"/>
          <w:szCs w:val="18"/>
        </w:rPr>
        <w:t>Derechos humanos en la Constitución: comentarios de jurisprudencia constitucional e interamericana T. II</w:t>
      </w:r>
      <w:r w:rsidR="00C16A38" w:rsidRPr="00581E03">
        <w:rPr>
          <w:rFonts w:ascii="Aptos" w:hAnsi="Aptos"/>
          <w:bCs/>
          <w:color w:val="000000" w:themeColor="text1"/>
          <w:sz w:val="18"/>
          <w:szCs w:val="18"/>
        </w:rPr>
        <w:t>,</w:t>
      </w:r>
      <w:r w:rsidR="00EC2561" w:rsidRPr="00581E03">
        <w:rPr>
          <w:rFonts w:ascii="Aptos" w:hAnsi="Aptos"/>
          <w:bCs/>
          <w:color w:val="000000" w:themeColor="text1"/>
          <w:sz w:val="18"/>
          <w:szCs w:val="18"/>
        </w:rPr>
        <w:t xml:space="preserve"> </w:t>
      </w:r>
      <w:r w:rsidR="00C16A38" w:rsidRPr="00581E03">
        <w:rPr>
          <w:rFonts w:ascii="Aptos" w:hAnsi="Aptos"/>
          <w:bCs/>
          <w:color w:val="000000" w:themeColor="text1"/>
          <w:sz w:val="18"/>
          <w:szCs w:val="18"/>
        </w:rPr>
        <w:t>c</w:t>
      </w:r>
      <w:r w:rsidR="00EC2561" w:rsidRPr="00581E03">
        <w:rPr>
          <w:rFonts w:ascii="Aptos" w:hAnsi="Aptos"/>
          <w:bCs/>
          <w:color w:val="000000" w:themeColor="text1"/>
          <w:sz w:val="18"/>
          <w:szCs w:val="18"/>
        </w:rPr>
        <w:t>oord. por</w:t>
      </w:r>
      <w:r w:rsidRPr="00581E03">
        <w:rPr>
          <w:rFonts w:ascii="Aptos" w:hAnsi="Aptos"/>
          <w:bCs/>
          <w:color w:val="000000" w:themeColor="text1"/>
          <w:sz w:val="18"/>
          <w:szCs w:val="18"/>
        </w:rPr>
        <w:t xml:space="preserve"> </w:t>
      </w:r>
      <w:r w:rsidR="00EC2561" w:rsidRPr="00581E03">
        <w:rPr>
          <w:rFonts w:ascii="Aptos" w:hAnsi="Aptos"/>
          <w:bCs/>
          <w:color w:val="000000" w:themeColor="text1"/>
          <w:sz w:val="18"/>
          <w:szCs w:val="18"/>
        </w:rPr>
        <w:t>Eduardo</w:t>
      </w:r>
      <w:r w:rsidR="00EC2561" w:rsidRPr="00581E03" w:rsidDel="00EC2561">
        <w:rPr>
          <w:rFonts w:ascii="Aptos" w:hAnsi="Aptos"/>
          <w:bCs/>
          <w:color w:val="000000" w:themeColor="text1"/>
          <w:sz w:val="18"/>
          <w:szCs w:val="18"/>
        </w:rPr>
        <w:t xml:space="preserve"> </w:t>
      </w:r>
      <w:r w:rsidRPr="00581E03">
        <w:rPr>
          <w:rFonts w:ascii="Aptos" w:hAnsi="Aptos"/>
          <w:bCs/>
          <w:color w:val="000000" w:themeColor="text1"/>
          <w:sz w:val="18"/>
          <w:szCs w:val="18"/>
        </w:rPr>
        <w:t xml:space="preserve">Ferrer Mac-Gregor Poisot, </w:t>
      </w:r>
      <w:r w:rsidR="00EC2561" w:rsidRPr="00581E03">
        <w:rPr>
          <w:rFonts w:ascii="Aptos" w:hAnsi="Aptos"/>
          <w:bCs/>
          <w:color w:val="000000" w:themeColor="text1"/>
          <w:sz w:val="18"/>
          <w:szCs w:val="18"/>
        </w:rPr>
        <w:t xml:space="preserve">José Luis </w:t>
      </w:r>
      <w:r w:rsidRPr="00581E03">
        <w:rPr>
          <w:rFonts w:ascii="Aptos" w:hAnsi="Aptos"/>
          <w:bCs/>
          <w:color w:val="000000" w:themeColor="text1"/>
          <w:sz w:val="18"/>
          <w:szCs w:val="18"/>
        </w:rPr>
        <w:t xml:space="preserve">Caballero Ochoa y </w:t>
      </w:r>
      <w:r w:rsidR="00EC2561" w:rsidRPr="00581E03">
        <w:rPr>
          <w:rFonts w:ascii="Aptos" w:hAnsi="Aptos"/>
          <w:bCs/>
          <w:color w:val="000000" w:themeColor="text1"/>
          <w:sz w:val="18"/>
          <w:szCs w:val="18"/>
        </w:rPr>
        <w:t xml:space="preserve">Christian </w:t>
      </w:r>
      <w:r w:rsidRPr="00581E03">
        <w:rPr>
          <w:rFonts w:ascii="Aptos" w:hAnsi="Aptos"/>
          <w:bCs/>
          <w:color w:val="000000" w:themeColor="text1"/>
          <w:sz w:val="18"/>
          <w:szCs w:val="18"/>
        </w:rPr>
        <w:t xml:space="preserve">Steiner </w:t>
      </w:r>
      <w:r w:rsidR="00EC2561" w:rsidRPr="00581E03">
        <w:rPr>
          <w:rFonts w:ascii="Aptos" w:hAnsi="Aptos"/>
          <w:bCs/>
          <w:color w:val="000000" w:themeColor="text1"/>
          <w:sz w:val="18"/>
          <w:szCs w:val="18"/>
        </w:rPr>
        <w:t>(</w:t>
      </w:r>
      <w:r w:rsidRPr="00581E03">
        <w:rPr>
          <w:rFonts w:ascii="Aptos" w:hAnsi="Aptos"/>
          <w:bCs/>
          <w:color w:val="000000" w:themeColor="text1"/>
          <w:sz w:val="18"/>
          <w:szCs w:val="18"/>
        </w:rPr>
        <w:t>México</w:t>
      </w:r>
      <w:r w:rsidR="00EC2561" w:rsidRPr="00581E03">
        <w:rPr>
          <w:rFonts w:ascii="Aptos" w:hAnsi="Aptos"/>
          <w:bCs/>
          <w:color w:val="000000" w:themeColor="text1"/>
          <w:sz w:val="18"/>
          <w:szCs w:val="18"/>
        </w:rPr>
        <w:t>:</w:t>
      </w:r>
      <w:r w:rsidRPr="00581E03">
        <w:rPr>
          <w:rFonts w:ascii="Aptos" w:hAnsi="Aptos"/>
          <w:bCs/>
          <w:color w:val="000000" w:themeColor="text1"/>
          <w:sz w:val="18"/>
          <w:szCs w:val="18"/>
        </w:rPr>
        <w:t xml:space="preserve"> UNAM, Instituto de Investigaciones Jurídicas, 2013</w:t>
      </w:r>
      <w:r w:rsidR="00EC2561" w:rsidRPr="00581E03">
        <w:rPr>
          <w:rFonts w:ascii="Aptos" w:hAnsi="Aptos"/>
          <w:bCs/>
          <w:color w:val="000000" w:themeColor="text1"/>
          <w:sz w:val="18"/>
          <w:szCs w:val="18"/>
        </w:rPr>
        <w:t>),</w:t>
      </w:r>
      <w:r w:rsidRPr="00581E03">
        <w:rPr>
          <w:rFonts w:ascii="Aptos" w:hAnsi="Aptos"/>
          <w:bCs/>
          <w:color w:val="000000" w:themeColor="text1"/>
          <w:sz w:val="18"/>
          <w:szCs w:val="18"/>
        </w:rPr>
        <w:t xml:space="preserve"> 1497-1531.</w:t>
      </w:r>
    </w:p>
  </w:footnote>
  <w:footnote w:id="57">
    <w:p w14:paraId="53649B52" w14:textId="7521F399"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80BCE" w:rsidRPr="00581E03">
        <w:rPr>
          <w:rFonts w:ascii="Aptos" w:hAnsi="Aptos"/>
          <w:bCs/>
          <w:color w:val="000000" w:themeColor="text1"/>
          <w:sz w:val="18"/>
          <w:szCs w:val="18"/>
        </w:rPr>
        <w:t xml:space="preserve">Juan Ángel </w:t>
      </w:r>
      <w:r w:rsidRPr="00581E03">
        <w:rPr>
          <w:rFonts w:ascii="Aptos" w:hAnsi="Aptos"/>
          <w:bCs/>
          <w:color w:val="000000" w:themeColor="text1"/>
          <w:sz w:val="18"/>
          <w:szCs w:val="18"/>
        </w:rPr>
        <w:t xml:space="preserve">Salinas Garza, </w:t>
      </w:r>
      <w:r w:rsidRPr="00581E03">
        <w:rPr>
          <w:rFonts w:ascii="Aptos" w:hAnsi="Aptos"/>
          <w:bCs/>
          <w:i/>
          <w:color w:val="000000" w:themeColor="text1"/>
          <w:sz w:val="18"/>
          <w:szCs w:val="18"/>
        </w:rPr>
        <w:t>“</w:t>
      </w:r>
      <w:r w:rsidRPr="00581E03">
        <w:rPr>
          <w:rFonts w:ascii="Aptos" w:hAnsi="Aptos"/>
          <w:bCs/>
          <w:iCs/>
          <w:color w:val="000000" w:themeColor="text1"/>
          <w:sz w:val="18"/>
          <w:szCs w:val="18"/>
        </w:rPr>
        <w:t xml:space="preserve">Los principios del debido proceso </w:t>
      </w:r>
      <w:r w:rsidRPr="00581E03">
        <w:rPr>
          <w:rFonts w:ascii="Aptos" w:hAnsi="Aptos"/>
          <w:bCs/>
          <w:i/>
          <w:color w:val="000000" w:themeColor="text1"/>
          <w:sz w:val="18"/>
          <w:szCs w:val="18"/>
        </w:rPr>
        <w:t>iura novit curia</w:t>
      </w:r>
      <w:r w:rsidRPr="00581E03">
        <w:rPr>
          <w:rFonts w:ascii="Aptos" w:hAnsi="Aptos"/>
          <w:bCs/>
          <w:iCs/>
          <w:color w:val="000000" w:themeColor="text1"/>
          <w:sz w:val="18"/>
          <w:szCs w:val="18"/>
        </w:rPr>
        <w:t xml:space="preserve"> y suplencia de la queja en México</w:t>
      </w:r>
      <w:r w:rsidRPr="00581E03">
        <w:rPr>
          <w:rFonts w:ascii="Aptos" w:hAnsi="Aptos"/>
          <w:bCs/>
          <w:i/>
          <w:color w:val="000000" w:themeColor="text1"/>
          <w:sz w:val="18"/>
          <w:szCs w:val="18"/>
        </w:rPr>
        <w:t>”</w:t>
      </w:r>
      <w:r w:rsidR="00C16A38" w:rsidRPr="00581E03">
        <w:rPr>
          <w:rFonts w:ascii="Aptos" w:hAnsi="Aptos"/>
          <w:bCs/>
          <w:color w:val="000000" w:themeColor="text1"/>
          <w:sz w:val="18"/>
          <w:szCs w:val="18"/>
        </w:rPr>
        <w:t xml:space="preserve">, en </w:t>
      </w:r>
      <w:bookmarkStart w:id="14" w:name="_Hlk217791891"/>
      <w:r w:rsidR="00C16A38" w:rsidRPr="00581E03">
        <w:rPr>
          <w:rFonts w:ascii="Aptos" w:hAnsi="Aptos"/>
          <w:bCs/>
          <w:i/>
          <w:iCs/>
          <w:color w:val="000000" w:themeColor="text1"/>
          <w:sz w:val="18"/>
          <w:szCs w:val="18"/>
        </w:rPr>
        <w:t>El debido proceso T. IV</w:t>
      </w:r>
      <w:r w:rsidR="00C16A38" w:rsidRPr="00581E03">
        <w:rPr>
          <w:rFonts w:ascii="Aptos" w:hAnsi="Aptos"/>
          <w:bCs/>
          <w:color w:val="000000" w:themeColor="text1"/>
          <w:sz w:val="18"/>
          <w:szCs w:val="18"/>
        </w:rPr>
        <w:t>,</w:t>
      </w:r>
      <w:r w:rsidR="00E80BCE" w:rsidRPr="00581E03">
        <w:rPr>
          <w:rFonts w:ascii="Aptos" w:hAnsi="Aptos"/>
          <w:bCs/>
          <w:color w:val="000000" w:themeColor="text1"/>
          <w:sz w:val="18"/>
          <w:szCs w:val="18"/>
        </w:rPr>
        <w:t xml:space="preserve"> </w:t>
      </w:r>
      <w:r w:rsidR="00C16A38" w:rsidRPr="00581E03">
        <w:rPr>
          <w:rFonts w:ascii="Aptos" w:hAnsi="Aptos"/>
          <w:bCs/>
          <w:color w:val="000000" w:themeColor="text1"/>
          <w:sz w:val="18"/>
          <w:szCs w:val="18"/>
        </w:rPr>
        <w:t>c</w:t>
      </w:r>
      <w:r w:rsidR="00E80BCE" w:rsidRPr="00581E03">
        <w:rPr>
          <w:rFonts w:ascii="Aptos" w:hAnsi="Aptos"/>
          <w:bCs/>
          <w:color w:val="000000" w:themeColor="text1"/>
          <w:sz w:val="18"/>
          <w:szCs w:val="18"/>
        </w:rPr>
        <w:t xml:space="preserve">oord. por Manuel Salvador </w:t>
      </w:r>
      <w:r w:rsidRPr="00581E03">
        <w:rPr>
          <w:rFonts w:ascii="Aptos" w:hAnsi="Aptos"/>
          <w:bCs/>
          <w:color w:val="000000" w:themeColor="text1"/>
          <w:sz w:val="18"/>
          <w:szCs w:val="18"/>
        </w:rPr>
        <w:t xml:space="preserve">Acuña </w:t>
      </w:r>
      <w:r w:rsidR="00C16A38" w:rsidRPr="00581E03">
        <w:rPr>
          <w:rFonts w:ascii="Aptos" w:hAnsi="Aptos"/>
          <w:bCs/>
          <w:color w:val="000000" w:themeColor="text1"/>
          <w:sz w:val="18"/>
          <w:szCs w:val="18"/>
        </w:rPr>
        <w:t>Zepeda, Luis Gerardo Rodríguez Lozano y Juan Ángel Salinas Garza</w:t>
      </w:r>
      <w:r w:rsidR="00E80BCE" w:rsidRPr="00581E03">
        <w:rPr>
          <w:rFonts w:ascii="Aptos" w:hAnsi="Aptos"/>
          <w:bCs/>
          <w:color w:val="000000" w:themeColor="text1"/>
          <w:sz w:val="18"/>
          <w:szCs w:val="18"/>
        </w:rPr>
        <w:t xml:space="preserve"> </w:t>
      </w:r>
      <w:r w:rsidRPr="00581E03">
        <w:rPr>
          <w:rFonts w:ascii="Aptos" w:hAnsi="Aptos"/>
          <w:bCs/>
          <w:color w:val="000000" w:themeColor="text1"/>
          <w:sz w:val="18"/>
          <w:szCs w:val="18"/>
        </w:rPr>
        <w:t>(México</w:t>
      </w:r>
      <w:r w:rsidR="00E80BCE" w:rsidRPr="00581E03">
        <w:rPr>
          <w:rFonts w:ascii="Aptos" w:hAnsi="Aptos"/>
          <w:bCs/>
          <w:color w:val="000000" w:themeColor="text1"/>
          <w:sz w:val="18"/>
          <w:szCs w:val="18"/>
        </w:rPr>
        <w:t>:</w:t>
      </w:r>
      <w:r w:rsidRPr="00581E03">
        <w:rPr>
          <w:rFonts w:ascii="Aptos" w:hAnsi="Aptos"/>
          <w:bCs/>
          <w:color w:val="000000" w:themeColor="text1"/>
          <w:sz w:val="18"/>
          <w:szCs w:val="18"/>
        </w:rPr>
        <w:t xml:space="preserve"> Tirant lo Blanch, 2016</w:t>
      </w:r>
      <w:r w:rsidR="00E80BCE" w:rsidRPr="00581E03">
        <w:rPr>
          <w:rFonts w:ascii="Aptos" w:hAnsi="Aptos"/>
          <w:bCs/>
          <w:color w:val="000000" w:themeColor="text1"/>
          <w:sz w:val="18"/>
          <w:szCs w:val="18"/>
        </w:rPr>
        <w:t xml:space="preserve">), </w:t>
      </w:r>
      <w:r w:rsidRPr="00581E03">
        <w:rPr>
          <w:rFonts w:ascii="Aptos" w:hAnsi="Aptos"/>
          <w:bCs/>
          <w:color w:val="000000" w:themeColor="text1"/>
          <w:sz w:val="18"/>
          <w:szCs w:val="18"/>
        </w:rPr>
        <w:t>29-54.</w:t>
      </w:r>
    </w:p>
    <w:bookmarkEnd w:id="14"/>
  </w:footnote>
  <w:footnote w:id="58">
    <w:p w14:paraId="6F5D15DF" w14:textId="1D3C0565"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Tesis 1a. CCLXXXVI/2014 (10a.), </w:t>
      </w:r>
      <w:r w:rsidRPr="00581E03">
        <w:rPr>
          <w:rFonts w:ascii="Aptos" w:hAnsi="Aptos"/>
          <w:bCs/>
          <w:i/>
          <w:iCs/>
          <w:color w:val="000000" w:themeColor="text1"/>
          <w:sz w:val="18"/>
          <w:szCs w:val="18"/>
        </w:rPr>
        <w:t>Gaceta del Semanario Judicial de la Federación</w:t>
      </w:r>
      <w:r w:rsidRPr="00581E03">
        <w:rPr>
          <w:rFonts w:ascii="Aptos" w:hAnsi="Aptos"/>
          <w:bCs/>
          <w:color w:val="000000" w:themeColor="text1"/>
          <w:sz w:val="18"/>
          <w:szCs w:val="18"/>
        </w:rPr>
        <w:t>, Décima Época, t. I., l. 9, agosto de 2014, pág. 529. Reg</w:t>
      </w:r>
      <w:r w:rsidR="00E80BCE" w:rsidRPr="00581E03">
        <w:rPr>
          <w:rFonts w:ascii="Aptos" w:hAnsi="Aptos"/>
          <w:bCs/>
          <w:color w:val="000000" w:themeColor="text1"/>
          <w:sz w:val="18"/>
          <w:szCs w:val="18"/>
        </w:rPr>
        <w:t>istro</w:t>
      </w:r>
      <w:r w:rsidRPr="00581E03">
        <w:rPr>
          <w:rFonts w:ascii="Aptos" w:hAnsi="Aptos"/>
          <w:bCs/>
          <w:color w:val="000000" w:themeColor="text1"/>
          <w:sz w:val="18"/>
          <w:szCs w:val="18"/>
        </w:rPr>
        <w:t xml:space="preserve"> digital: 2007057.</w:t>
      </w:r>
    </w:p>
  </w:footnote>
  <w:footnote w:id="59">
    <w:p w14:paraId="611CF2BD" w14:textId="558374C9"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i/>
          <w:color w:val="000000" w:themeColor="text1"/>
          <w:sz w:val="18"/>
          <w:szCs w:val="18"/>
        </w:rPr>
        <w:t xml:space="preserve">Principios </w:t>
      </w:r>
      <w:r w:rsidR="00E80BCE" w:rsidRPr="00581E03">
        <w:rPr>
          <w:rFonts w:ascii="Aptos" w:hAnsi="Aptos"/>
          <w:bCs/>
          <w:i/>
          <w:color w:val="000000" w:themeColor="text1"/>
          <w:sz w:val="18"/>
          <w:szCs w:val="18"/>
        </w:rPr>
        <w:t>relativos al estatuto de las instituciones nacionales</w:t>
      </w:r>
      <w:r w:rsidRPr="00581E03">
        <w:rPr>
          <w:rFonts w:ascii="Aptos" w:hAnsi="Aptos"/>
          <w:bCs/>
          <w:color w:val="000000" w:themeColor="text1"/>
          <w:sz w:val="18"/>
          <w:szCs w:val="18"/>
        </w:rPr>
        <w:t>, 1993.</w:t>
      </w:r>
    </w:p>
  </w:footnote>
  <w:footnote w:id="60">
    <w:p w14:paraId="2E9917B3" w14:textId="22A7BCAC"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 xml:space="preserve">Corte IDH. </w:t>
      </w:r>
      <w:r w:rsidRPr="00581E03">
        <w:rPr>
          <w:rFonts w:ascii="Aptos" w:hAnsi="Aptos"/>
          <w:bCs/>
          <w:i/>
          <w:color w:val="000000" w:themeColor="text1"/>
          <w:sz w:val="18"/>
          <w:szCs w:val="18"/>
        </w:rPr>
        <w:t xml:space="preserve">Caso Ruano Torres y otros </w:t>
      </w:r>
      <w:r w:rsidR="00E80BCE" w:rsidRPr="00581E03">
        <w:rPr>
          <w:rFonts w:ascii="Aptos" w:hAnsi="Aptos"/>
          <w:bCs/>
          <w:i/>
          <w:color w:val="000000" w:themeColor="text1"/>
          <w:sz w:val="18"/>
          <w:szCs w:val="18"/>
        </w:rPr>
        <w:t>v</w:t>
      </w:r>
      <w:r w:rsidRPr="00581E03">
        <w:rPr>
          <w:rFonts w:ascii="Aptos" w:hAnsi="Aptos"/>
          <w:bCs/>
          <w:i/>
          <w:color w:val="000000" w:themeColor="text1"/>
          <w:sz w:val="18"/>
          <w:szCs w:val="18"/>
        </w:rPr>
        <w:t>s. El Salvador</w:t>
      </w:r>
      <w:r w:rsidRPr="00581E03">
        <w:rPr>
          <w:rFonts w:ascii="Aptos" w:hAnsi="Aptos"/>
          <w:bCs/>
          <w:color w:val="000000" w:themeColor="text1"/>
          <w:sz w:val="18"/>
          <w:szCs w:val="18"/>
        </w:rPr>
        <w:t>. Fondo, Reparaciones y Costas. Sentencia de 5 de octubre de 2015. Serie C No. 303, párr. 151.</w:t>
      </w:r>
    </w:p>
  </w:footnote>
  <w:footnote w:id="61">
    <w:p w14:paraId="422EFC1A" w14:textId="3212E85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80BCE" w:rsidRPr="00581E03">
        <w:rPr>
          <w:rFonts w:ascii="Aptos" w:hAnsi="Aptos"/>
          <w:bCs/>
          <w:color w:val="000000" w:themeColor="text1"/>
          <w:sz w:val="18"/>
          <w:szCs w:val="18"/>
        </w:rPr>
        <w:t xml:space="preserve">Sebastián </w:t>
      </w:r>
      <w:r w:rsidRPr="00581E03">
        <w:rPr>
          <w:rFonts w:ascii="Aptos" w:hAnsi="Aptos"/>
          <w:bCs/>
          <w:color w:val="000000" w:themeColor="text1"/>
          <w:sz w:val="18"/>
          <w:szCs w:val="18"/>
        </w:rPr>
        <w:t>López Escarcena, “</w:t>
      </w:r>
      <w:r w:rsidRPr="00581E03">
        <w:rPr>
          <w:rFonts w:ascii="Aptos" w:hAnsi="Aptos"/>
          <w:bCs/>
          <w:iCs/>
          <w:color w:val="000000" w:themeColor="text1"/>
          <w:sz w:val="18"/>
          <w:szCs w:val="18"/>
        </w:rPr>
        <w:t>Los Principios de París y las instituciones nacionales de derechos humanos en América Latina</w:t>
      </w:r>
      <w:r w:rsidRPr="00581E03">
        <w:rPr>
          <w:rFonts w:ascii="Aptos" w:hAnsi="Aptos"/>
          <w:bCs/>
          <w:i/>
          <w:color w:val="000000" w:themeColor="text1"/>
          <w:sz w:val="18"/>
          <w:szCs w:val="18"/>
        </w:rPr>
        <w:t>”</w:t>
      </w:r>
      <w:r w:rsidRPr="00581E03">
        <w:rPr>
          <w:rFonts w:ascii="Aptos" w:hAnsi="Aptos"/>
          <w:bCs/>
          <w:color w:val="000000" w:themeColor="text1"/>
          <w:sz w:val="18"/>
          <w:szCs w:val="18"/>
        </w:rPr>
        <w:t xml:space="preserve">, </w:t>
      </w:r>
      <w:r w:rsidRPr="00581E03">
        <w:rPr>
          <w:rFonts w:ascii="Aptos" w:hAnsi="Aptos"/>
          <w:bCs/>
          <w:i/>
          <w:iCs/>
          <w:color w:val="000000" w:themeColor="text1"/>
          <w:sz w:val="18"/>
          <w:szCs w:val="18"/>
        </w:rPr>
        <w:t xml:space="preserve">Revista </w:t>
      </w:r>
      <w:r w:rsidR="00E80BCE" w:rsidRPr="00581E03">
        <w:rPr>
          <w:rFonts w:ascii="Aptos" w:hAnsi="Aptos"/>
          <w:bCs/>
          <w:i/>
          <w:iCs/>
          <w:color w:val="000000" w:themeColor="text1"/>
          <w:sz w:val="18"/>
          <w:szCs w:val="18"/>
        </w:rPr>
        <w:t>D</w:t>
      </w:r>
      <w:r w:rsidRPr="00581E03">
        <w:rPr>
          <w:rFonts w:ascii="Aptos" w:hAnsi="Aptos"/>
          <w:bCs/>
          <w:i/>
          <w:iCs/>
          <w:color w:val="000000" w:themeColor="text1"/>
          <w:sz w:val="18"/>
          <w:szCs w:val="18"/>
        </w:rPr>
        <w:t>erecho del Estado</w:t>
      </w:r>
      <w:r w:rsidRPr="00581E03">
        <w:rPr>
          <w:rFonts w:ascii="Aptos" w:hAnsi="Aptos"/>
          <w:bCs/>
          <w:color w:val="000000" w:themeColor="text1"/>
          <w:sz w:val="18"/>
          <w:szCs w:val="18"/>
        </w:rPr>
        <w:t xml:space="preserve"> 52 </w:t>
      </w:r>
      <w:r w:rsidR="00E80BCE" w:rsidRPr="00581E03">
        <w:rPr>
          <w:rFonts w:ascii="Aptos" w:hAnsi="Aptos"/>
          <w:bCs/>
          <w:color w:val="000000" w:themeColor="text1"/>
          <w:sz w:val="18"/>
          <w:szCs w:val="18"/>
        </w:rPr>
        <w:t>(</w:t>
      </w:r>
      <w:r w:rsidRPr="00581E03">
        <w:rPr>
          <w:rFonts w:ascii="Aptos" w:hAnsi="Aptos"/>
          <w:bCs/>
          <w:color w:val="000000" w:themeColor="text1"/>
          <w:sz w:val="18"/>
          <w:szCs w:val="18"/>
        </w:rPr>
        <w:t>2022)</w:t>
      </w:r>
      <w:r w:rsidR="00E80BCE" w:rsidRPr="00581E03">
        <w:rPr>
          <w:rFonts w:ascii="Aptos" w:hAnsi="Aptos"/>
          <w:bCs/>
          <w:color w:val="000000" w:themeColor="text1"/>
          <w:sz w:val="18"/>
          <w:szCs w:val="18"/>
        </w:rPr>
        <w:t>:</w:t>
      </w:r>
      <w:r w:rsidRPr="00581E03">
        <w:rPr>
          <w:rFonts w:ascii="Aptos" w:hAnsi="Aptos"/>
          <w:bCs/>
          <w:color w:val="000000" w:themeColor="text1"/>
          <w:sz w:val="18"/>
          <w:szCs w:val="18"/>
        </w:rPr>
        <w:t xml:space="preserve"> 67–95, </w:t>
      </w:r>
      <w:hyperlink r:id="rId4" w:history="1">
        <w:r w:rsidRPr="00581E03">
          <w:rPr>
            <w:rStyle w:val="Hipervnculo"/>
            <w:rFonts w:ascii="Aptos" w:hAnsi="Aptos"/>
            <w:bCs/>
            <w:sz w:val="18"/>
            <w:szCs w:val="18"/>
          </w:rPr>
          <w:t>https://doi.org/10.18601/01229893.n52.03</w:t>
        </w:r>
      </w:hyperlink>
    </w:p>
  </w:footnote>
  <w:footnote w:id="62">
    <w:p w14:paraId="1F8A55A0" w14:textId="4335F46B"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27876" w:rsidRPr="00581E03">
        <w:rPr>
          <w:rFonts w:ascii="Aptos" w:hAnsi="Aptos"/>
          <w:bCs/>
          <w:color w:val="000000" w:themeColor="text1"/>
          <w:sz w:val="18"/>
          <w:szCs w:val="18"/>
        </w:rPr>
        <w:t xml:space="preserve">José de Jesús </w:t>
      </w:r>
      <w:r w:rsidRPr="00581E03">
        <w:rPr>
          <w:rFonts w:ascii="Aptos" w:hAnsi="Aptos"/>
          <w:bCs/>
          <w:color w:val="000000" w:themeColor="text1"/>
          <w:sz w:val="18"/>
          <w:szCs w:val="18"/>
        </w:rPr>
        <w:t xml:space="preserve">Naveja Macías, </w:t>
      </w:r>
      <w:r w:rsidRPr="00581E03">
        <w:rPr>
          <w:rFonts w:ascii="Aptos" w:hAnsi="Aptos"/>
          <w:bCs/>
          <w:i/>
          <w:color w:val="000000" w:themeColor="text1"/>
          <w:sz w:val="18"/>
          <w:szCs w:val="18"/>
        </w:rPr>
        <w:t>Los nuevos principios rectores del juicio de amparo</w:t>
      </w:r>
      <w:r w:rsidRPr="00581E03">
        <w:rPr>
          <w:rFonts w:ascii="Aptos" w:hAnsi="Aptos"/>
          <w:bCs/>
          <w:color w:val="000000" w:themeColor="text1"/>
          <w:sz w:val="18"/>
          <w:szCs w:val="18"/>
        </w:rPr>
        <w:t xml:space="preserve"> </w:t>
      </w:r>
      <w:r w:rsidR="00E27876" w:rsidRPr="00581E03">
        <w:rPr>
          <w:rFonts w:ascii="Aptos" w:hAnsi="Aptos"/>
          <w:bCs/>
          <w:color w:val="000000" w:themeColor="text1"/>
          <w:sz w:val="18"/>
          <w:szCs w:val="18"/>
        </w:rPr>
        <w:t>(</w:t>
      </w:r>
      <w:r w:rsidRPr="00581E03">
        <w:rPr>
          <w:rFonts w:ascii="Aptos" w:hAnsi="Aptos"/>
          <w:bCs/>
          <w:color w:val="000000" w:themeColor="text1"/>
          <w:sz w:val="18"/>
          <w:szCs w:val="18"/>
        </w:rPr>
        <w:t>México</w:t>
      </w:r>
      <w:r w:rsidR="00E27876" w:rsidRPr="00581E03">
        <w:rPr>
          <w:rFonts w:ascii="Aptos" w:hAnsi="Aptos"/>
          <w:bCs/>
          <w:color w:val="000000" w:themeColor="text1"/>
          <w:sz w:val="18"/>
          <w:szCs w:val="18"/>
        </w:rPr>
        <w:t>:</w:t>
      </w:r>
      <w:r w:rsidRPr="00581E03">
        <w:rPr>
          <w:rFonts w:ascii="Aptos" w:hAnsi="Aptos"/>
          <w:bCs/>
          <w:color w:val="000000" w:themeColor="text1"/>
          <w:sz w:val="18"/>
          <w:szCs w:val="18"/>
        </w:rPr>
        <w:t xml:space="preserve"> Flores Editor y Distribuidor, 2016</w:t>
      </w:r>
      <w:r w:rsidR="00E27876" w:rsidRPr="00581E03">
        <w:rPr>
          <w:rFonts w:ascii="Aptos" w:hAnsi="Aptos"/>
          <w:bCs/>
          <w:color w:val="000000" w:themeColor="text1"/>
          <w:sz w:val="18"/>
          <w:szCs w:val="18"/>
        </w:rPr>
        <w:t>)</w:t>
      </w:r>
      <w:r w:rsidRPr="00581E03">
        <w:rPr>
          <w:rFonts w:ascii="Aptos" w:hAnsi="Aptos"/>
          <w:bCs/>
          <w:color w:val="000000" w:themeColor="text1"/>
          <w:sz w:val="18"/>
          <w:szCs w:val="18"/>
        </w:rPr>
        <w:t>.</w:t>
      </w:r>
    </w:p>
  </w:footnote>
  <w:footnote w:id="63">
    <w:p w14:paraId="1903AF59" w14:textId="7DDDAFB7"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Pr="00581E03">
        <w:rPr>
          <w:rFonts w:ascii="Aptos" w:hAnsi="Aptos"/>
          <w:bCs/>
          <w:color w:val="000000" w:themeColor="text1"/>
          <w:sz w:val="18"/>
          <w:szCs w:val="18"/>
        </w:rPr>
        <w:t>Corte IDH</w:t>
      </w:r>
      <w:r w:rsidR="00794A94" w:rsidRPr="00581E03">
        <w:rPr>
          <w:rFonts w:ascii="Aptos" w:hAnsi="Aptos"/>
          <w:bCs/>
          <w:color w:val="000000" w:themeColor="text1"/>
          <w:sz w:val="18"/>
          <w:szCs w:val="18"/>
        </w:rPr>
        <w:t>.</w:t>
      </w:r>
      <w:r w:rsidRPr="00581E03">
        <w:rPr>
          <w:rFonts w:ascii="Aptos" w:hAnsi="Aptos"/>
          <w:bCs/>
          <w:color w:val="000000" w:themeColor="text1"/>
          <w:sz w:val="18"/>
          <w:szCs w:val="18"/>
        </w:rPr>
        <w:t xml:space="preserve"> </w:t>
      </w:r>
      <w:r w:rsidRPr="00581E03">
        <w:rPr>
          <w:rFonts w:ascii="Aptos" w:hAnsi="Aptos"/>
          <w:bCs/>
          <w:i/>
          <w:color w:val="000000" w:themeColor="text1"/>
          <w:sz w:val="18"/>
          <w:szCs w:val="18"/>
        </w:rPr>
        <w:t>Caso Velásquez Rodríguez c/Honduras</w:t>
      </w:r>
      <w:r w:rsidR="00794A94" w:rsidRPr="00581E03">
        <w:rPr>
          <w:rFonts w:ascii="Aptos" w:hAnsi="Aptos"/>
          <w:bCs/>
          <w:color w:val="000000" w:themeColor="text1"/>
          <w:sz w:val="18"/>
          <w:szCs w:val="18"/>
        </w:rPr>
        <w:t>. S</w:t>
      </w:r>
      <w:r w:rsidRPr="00581E03">
        <w:rPr>
          <w:rFonts w:ascii="Aptos" w:hAnsi="Aptos"/>
          <w:bCs/>
          <w:color w:val="000000" w:themeColor="text1"/>
          <w:sz w:val="18"/>
          <w:szCs w:val="18"/>
        </w:rPr>
        <w:t>entencia del 29 de julio de 1988 Ser. C Nº 4, 1988, párr. 175.</w:t>
      </w:r>
    </w:p>
  </w:footnote>
  <w:footnote w:id="64">
    <w:p w14:paraId="3D6AA31A" w14:textId="5DB1D2EA"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r w:rsidR="00E27876" w:rsidRPr="00581E03">
        <w:rPr>
          <w:rFonts w:ascii="Aptos" w:hAnsi="Aptos"/>
          <w:color w:val="000000" w:themeColor="text1"/>
          <w:sz w:val="18"/>
          <w:szCs w:val="18"/>
        </w:rPr>
        <w:t xml:space="preserve">Ydalia Pérez Fernández Ceja, </w:t>
      </w:r>
      <w:r w:rsidR="00E27876" w:rsidRPr="00581E03">
        <w:rPr>
          <w:rFonts w:ascii="Aptos" w:hAnsi="Aptos"/>
          <w:i/>
          <w:color w:val="000000" w:themeColor="text1"/>
          <w:sz w:val="18"/>
          <w:szCs w:val="18"/>
        </w:rPr>
        <w:t>La incorporación de la jurisprudencia internacional</w:t>
      </w:r>
      <w:r w:rsidR="00E27876" w:rsidRPr="00581E03">
        <w:rPr>
          <w:rFonts w:ascii="Aptos" w:hAnsi="Aptos"/>
          <w:iCs/>
          <w:color w:val="000000" w:themeColor="text1"/>
          <w:sz w:val="18"/>
          <w:szCs w:val="18"/>
        </w:rPr>
        <w:t>…</w:t>
      </w:r>
    </w:p>
  </w:footnote>
  <w:footnote w:id="65">
    <w:p w14:paraId="3EFFF802" w14:textId="5B0E8D1E" w:rsidR="00360385" w:rsidRPr="00581E03" w:rsidRDefault="00360385" w:rsidP="00581E03">
      <w:pPr>
        <w:pStyle w:val="BIOLpie"/>
        <w:rPr>
          <w:rFonts w:ascii="Aptos" w:hAnsi="Aptos"/>
          <w:color w:val="000000" w:themeColor="text1"/>
          <w:sz w:val="18"/>
          <w:szCs w:val="18"/>
        </w:rPr>
      </w:pPr>
      <w:r w:rsidRPr="00581E03">
        <w:rPr>
          <w:rStyle w:val="Refdenotaalpie"/>
          <w:rFonts w:ascii="Aptos" w:hAnsi="Aptos"/>
          <w:color w:val="000000" w:themeColor="text1"/>
          <w:sz w:val="18"/>
          <w:szCs w:val="18"/>
        </w:rPr>
        <w:footnoteRef/>
      </w:r>
      <w:r w:rsidRPr="00581E03">
        <w:rPr>
          <w:rFonts w:ascii="Aptos" w:hAnsi="Aptos"/>
          <w:color w:val="000000" w:themeColor="text1"/>
          <w:sz w:val="18"/>
          <w:szCs w:val="18"/>
        </w:rPr>
        <w:t xml:space="preserve"> </w:t>
      </w:r>
      <w:bookmarkStart w:id="15" w:name="_Hlk217791100"/>
      <w:bookmarkStart w:id="16" w:name="_Hlk217791101"/>
      <w:r w:rsidR="00E27876" w:rsidRPr="00581E03">
        <w:rPr>
          <w:rFonts w:ascii="Aptos" w:hAnsi="Aptos"/>
          <w:bCs/>
          <w:color w:val="000000" w:themeColor="text1"/>
          <w:sz w:val="18"/>
          <w:szCs w:val="18"/>
        </w:rPr>
        <w:t xml:space="preserve">Cuauhtémoc Manuel </w:t>
      </w:r>
      <w:r w:rsidRPr="00581E03">
        <w:rPr>
          <w:rFonts w:ascii="Aptos" w:hAnsi="Aptos"/>
          <w:bCs/>
          <w:color w:val="000000" w:themeColor="text1"/>
          <w:sz w:val="18"/>
          <w:szCs w:val="18"/>
        </w:rPr>
        <w:t xml:space="preserve">De Dienheim Barriguete,  </w:t>
      </w:r>
      <w:r w:rsidR="00794A94" w:rsidRPr="00581E03">
        <w:rPr>
          <w:rFonts w:ascii="Aptos" w:hAnsi="Aptos"/>
          <w:bCs/>
          <w:color w:val="000000" w:themeColor="text1"/>
          <w:sz w:val="18"/>
          <w:szCs w:val="18"/>
        </w:rPr>
        <w:t>“</w:t>
      </w:r>
      <w:r w:rsidRPr="00581E03">
        <w:rPr>
          <w:rFonts w:ascii="Aptos" w:hAnsi="Aptos"/>
          <w:bCs/>
          <w:color w:val="000000" w:themeColor="text1"/>
          <w:sz w:val="18"/>
          <w:szCs w:val="18"/>
        </w:rPr>
        <w:t xml:space="preserve">La interpretación conforme, el control de la convencionalidad y el principio </w:t>
      </w:r>
      <w:r w:rsidRPr="00581E03">
        <w:rPr>
          <w:rFonts w:ascii="Aptos" w:hAnsi="Aptos"/>
          <w:bCs/>
          <w:i/>
          <w:iCs/>
          <w:color w:val="000000" w:themeColor="text1"/>
          <w:sz w:val="18"/>
          <w:szCs w:val="18"/>
        </w:rPr>
        <w:t>pro persona</w:t>
      </w:r>
      <w:r w:rsidRPr="00581E03">
        <w:rPr>
          <w:rFonts w:ascii="Aptos" w:hAnsi="Aptos"/>
          <w:bCs/>
          <w:color w:val="000000" w:themeColor="text1"/>
          <w:sz w:val="18"/>
          <w:szCs w:val="18"/>
        </w:rPr>
        <w:t xml:space="preserve"> como mandato al poder legislativo</w:t>
      </w:r>
      <w:r w:rsidR="00794A94" w:rsidRPr="00581E03">
        <w:rPr>
          <w:rFonts w:ascii="Aptos" w:hAnsi="Aptos"/>
          <w:bCs/>
          <w:color w:val="000000" w:themeColor="text1"/>
          <w:sz w:val="18"/>
          <w:szCs w:val="18"/>
        </w:rPr>
        <w:t xml:space="preserve">”, en </w:t>
      </w:r>
      <w:r w:rsidR="00794A94" w:rsidRPr="00581E03">
        <w:rPr>
          <w:rFonts w:ascii="Aptos" w:hAnsi="Aptos"/>
          <w:bCs/>
          <w:i/>
          <w:iCs/>
          <w:color w:val="000000" w:themeColor="text1"/>
          <w:sz w:val="18"/>
          <w:szCs w:val="18"/>
        </w:rPr>
        <w:t>Derecho procesal convencional y la inconvencionalidad</w:t>
      </w:r>
      <w:r w:rsidR="00794A94" w:rsidRPr="00581E03">
        <w:rPr>
          <w:rFonts w:ascii="Aptos" w:hAnsi="Aptos"/>
          <w:bCs/>
          <w:color w:val="000000" w:themeColor="text1"/>
          <w:sz w:val="18"/>
          <w:szCs w:val="18"/>
        </w:rPr>
        <w:t>, c</w:t>
      </w:r>
      <w:r w:rsidR="00E27876" w:rsidRPr="00581E03">
        <w:rPr>
          <w:rFonts w:ascii="Aptos" w:hAnsi="Aptos"/>
          <w:bCs/>
          <w:color w:val="000000" w:themeColor="text1"/>
          <w:sz w:val="18"/>
          <w:szCs w:val="18"/>
        </w:rPr>
        <w:t xml:space="preserve">oord. por Sonia </w:t>
      </w:r>
      <w:r w:rsidRPr="00581E03">
        <w:rPr>
          <w:rFonts w:ascii="Aptos" w:hAnsi="Aptos"/>
          <w:bCs/>
          <w:color w:val="000000" w:themeColor="text1"/>
          <w:sz w:val="18"/>
          <w:szCs w:val="18"/>
        </w:rPr>
        <w:t>Escalante López</w:t>
      </w:r>
      <w:r w:rsidR="00794A94" w:rsidRPr="00581E03">
        <w:rPr>
          <w:rFonts w:ascii="Aptos" w:hAnsi="Aptos"/>
          <w:bCs/>
          <w:color w:val="000000" w:themeColor="text1"/>
          <w:sz w:val="18"/>
          <w:szCs w:val="18"/>
        </w:rPr>
        <w:t>, Gonzálo Armienta Hernández, Cuahutémoc Manuel de Dienheim Barriguete,</w:t>
      </w:r>
      <w:r w:rsidR="00E27876" w:rsidRPr="00581E03">
        <w:rPr>
          <w:rFonts w:ascii="Aptos" w:hAnsi="Aptos"/>
          <w:bCs/>
          <w:color w:val="000000" w:themeColor="text1"/>
          <w:sz w:val="18"/>
          <w:szCs w:val="18"/>
        </w:rPr>
        <w:t xml:space="preserve"> </w:t>
      </w:r>
      <w:r w:rsidR="00E27876" w:rsidRPr="00581E03">
        <w:rPr>
          <w:rFonts w:ascii="Aptos" w:hAnsi="Aptos"/>
          <w:bCs/>
          <w:i/>
          <w:iCs/>
          <w:color w:val="000000" w:themeColor="text1"/>
          <w:sz w:val="18"/>
          <w:szCs w:val="18"/>
        </w:rPr>
        <w:t>et al</w:t>
      </w:r>
      <w:r w:rsidR="00E27876" w:rsidRPr="00581E03">
        <w:rPr>
          <w:rFonts w:ascii="Aptos" w:hAnsi="Aptos"/>
          <w:bCs/>
          <w:color w:val="000000" w:themeColor="text1"/>
          <w:sz w:val="18"/>
          <w:szCs w:val="18"/>
        </w:rPr>
        <w:t>.</w:t>
      </w:r>
      <w:r w:rsidRPr="00581E03">
        <w:rPr>
          <w:rFonts w:ascii="Aptos" w:hAnsi="Aptos"/>
          <w:bCs/>
          <w:color w:val="000000" w:themeColor="text1"/>
          <w:sz w:val="18"/>
          <w:szCs w:val="18"/>
        </w:rPr>
        <w:t xml:space="preserve"> </w:t>
      </w:r>
      <w:r w:rsidR="00E27876" w:rsidRPr="00581E03">
        <w:rPr>
          <w:rFonts w:ascii="Aptos" w:hAnsi="Aptos"/>
          <w:bCs/>
          <w:color w:val="000000" w:themeColor="text1"/>
          <w:sz w:val="18"/>
          <w:szCs w:val="18"/>
        </w:rPr>
        <w:t>(</w:t>
      </w:r>
      <w:r w:rsidRPr="00581E03">
        <w:rPr>
          <w:rFonts w:ascii="Aptos" w:hAnsi="Aptos"/>
          <w:bCs/>
          <w:color w:val="000000" w:themeColor="text1"/>
          <w:sz w:val="18"/>
          <w:szCs w:val="18"/>
        </w:rPr>
        <w:t>México</w:t>
      </w:r>
      <w:r w:rsidR="00E27876" w:rsidRPr="00581E03">
        <w:rPr>
          <w:rFonts w:ascii="Aptos" w:hAnsi="Aptos"/>
          <w:bCs/>
          <w:color w:val="000000" w:themeColor="text1"/>
          <w:sz w:val="18"/>
          <w:szCs w:val="18"/>
        </w:rPr>
        <w:t xml:space="preserve">: </w:t>
      </w:r>
      <w:r w:rsidRPr="00581E03">
        <w:rPr>
          <w:rFonts w:ascii="Aptos" w:hAnsi="Aptos"/>
          <w:bCs/>
          <w:color w:val="000000" w:themeColor="text1"/>
          <w:sz w:val="18"/>
          <w:szCs w:val="18"/>
        </w:rPr>
        <w:t>Porrúa, 2016</w:t>
      </w:r>
      <w:r w:rsidR="00E27876" w:rsidRPr="00581E03">
        <w:rPr>
          <w:rFonts w:ascii="Aptos" w:hAnsi="Aptos"/>
          <w:bCs/>
          <w:color w:val="000000" w:themeColor="text1"/>
          <w:sz w:val="18"/>
          <w:szCs w:val="18"/>
        </w:rPr>
        <w:t>)</w:t>
      </w:r>
      <w:r w:rsidRPr="00581E03">
        <w:rPr>
          <w:rFonts w:ascii="Aptos" w:hAnsi="Aptos"/>
          <w:bCs/>
          <w:color w:val="000000" w:themeColor="text1"/>
          <w:sz w:val="18"/>
          <w:szCs w:val="18"/>
        </w:rPr>
        <w:t>.</w:t>
      </w:r>
      <w:bookmarkEnd w:id="15"/>
      <w:bookmarkEnd w:id="1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 w:name="_Hlk216979664"/>
  <w:bookmarkStart w:id="20" w:name="_Hlk216979665"/>
  <w:bookmarkStart w:id="21" w:name="_Hlk216979667"/>
  <w:bookmarkStart w:id="22" w:name="_Hlk216979668"/>
  <w:bookmarkStart w:id="23" w:name="OLE_LINK22"/>
  <w:bookmarkStart w:id="24" w:name="OLE_LINK23"/>
  <w:bookmarkStart w:id="25" w:name="_Hlk216979697"/>
  <w:p w14:paraId="23A06249" w14:textId="2E2FF525" w:rsidR="00581E03" w:rsidRPr="00581E03" w:rsidRDefault="00581E03" w:rsidP="00581E03">
    <w:pPr>
      <w:tabs>
        <w:tab w:val="center" w:pos="4252"/>
        <w:tab w:val="right" w:pos="8504"/>
      </w:tabs>
      <w:spacing w:after="0" w:line="240" w:lineRule="auto"/>
      <w:contextualSpacing/>
      <w:rPr>
        <w:rFonts w:ascii="Aptos" w:eastAsia="Times New Roman" w:hAnsi="Aptos" w:cs="Times New Roman"/>
        <w:sz w:val="18"/>
        <w:szCs w:val="18"/>
        <w:lang w:eastAsia="es-MX"/>
      </w:rPr>
    </w:pPr>
    <w:r w:rsidRPr="00581E03">
      <w:rPr>
        <w:rFonts w:ascii="Aptos" w:eastAsia="Aptos" w:hAnsi="Aptos" w:cs="Times New Roman"/>
        <w:noProof/>
        <w:sz w:val="18"/>
        <w:szCs w:val="18"/>
      </w:rPr>
      <mc:AlternateContent>
        <mc:Choice Requires="wps">
          <w:drawing>
            <wp:anchor distT="0" distB="0" distL="114300" distR="114300" simplePos="0" relativeHeight="251665408" behindDoc="0" locked="0" layoutInCell="1" allowOverlap="1" wp14:anchorId="2EAC25CA" wp14:editId="30F790A5">
              <wp:simplePos x="0" y="0"/>
              <wp:positionH relativeFrom="margin">
                <wp:posOffset>0</wp:posOffset>
              </wp:positionH>
              <wp:positionV relativeFrom="paragraph">
                <wp:posOffset>146685</wp:posOffset>
              </wp:positionV>
              <wp:extent cx="5549265" cy="635"/>
              <wp:effectExtent l="0" t="0" r="32385" b="37465"/>
              <wp:wrapNone/>
              <wp:docPr id="1630749787"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9265" cy="635"/>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329810F9" id="_x0000_t32" coordsize="21600,21600" o:spt="32" o:oned="t" path="m,l21600,21600e" filled="f">
              <v:path arrowok="t" fillok="f" o:connecttype="none"/>
              <o:lock v:ext="edit" shapetype="t"/>
            </v:shapetype>
            <v:shape id="Conector recto de flecha 8" o:spid="_x0000_s1026" type="#_x0000_t32" style="position:absolute;margin-left:0;margin-top:11.55pt;width:436.95pt;height:.05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">
              <w10:wrap anchorx="margin"/>
            </v:shape>
          </w:pict>
        </mc:Fallback>
      </mc:AlternateContent>
    </w:r>
    <w:bookmarkEnd w:id="19"/>
    <w:bookmarkEnd w:id="20"/>
    <w:bookmarkEnd w:id="21"/>
    <w:bookmarkEnd w:id="22"/>
    <w:bookmarkEnd w:id="23"/>
    <w:bookmarkEnd w:id="24"/>
    <w:bookmarkEnd w:id="2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694A" w14:textId="77777777" w:rsidR="00581E03" w:rsidRDefault="00581E0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4AE9" w14:textId="03687E02" w:rsidR="00581E03" w:rsidRPr="00581E03" w:rsidRDefault="00581E03" w:rsidP="00581E03">
    <w:pPr>
      <w:tabs>
        <w:tab w:val="center" w:pos="4419"/>
        <w:tab w:val="right" w:pos="8838"/>
      </w:tabs>
      <w:spacing w:after="0" w:line="240" w:lineRule="auto"/>
      <w:rPr>
        <w:rFonts w:ascii="Aptos" w:eastAsia="Aptos" w:hAnsi="Aptos" w:cs="Times New Roman"/>
        <w:b/>
        <w:kern w:val="2"/>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46DA"/>
    <w:multiLevelType w:val="multilevel"/>
    <w:tmpl w:val="B36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1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F2"/>
    <w:rsid w:val="000017F4"/>
    <w:rsid w:val="00003713"/>
    <w:rsid w:val="000058DD"/>
    <w:rsid w:val="00006617"/>
    <w:rsid w:val="00016F66"/>
    <w:rsid w:val="00022657"/>
    <w:rsid w:val="0002287D"/>
    <w:rsid w:val="000236A4"/>
    <w:rsid w:val="0002620E"/>
    <w:rsid w:val="000276E0"/>
    <w:rsid w:val="000306E7"/>
    <w:rsid w:val="00033D00"/>
    <w:rsid w:val="00037629"/>
    <w:rsid w:val="00043BE7"/>
    <w:rsid w:val="00044931"/>
    <w:rsid w:val="00051059"/>
    <w:rsid w:val="00051F07"/>
    <w:rsid w:val="00052A76"/>
    <w:rsid w:val="000649B4"/>
    <w:rsid w:val="000655E0"/>
    <w:rsid w:val="00067DD0"/>
    <w:rsid w:val="00071416"/>
    <w:rsid w:val="00072527"/>
    <w:rsid w:val="0007278D"/>
    <w:rsid w:val="00073DCB"/>
    <w:rsid w:val="00075D49"/>
    <w:rsid w:val="000823B1"/>
    <w:rsid w:val="00084CCE"/>
    <w:rsid w:val="00087CC2"/>
    <w:rsid w:val="00093095"/>
    <w:rsid w:val="00095795"/>
    <w:rsid w:val="000A0BF6"/>
    <w:rsid w:val="000B29E9"/>
    <w:rsid w:val="000B385E"/>
    <w:rsid w:val="000B3973"/>
    <w:rsid w:val="000B4BF5"/>
    <w:rsid w:val="000C1F11"/>
    <w:rsid w:val="000C315F"/>
    <w:rsid w:val="000C6A1C"/>
    <w:rsid w:val="000D2AA9"/>
    <w:rsid w:val="000D2D76"/>
    <w:rsid w:val="000D7E32"/>
    <w:rsid w:val="000E1B36"/>
    <w:rsid w:val="000E707E"/>
    <w:rsid w:val="000F2749"/>
    <w:rsid w:val="000F2C2F"/>
    <w:rsid w:val="000F2EB9"/>
    <w:rsid w:val="000F75B5"/>
    <w:rsid w:val="000F7A0B"/>
    <w:rsid w:val="00101405"/>
    <w:rsid w:val="00101C4B"/>
    <w:rsid w:val="001057D5"/>
    <w:rsid w:val="0010686E"/>
    <w:rsid w:val="00111D7C"/>
    <w:rsid w:val="001126E1"/>
    <w:rsid w:val="00112CA6"/>
    <w:rsid w:val="001227FF"/>
    <w:rsid w:val="00123383"/>
    <w:rsid w:val="00125AD4"/>
    <w:rsid w:val="00127191"/>
    <w:rsid w:val="0012798C"/>
    <w:rsid w:val="00130469"/>
    <w:rsid w:val="001343D2"/>
    <w:rsid w:val="0014060C"/>
    <w:rsid w:val="00142D20"/>
    <w:rsid w:val="0014597E"/>
    <w:rsid w:val="001508F9"/>
    <w:rsid w:val="00151031"/>
    <w:rsid w:val="00151452"/>
    <w:rsid w:val="001616C2"/>
    <w:rsid w:val="0016487D"/>
    <w:rsid w:val="00165BCF"/>
    <w:rsid w:val="00173D75"/>
    <w:rsid w:val="00174365"/>
    <w:rsid w:val="00174AE8"/>
    <w:rsid w:val="00174C50"/>
    <w:rsid w:val="00177D84"/>
    <w:rsid w:val="0018035F"/>
    <w:rsid w:val="00181322"/>
    <w:rsid w:val="00185E11"/>
    <w:rsid w:val="001879A9"/>
    <w:rsid w:val="00192706"/>
    <w:rsid w:val="00192FA9"/>
    <w:rsid w:val="001A0424"/>
    <w:rsid w:val="001A5268"/>
    <w:rsid w:val="001A7E36"/>
    <w:rsid w:val="001B3D78"/>
    <w:rsid w:val="001B4FF1"/>
    <w:rsid w:val="001B5FBD"/>
    <w:rsid w:val="001B725A"/>
    <w:rsid w:val="001C0766"/>
    <w:rsid w:val="001C6B5C"/>
    <w:rsid w:val="001D6BD0"/>
    <w:rsid w:val="001E4900"/>
    <w:rsid w:val="001E76B7"/>
    <w:rsid w:val="001F153F"/>
    <w:rsid w:val="001F4F86"/>
    <w:rsid w:val="001F5D02"/>
    <w:rsid w:val="001F6588"/>
    <w:rsid w:val="001F77A9"/>
    <w:rsid w:val="00202F47"/>
    <w:rsid w:val="00204F33"/>
    <w:rsid w:val="00205419"/>
    <w:rsid w:val="00206088"/>
    <w:rsid w:val="00210C67"/>
    <w:rsid w:val="00211B35"/>
    <w:rsid w:val="00213F50"/>
    <w:rsid w:val="0022097E"/>
    <w:rsid w:val="00220EF5"/>
    <w:rsid w:val="00220F4A"/>
    <w:rsid w:val="00223DE9"/>
    <w:rsid w:val="002277BB"/>
    <w:rsid w:val="0022784D"/>
    <w:rsid w:val="00227957"/>
    <w:rsid w:val="00231120"/>
    <w:rsid w:val="002336BE"/>
    <w:rsid w:val="0023733F"/>
    <w:rsid w:val="0024108D"/>
    <w:rsid w:val="002426A1"/>
    <w:rsid w:val="00243D7E"/>
    <w:rsid w:val="00244F12"/>
    <w:rsid w:val="00245A4C"/>
    <w:rsid w:val="002548CA"/>
    <w:rsid w:val="00254EA3"/>
    <w:rsid w:val="0026652B"/>
    <w:rsid w:val="00270602"/>
    <w:rsid w:val="00272474"/>
    <w:rsid w:val="00286515"/>
    <w:rsid w:val="0028712E"/>
    <w:rsid w:val="00290159"/>
    <w:rsid w:val="00291840"/>
    <w:rsid w:val="00293B7E"/>
    <w:rsid w:val="002A4F7A"/>
    <w:rsid w:val="002A73BB"/>
    <w:rsid w:val="002B6F67"/>
    <w:rsid w:val="002C3D20"/>
    <w:rsid w:val="002C4AA9"/>
    <w:rsid w:val="002C65BA"/>
    <w:rsid w:val="002C7E35"/>
    <w:rsid w:val="002D18D5"/>
    <w:rsid w:val="002D36B5"/>
    <w:rsid w:val="002D5AB7"/>
    <w:rsid w:val="002E4220"/>
    <w:rsid w:val="002E5113"/>
    <w:rsid w:val="002F0AAA"/>
    <w:rsid w:val="002F210E"/>
    <w:rsid w:val="002F3DB5"/>
    <w:rsid w:val="002F49E7"/>
    <w:rsid w:val="003122AB"/>
    <w:rsid w:val="0031395E"/>
    <w:rsid w:val="00314015"/>
    <w:rsid w:val="003161A3"/>
    <w:rsid w:val="003163CC"/>
    <w:rsid w:val="00317E60"/>
    <w:rsid w:val="00323AE4"/>
    <w:rsid w:val="00323F03"/>
    <w:rsid w:val="00324EFC"/>
    <w:rsid w:val="00326BAC"/>
    <w:rsid w:val="0033575B"/>
    <w:rsid w:val="00335F7A"/>
    <w:rsid w:val="00336885"/>
    <w:rsid w:val="003418E3"/>
    <w:rsid w:val="003428BA"/>
    <w:rsid w:val="0034432C"/>
    <w:rsid w:val="00346A8B"/>
    <w:rsid w:val="003507EA"/>
    <w:rsid w:val="0035685C"/>
    <w:rsid w:val="00360385"/>
    <w:rsid w:val="003636E7"/>
    <w:rsid w:val="00364A8F"/>
    <w:rsid w:val="003668AC"/>
    <w:rsid w:val="003671FB"/>
    <w:rsid w:val="0037179F"/>
    <w:rsid w:val="00377C05"/>
    <w:rsid w:val="003822DF"/>
    <w:rsid w:val="00386D62"/>
    <w:rsid w:val="003A0A15"/>
    <w:rsid w:val="003A29BB"/>
    <w:rsid w:val="003B1D88"/>
    <w:rsid w:val="003B2375"/>
    <w:rsid w:val="003B5921"/>
    <w:rsid w:val="003B6678"/>
    <w:rsid w:val="003B67EC"/>
    <w:rsid w:val="003B7966"/>
    <w:rsid w:val="003C1D25"/>
    <w:rsid w:val="003C52D5"/>
    <w:rsid w:val="003C6E06"/>
    <w:rsid w:val="003D1B0F"/>
    <w:rsid w:val="003D475B"/>
    <w:rsid w:val="003D5AC9"/>
    <w:rsid w:val="003D625A"/>
    <w:rsid w:val="003E6FEA"/>
    <w:rsid w:val="003F3D40"/>
    <w:rsid w:val="003F5A3C"/>
    <w:rsid w:val="003F5A6C"/>
    <w:rsid w:val="00400B6F"/>
    <w:rsid w:val="00400CEC"/>
    <w:rsid w:val="00401EEE"/>
    <w:rsid w:val="00405956"/>
    <w:rsid w:val="00405CD8"/>
    <w:rsid w:val="004062DC"/>
    <w:rsid w:val="00412385"/>
    <w:rsid w:val="0042424A"/>
    <w:rsid w:val="0043099A"/>
    <w:rsid w:val="00435F34"/>
    <w:rsid w:val="0044047F"/>
    <w:rsid w:val="00441A44"/>
    <w:rsid w:val="004431C5"/>
    <w:rsid w:val="004457B3"/>
    <w:rsid w:val="00451DCA"/>
    <w:rsid w:val="00452E1D"/>
    <w:rsid w:val="0045301C"/>
    <w:rsid w:val="00453B5D"/>
    <w:rsid w:val="00455DD1"/>
    <w:rsid w:val="00463AA9"/>
    <w:rsid w:val="00464A8E"/>
    <w:rsid w:val="00466AA2"/>
    <w:rsid w:val="00471418"/>
    <w:rsid w:val="0047680A"/>
    <w:rsid w:val="00477528"/>
    <w:rsid w:val="00482870"/>
    <w:rsid w:val="004867A5"/>
    <w:rsid w:val="00494D20"/>
    <w:rsid w:val="004977BA"/>
    <w:rsid w:val="004A17D8"/>
    <w:rsid w:val="004A1FF1"/>
    <w:rsid w:val="004A4F4E"/>
    <w:rsid w:val="004A60D8"/>
    <w:rsid w:val="004A680E"/>
    <w:rsid w:val="004B7758"/>
    <w:rsid w:val="004C7051"/>
    <w:rsid w:val="004D19A4"/>
    <w:rsid w:val="004D1EEA"/>
    <w:rsid w:val="004F5569"/>
    <w:rsid w:val="004F6FF2"/>
    <w:rsid w:val="005066D8"/>
    <w:rsid w:val="0051326E"/>
    <w:rsid w:val="0051454D"/>
    <w:rsid w:val="00516F06"/>
    <w:rsid w:val="0052253F"/>
    <w:rsid w:val="005264D9"/>
    <w:rsid w:val="00527700"/>
    <w:rsid w:val="00530815"/>
    <w:rsid w:val="00531153"/>
    <w:rsid w:val="005311A6"/>
    <w:rsid w:val="005318AD"/>
    <w:rsid w:val="00532B8E"/>
    <w:rsid w:val="00533CCE"/>
    <w:rsid w:val="00535809"/>
    <w:rsid w:val="00535A9B"/>
    <w:rsid w:val="00535C1D"/>
    <w:rsid w:val="00536955"/>
    <w:rsid w:val="00536C64"/>
    <w:rsid w:val="00540FEF"/>
    <w:rsid w:val="00544683"/>
    <w:rsid w:val="005449C5"/>
    <w:rsid w:val="005555FF"/>
    <w:rsid w:val="00556904"/>
    <w:rsid w:val="00557F90"/>
    <w:rsid w:val="00561376"/>
    <w:rsid w:val="00561E11"/>
    <w:rsid w:val="0056304F"/>
    <w:rsid w:val="0056647C"/>
    <w:rsid w:val="00570665"/>
    <w:rsid w:val="0057362F"/>
    <w:rsid w:val="0057376E"/>
    <w:rsid w:val="005744BD"/>
    <w:rsid w:val="00581E03"/>
    <w:rsid w:val="00584682"/>
    <w:rsid w:val="00586999"/>
    <w:rsid w:val="00587F6F"/>
    <w:rsid w:val="005964F3"/>
    <w:rsid w:val="005A1521"/>
    <w:rsid w:val="005A68EA"/>
    <w:rsid w:val="005B17F9"/>
    <w:rsid w:val="005C3139"/>
    <w:rsid w:val="005C3946"/>
    <w:rsid w:val="005C5631"/>
    <w:rsid w:val="005C6A83"/>
    <w:rsid w:val="005D0B36"/>
    <w:rsid w:val="005D1092"/>
    <w:rsid w:val="005D75A5"/>
    <w:rsid w:val="005E0D89"/>
    <w:rsid w:val="005E1520"/>
    <w:rsid w:val="005E159B"/>
    <w:rsid w:val="005F141F"/>
    <w:rsid w:val="005F6A8A"/>
    <w:rsid w:val="005F73CA"/>
    <w:rsid w:val="005F78DB"/>
    <w:rsid w:val="00603E09"/>
    <w:rsid w:val="0060478E"/>
    <w:rsid w:val="00604F03"/>
    <w:rsid w:val="006110E9"/>
    <w:rsid w:val="00611BB0"/>
    <w:rsid w:val="00613496"/>
    <w:rsid w:val="006148CB"/>
    <w:rsid w:val="00615FFF"/>
    <w:rsid w:val="00621F7B"/>
    <w:rsid w:val="00622A75"/>
    <w:rsid w:val="00622E4A"/>
    <w:rsid w:val="00632DFE"/>
    <w:rsid w:val="00640FA0"/>
    <w:rsid w:val="00641AA0"/>
    <w:rsid w:val="006424CA"/>
    <w:rsid w:val="00652F47"/>
    <w:rsid w:val="00655F53"/>
    <w:rsid w:val="006606BC"/>
    <w:rsid w:val="0066328A"/>
    <w:rsid w:val="00664B94"/>
    <w:rsid w:val="006679A7"/>
    <w:rsid w:val="00670835"/>
    <w:rsid w:val="006730B1"/>
    <w:rsid w:val="006742E1"/>
    <w:rsid w:val="0067774A"/>
    <w:rsid w:val="0068149E"/>
    <w:rsid w:val="006836BE"/>
    <w:rsid w:val="00683988"/>
    <w:rsid w:val="00693784"/>
    <w:rsid w:val="00694238"/>
    <w:rsid w:val="00697547"/>
    <w:rsid w:val="006A7BCF"/>
    <w:rsid w:val="006B0FEA"/>
    <w:rsid w:val="006B1F26"/>
    <w:rsid w:val="006B5ADB"/>
    <w:rsid w:val="006C1770"/>
    <w:rsid w:val="006C2383"/>
    <w:rsid w:val="006D320D"/>
    <w:rsid w:val="006D3876"/>
    <w:rsid w:val="006D4CA2"/>
    <w:rsid w:val="006E4DA3"/>
    <w:rsid w:val="006E526E"/>
    <w:rsid w:val="006E70C4"/>
    <w:rsid w:val="006E794D"/>
    <w:rsid w:val="006F756A"/>
    <w:rsid w:val="006F7EEE"/>
    <w:rsid w:val="00700D94"/>
    <w:rsid w:val="00704EF2"/>
    <w:rsid w:val="00706CB5"/>
    <w:rsid w:val="00706D1B"/>
    <w:rsid w:val="007203DA"/>
    <w:rsid w:val="00720503"/>
    <w:rsid w:val="007221E9"/>
    <w:rsid w:val="00726C94"/>
    <w:rsid w:val="00734D41"/>
    <w:rsid w:val="0073518E"/>
    <w:rsid w:val="007362AA"/>
    <w:rsid w:val="00740C61"/>
    <w:rsid w:val="00741450"/>
    <w:rsid w:val="007439AD"/>
    <w:rsid w:val="007442DC"/>
    <w:rsid w:val="00750456"/>
    <w:rsid w:val="00751B2F"/>
    <w:rsid w:val="007573E5"/>
    <w:rsid w:val="00762B48"/>
    <w:rsid w:val="00767B86"/>
    <w:rsid w:val="00787E8D"/>
    <w:rsid w:val="0079110F"/>
    <w:rsid w:val="00791A90"/>
    <w:rsid w:val="0079208D"/>
    <w:rsid w:val="00794A94"/>
    <w:rsid w:val="007963B0"/>
    <w:rsid w:val="007969E1"/>
    <w:rsid w:val="00797ACA"/>
    <w:rsid w:val="007A28CE"/>
    <w:rsid w:val="007B019C"/>
    <w:rsid w:val="007B137D"/>
    <w:rsid w:val="007B36E3"/>
    <w:rsid w:val="007B4147"/>
    <w:rsid w:val="007C6C72"/>
    <w:rsid w:val="007C75E8"/>
    <w:rsid w:val="007D201A"/>
    <w:rsid w:val="007D5C17"/>
    <w:rsid w:val="007E0F48"/>
    <w:rsid w:val="007E2301"/>
    <w:rsid w:val="007E3870"/>
    <w:rsid w:val="007E7FEB"/>
    <w:rsid w:val="007F0872"/>
    <w:rsid w:val="0080201B"/>
    <w:rsid w:val="00802A40"/>
    <w:rsid w:val="0080705F"/>
    <w:rsid w:val="00813440"/>
    <w:rsid w:val="008166D5"/>
    <w:rsid w:val="00816D2B"/>
    <w:rsid w:val="0082006A"/>
    <w:rsid w:val="00822BF9"/>
    <w:rsid w:val="00824DD4"/>
    <w:rsid w:val="00830546"/>
    <w:rsid w:val="008337E0"/>
    <w:rsid w:val="00836BA4"/>
    <w:rsid w:val="00840443"/>
    <w:rsid w:val="00841614"/>
    <w:rsid w:val="00844F6A"/>
    <w:rsid w:val="008455B2"/>
    <w:rsid w:val="0084616A"/>
    <w:rsid w:val="00846A47"/>
    <w:rsid w:val="00852A6B"/>
    <w:rsid w:val="00853723"/>
    <w:rsid w:val="00853B36"/>
    <w:rsid w:val="00860167"/>
    <w:rsid w:val="00861A77"/>
    <w:rsid w:val="0086284D"/>
    <w:rsid w:val="00866EC4"/>
    <w:rsid w:val="00873DF6"/>
    <w:rsid w:val="0088059A"/>
    <w:rsid w:val="008819E4"/>
    <w:rsid w:val="008863EA"/>
    <w:rsid w:val="00892A63"/>
    <w:rsid w:val="00893F1D"/>
    <w:rsid w:val="00894DE1"/>
    <w:rsid w:val="00896926"/>
    <w:rsid w:val="00896EFC"/>
    <w:rsid w:val="008A2328"/>
    <w:rsid w:val="008A2FEF"/>
    <w:rsid w:val="008A4F86"/>
    <w:rsid w:val="008A6F57"/>
    <w:rsid w:val="008B0CFF"/>
    <w:rsid w:val="008B27E1"/>
    <w:rsid w:val="008B372B"/>
    <w:rsid w:val="008B453F"/>
    <w:rsid w:val="008C02D2"/>
    <w:rsid w:val="008C3CDE"/>
    <w:rsid w:val="008C4C50"/>
    <w:rsid w:val="008C5465"/>
    <w:rsid w:val="008C5AEF"/>
    <w:rsid w:val="008C611D"/>
    <w:rsid w:val="008D0712"/>
    <w:rsid w:val="008D4FB5"/>
    <w:rsid w:val="008E2BF6"/>
    <w:rsid w:val="008E6DAA"/>
    <w:rsid w:val="008F0627"/>
    <w:rsid w:val="008F5F11"/>
    <w:rsid w:val="008F6709"/>
    <w:rsid w:val="00901767"/>
    <w:rsid w:val="009104F8"/>
    <w:rsid w:val="00913BA9"/>
    <w:rsid w:val="00920953"/>
    <w:rsid w:val="00927DC2"/>
    <w:rsid w:val="009308DA"/>
    <w:rsid w:val="009317FC"/>
    <w:rsid w:val="009342A1"/>
    <w:rsid w:val="009371F8"/>
    <w:rsid w:val="0094118E"/>
    <w:rsid w:val="00942BD7"/>
    <w:rsid w:val="009436ED"/>
    <w:rsid w:val="00944F42"/>
    <w:rsid w:val="00945D9E"/>
    <w:rsid w:val="00951E25"/>
    <w:rsid w:val="00952FA3"/>
    <w:rsid w:val="009566F4"/>
    <w:rsid w:val="009568E8"/>
    <w:rsid w:val="00962874"/>
    <w:rsid w:val="00962F08"/>
    <w:rsid w:val="00963964"/>
    <w:rsid w:val="00971457"/>
    <w:rsid w:val="0097318F"/>
    <w:rsid w:val="00973495"/>
    <w:rsid w:val="00973D20"/>
    <w:rsid w:val="00975237"/>
    <w:rsid w:val="00976FEA"/>
    <w:rsid w:val="00985D20"/>
    <w:rsid w:val="00994232"/>
    <w:rsid w:val="00996CDF"/>
    <w:rsid w:val="00997387"/>
    <w:rsid w:val="009A170F"/>
    <w:rsid w:val="009A20E9"/>
    <w:rsid w:val="009A3564"/>
    <w:rsid w:val="009A611A"/>
    <w:rsid w:val="009A749F"/>
    <w:rsid w:val="009B4479"/>
    <w:rsid w:val="009B6EB6"/>
    <w:rsid w:val="009C14D7"/>
    <w:rsid w:val="009D1E28"/>
    <w:rsid w:val="009D341E"/>
    <w:rsid w:val="009E5FC7"/>
    <w:rsid w:val="009E6816"/>
    <w:rsid w:val="009F038D"/>
    <w:rsid w:val="009F19C7"/>
    <w:rsid w:val="009F2649"/>
    <w:rsid w:val="009F2B85"/>
    <w:rsid w:val="00A01E77"/>
    <w:rsid w:val="00A03CBE"/>
    <w:rsid w:val="00A04A33"/>
    <w:rsid w:val="00A04B5C"/>
    <w:rsid w:val="00A05D12"/>
    <w:rsid w:val="00A10B3E"/>
    <w:rsid w:val="00A163E8"/>
    <w:rsid w:val="00A17744"/>
    <w:rsid w:val="00A2149C"/>
    <w:rsid w:val="00A21B54"/>
    <w:rsid w:val="00A232C2"/>
    <w:rsid w:val="00A33F37"/>
    <w:rsid w:val="00A35F1C"/>
    <w:rsid w:val="00A364A7"/>
    <w:rsid w:val="00A3712F"/>
    <w:rsid w:val="00A409C9"/>
    <w:rsid w:val="00A41AC4"/>
    <w:rsid w:val="00A42BF7"/>
    <w:rsid w:val="00A42D3F"/>
    <w:rsid w:val="00A44AC5"/>
    <w:rsid w:val="00A4714C"/>
    <w:rsid w:val="00A5025C"/>
    <w:rsid w:val="00A52E4E"/>
    <w:rsid w:val="00A52F94"/>
    <w:rsid w:val="00A56C9A"/>
    <w:rsid w:val="00A571C7"/>
    <w:rsid w:val="00A60DA8"/>
    <w:rsid w:val="00A6168A"/>
    <w:rsid w:val="00A6470C"/>
    <w:rsid w:val="00A655F6"/>
    <w:rsid w:val="00A6577D"/>
    <w:rsid w:val="00A66DAB"/>
    <w:rsid w:val="00A72423"/>
    <w:rsid w:val="00A7427E"/>
    <w:rsid w:val="00A76807"/>
    <w:rsid w:val="00A76849"/>
    <w:rsid w:val="00A828DA"/>
    <w:rsid w:val="00A90589"/>
    <w:rsid w:val="00A91C22"/>
    <w:rsid w:val="00A92024"/>
    <w:rsid w:val="00A92F04"/>
    <w:rsid w:val="00A9530B"/>
    <w:rsid w:val="00A963C5"/>
    <w:rsid w:val="00AA2640"/>
    <w:rsid w:val="00AA5345"/>
    <w:rsid w:val="00AC3C33"/>
    <w:rsid w:val="00AC6507"/>
    <w:rsid w:val="00AC7B2B"/>
    <w:rsid w:val="00AD0F41"/>
    <w:rsid w:val="00AD235A"/>
    <w:rsid w:val="00AD4B43"/>
    <w:rsid w:val="00AE129F"/>
    <w:rsid w:val="00AE3407"/>
    <w:rsid w:val="00AE44D1"/>
    <w:rsid w:val="00AE6DE4"/>
    <w:rsid w:val="00AE7B8A"/>
    <w:rsid w:val="00AF52F7"/>
    <w:rsid w:val="00AF56B9"/>
    <w:rsid w:val="00B00B20"/>
    <w:rsid w:val="00B04E76"/>
    <w:rsid w:val="00B06860"/>
    <w:rsid w:val="00B07305"/>
    <w:rsid w:val="00B12EBD"/>
    <w:rsid w:val="00B17227"/>
    <w:rsid w:val="00B1782C"/>
    <w:rsid w:val="00B24026"/>
    <w:rsid w:val="00B2407B"/>
    <w:rsid w:val="00B30D31"/>
    <w:rsid w:val="00B3182C"/>
    <w:rsid w:val="00B339FE"/>
    <w:rsid w:val="00B345CA"/>
    <w:rsid w:val="00B3671C"/>
    <w:rsid w:val="00B51F3F"/>
    <w:rsid w:val="00B5469F"/>
    <w:rsid w:val="00B567CE"/>
    <w:rsid w:val="00B66530"/>
    <w:rsid w:val="00B66E7F"/>
    <w:rsid w:val="00B73C6A"/>
    <w:rsid w:val="00B7480A"/>
    <w:rsid w:val="00B7540B"/>
    <w:rsid w:val="00B75E9E"/>
    <w:rsid w:val="00B7753B"/>
    <w:rsid w:val="00B8194B"/>
    <w:rsid w:val="00B83079"/>
    <w:rsid w:val="00B85295"/>
    <w:rsid w:val="00B85FBA"/>
    <w:rsid w:val="00B94EA8"/>
    <w:rsid w:val="00B96275"/>
    <w:rsid w:val="00B963A2"/>
    <w:rsid w:val="00BA6946"/>
    <w:rsid w:val="00BB147B"/>
    <w:rsid w:val="00BB3433"/>
    <w:rsid w:val="00BB4016"/>
    <w:rsid w:val="00BB52B3"/>
    <w:rsid w:val="00BB6182"/>
    <w:rsid w:val="00BC0C7C"/>
    <w:rsid w:val="00BC6FDB"/>
    <w:rsid w:val="00BC7F59"/>
    <w:rsid w:val="00BD047E"/>
    <w:rsid w:val="00BD0A15"/>
    <w:rsid w:val="00BD25A7"/>
    <w:rsid w:val="00BD5A95"/>
    <w:rsid w:val="00BD7E46"/>
    <w:rsid w:val="00BE0DEE"/>
    <w:rsid w:val="00BE314D"/>
    <w:rsid w:val="00BE377E"/>
    <w:rsid w:val="00BE4E25"/>
    <w:rsid w:val="00BE585F"/>
    <w:rsid w:val="00BE7EA8"/>
    <w:rsid w:val="00C00EF9"/>
    <w:rsid w:val="00C10D53"/>
    <w:rsid w:val="00C12892"/>
    <w:rsid w:val="00C13AB7"/>
    <w:rsid w:val="00C15E07"/>
    <w:rsid w:val="00C16A38"/>
    <w:rsid w:val="00C2148A"/>
    <w:rsid w:val="00C25211"/>
    <w:rsid w:val="00C258AF"/>
    <w:rsid w:val="00C31C81"/>
    <w:rsid w:val="00C3434A"/>
    <w:rsid w:val="00C44971"/>
    <w:rsid w:val="00C5081D"/>
    <w:rsid w:val="00C50B78"/>
    <w:rsid w:val="00C520A2"/>
    <w:rsid w:val="00C54CD3"/>
    <w:rsid w:val="00C55100"/>
    <w:rsid w:val="00C55EC6"/>
    <w:rsid w:val="00C56A2D"/>
    <w:rsid w:val="00C61585"/>
    <w:rsid w:val="00C619F1"/>
    <w:rsid w:val="00C638E7"/>
    <w:rsid w:val="00C63BF2"/>
    <w:rsid w:val="00C70841"/>
    <w:rsid w:val="00C73F74"/>
    <w:rsid w:val="00C743E9"/>
    <w:rsid w:val="00C759F4"/>
    <w:rsid w:val="00C96EE7"/>
    <w:rsid w:val="00CA72A1"/>
    <w:rsid w:val="00CA7CA8"/>
    <w:rsid w:val="00CA7D91"/>
    <w:rsid w:val="00CB1040"/>
    <w:rsid w:val="00CB3EDA"/>
    <w:rsid w:val="00CB448E"/>
    <w:rsid w:val="00CB691E"/>
    <w:rsid w:val="00CB7057"/>
    <w:rsid w:val="00CC1E1C"/>
    <w:rsid w:val="00CC3BA9"/>
    <w:rsid w:val="00CC463D"/>
    <w:rsid w:val="00CC6A71"/>
    <w:rsid w:val="00CD0AC5"/>
    <w:rsid w:val="00CD319D"/>
    <w:rsid w:val="00CE03A9"/>
    <w:rsid w:val="00CE5586"/>
    <w:rsid w:val="00CE58DC"/>
    <w:rsid w:val="00CF1E61"/>
    <w:rsid w:val="00CF2DB9"/>
    <w:rsid w:val="00CF39DA"/>
    <w:rsid w:val="00CF6AEF"/>
    <w:rsid w:val="00CF6D7A"/>
    <w:rsid w:val="00D006E2"/>
    <w:rsid w:val="00D04D5A"/>
    <w:rsid w:val="00D05DCC"/>
    <w:rsid w:val="00D06740"/>
    <w:rsid w:val="00D0796F"/>
    <w:rsid w:val="00D07B5A"/>
    <w:rsid w:val="00D1012C"/>
    <w:rsid w:val="00D1131D"/>
    <w:rsid w:val="00D14C87"/>
    <w:rsid w:val="00D20706"/>
    <w:rsid w:val="00D2365C"/>
    <w:rsid w:val="00D273ED"/>
    <w:rsid w:val="00D2754A"/>
    <w:rsid w:val="00D27F89"/>
    <w:rsid w:val="00D3220A"/>
    <w:rsid w:val="00D366E8"/>
    <w:rsid w:val="00D42611"/>
    <w:rsid w:val="00D4375D"/>
    <w:rsid w:val="00D547A1"/>
    <w:rsid w:val="00D55C83"/>
    <w:rsid w:val="00D55F85"/>
    <w:rsid w:val="00D56BCA"/>
    <w:rsid w:val="00D63DB9"/>
    <w:rsid w:val="00D747CE"/>
    <w:rsid w:val="00D763D7"/>
    <w:rsid w:val="00D83872"/>
    <w:rsid w:val="00D85C1A"/>
    <w:rsid w:val="00D90D16"/>
    <w:rsid w:val="00D95EAC"/>
    <w:rsid w:val="00DA4BF8"/>
    <w:rsid w:val="00DB51BE"/>
    <w:rsid w:val="00DB7D27"/>
    <w:rsid w:val="00DC0536"/>
    <w:rsid w:val="00DC3C65"/>
    <w:rsid w:val="00DC772A"/>
    <w:rsid w:val="00DD3041"/>
    <w:rsid w:val="00DD3F34"/>
    <w:rsid w:val="00DD4973"/>
    <w:rsid w:val="00DE0E0F"/>
    <w:rsid w:val="00DE53BD"/>
    <w:rsid w:val="00DE66A1"/>
    <w:rsid w:val="00DF1AA4"/>
    <w:rsid w:val="00DF237C"/>
    <w:rsid w:val="00E02DB7"/>
    <w:rsid w:val="00E048D3"/>
    <w:rsid w:val="00E06F65"/>
    <w:rsid w:val="00E07445"/>
    <w:rsid w:val="00E1130F"/>
    <w:rsid w:val="00E114BC"/>
    <w:rsid w:val="00E12BAA"/>
    <w:rsid w:val="00E13413"/>
    <w:rsid w:val="00E13D61"/>
    <w:rsid w:val="00E15477"/>
    <w:rsid w:val="00E15B29"/>
    <w:rsid w:val="00E21479"/>
    <w:rsid w:val="00E226A1"/>
    <w:rsid w:val="00E26996"/>
    <w:rsid w:val="00E27876"/>
    <w:rsid w:val="00E30F14"/>
    <w:rsid w:val="00E310BF"/>
    <w:rsid w:val="00E32FD2"/>
    <w:rsid w:val="00E345B5"/>
    <w:rsid w:val="00E34602"/>
    <w:rsid w:val="00E421BC"/>
    <w:rsid w:val="00E42A2A"/>
    <w:rsid w:val="00E510B4"/>
    <w:rsid w:val="00E51128"/>
    <w:rsid w:val="00E51C84"/>
    <w:rsid w:val="00E57556"/>
    <w:rsid w:val="00E6562E"/>
    <w:rsid w:val="00E66056"/>
    <w:rsid w:val="00E6607D"/>
    <w:rsid w:val="00E71246"/>
    <w:rsid w:val="00E741D4"/>
    <w:rsid w:val="00E77604"/>
    <w:rsid w:val="00E80BCE"/>
    <w:rsid w:val="00E830FE"/>
    <w:rsid w:val="00E8430B"/>
    <w:rsid w:val="00E928DC"/>
    <w:rsid w:val="00E94123"/>
    <w:rsid w:val="00E9491F"/>
    <w:rsid w:val="00EA6D83"/>
    <w:rsid w:val="00EB13F5"/>
    <w:rsid w:val="00EB37D9"/>
    <w:rsid w:val="00EB3B01"/>
    <w:rsid w:val="00EB3C6D"/>
    <w:rsid w:val="00EB5796"/>
    <w:rsid w:val="00EC0C70"/>
    <w:rsid w:val="00EC0D8B"/>
    <w:rsid w:val="00EC2561"/>
    <w:rsid w:val="00EC3FC0"/>
    <w:rsid w:val="00EC51D5"/>
    <w:rsid w:val="00ED0396"/>
    <w:rsid w:val="00ED0794"/>
    <w:rsid w:val="00ED3541"/>
    <w:rsid w:val="00ED4809"/>
    <w:rsid w:val="00ED50E7"/>
    <w:rsid w:val="00ED5896"/>
    <w:rsid w:val="00EE3685"/>
    <w:rsid w:val="00EE3C8F"/>
    <w:rsid w:val="00EF44EA"/>
    <w:rsid w:val="00EF75AC"/>
    <w:rsid w:val="00EF7D91"/>
    <w:rsid w:val="00F01B2E"/>
    <w:rsid w:val="00F071A9"/>
    <w:rsid w:val="00F1043B"/>
    <w:rsid w:val="00F104D8"/>
    <w:rsid w:val="00F20497"/>
    <w:rsid w:val="00F233E7"/>
    <w:rsid w:val="00F251D2"/>
    <w:rsid w:val="00F27C18"/>
    <w:rsid w:val="00F34C5D"/>
    <w:rsid w:val="00F375A5"/>
    <w:rsid w:val="00F40D08"/>
    <w:rsid w:val="00F41C39"/>
    <w:rsid w:val="00F4670B"/>
    <w:rsid w:val="00F5416C"/>
    <w:rsid w:val="00F547C9"/>
    <w:rsid w:val="00F57C10"/>
    <w:rsid w:val="00F62208"/>
    <w:rsid w:val="00F676F9"/>
    <w:rsid w:val="00F740EC"/>
    <w:rsid w:val="00F76C5D"/>
    <w:rsid w:val="00F76EFB"/>
    <w:rsid w:val="00F80AEE"/>
    <w:rsid w:val="00F830F0"/>
    <w:rsid w:val="00F83AF5"/>
    <w:rsid w:val="00F84ECF"/>
    <w:rsid w:val="00F914EF"/>
    <w:rsid w:val="00F94364"/>
    <w:rsid w:val="00F9559F"/>
    <w:rsid w:val="00FA793B"/>
    <w:rsid w:val="00FB200B"/>
    <w:rsid w:val="00FB7208"/>
    <w:rsid w:val="00FB7617"/>
    <w:rsid w:val="00FC0C80"/>
    <w:rsid w:val="00FC1C92"/>
    <w:rsid w:val="00FC4BD4"/>
    <w:rsid w:val="00FC7027"/>
    <w:rsid w:val="00FD3AD2"/>
    <w:rsid w:val="00FD68F5"/>
    <w:rsid w:val="00FD6ECC"/>
    <w:rsid w:val="00FE1016"/>
    <w:rsid w:val="00FE1731"/>
    <w:rsid w:val="00FE6243"/>
    <w:rsid w:val="00FE6294"/>
    <w:rsid w:val="00FF2E77"/>
    <w:rsid w:val="00FF5678"/>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85DBE"/>
  <w15:chartTrackingRefBased/>
  <w15:docId w15:val="{9CB7ECFF-BD16-400F-B382-C20ECF2A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7A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1F77A9"/>
    <w:pPr>
      <w:widowControl w:val="0"/>
      <w:autoSpaceDE w:val="0"/>
      <w:autoSpaceDN w:val="0"/>
      <w:spacing w:after="0" w:line="240" w:lineRule="auto"/>
    </w:pPr>
    <w:rPr>
      <w:rFonts w:ascii="Lucida Sans Unicode" w:eastAsia="Lucida Sans Unicode" w:hAnsi="Lucida Sans Unicode" w:cs="Lucida Sans Unicode"/>
      <w:lang w:val="es-ES"/>
    </w:rPr>
  </w:style>
  <w:style w:type="character" w:customStyle="1" w:styleId="bold">
    <w:name w:val="bold"/>
    <w:basedOn w:val="Fuentedeprrafopredeter"/>
    <w:rsid w:val="001F77A9"/>
  </w:style>
  <w:style w:type="character" w:styleId="Hipervnculo">
    <w:name w:val="Hyperlink"/>
    <w:basedOn w:val="Fuentedeprrafopredeter"/>
    <w:uiPriority w:val="99"/>
    <w:unhideWhenUsed/>
    <w:rsid w:val="001F77A9"/>
    <w:rPr>
      <w:color w:val="0563C1" w:themeColor="hyperlink"/>
      <w:u w:val="single"/>
    </w:rPr>
  </w:style>
  <w:style w:type="character" w:styleId="Fuerte">
    <w:name w:val="Strong"/>
    <w:basedOn w:val="Fuentedeprrafopredeter"/>
    <w:uiPriority w:val="22"/>
    <w:qFormat/>
    <w:rsid w:val="001F77A9"/>
    <w:rPr>
      <w:b/>
      <w:bCs/>
    </w:rPr>
  </w:style>
  <w:style w:type="paragraph" w:styleId="Textonotapie">
    <w:name w:val="footnote text"/>
    <w:basedOn w:val="Normal"/>
    <w:link w:val="TextonotapieCar"/>
    <w:uiPriority w:val="99"/>
    <w:unhideWhenUsed/>
    <w:rsid w:val="001F77A9"/>
    <w:pPr>
      <w:spacing w:after="0" w:line="240" w:lineRule="auto"/>
    </w:pPr>
    <w:rPr>
      <w:sz w:val="20"/>
      <w:szCs w:val="20"/>
    </w:rPr>
  </w:style>
  <w:style w:type="character" w:customStyle="1" w:styleId="TextonotapieCar">
    <w:name w:val="Texto nota pie Car"/>
    <w:basedOn w:val="Fuentedeprrafopredeter"/>
    <w:link w:val="Textonotapie"/>
    <w:uiPriority w:val="99"/>
    <w:rsid w:val="001F77A9"/>
    <w:rPr>
      <w:sz w:val="20"/>
      <w:szCs w:val="20"/>
    </w:rPr>
  </w:style>
  <w:style w:type="character" w:styleId="Refdenotaalpie">
    <w:name w:val="footnote reference"/>
    <w:basedOn w:val="Fuentedeprrafopredeter"/>
    <w:uiPriority w:val="99"/>
    <w:semiHidden/>
    <w:unhideWhenUsed/>
    <w:rsid w:val="001F77A9"/>
    <w:rPr>
      <w:vertAlign w:val="superscript"/>
    </w:rPr>
  </w:style>
  <w:style w:type="paragraph" w:customStyle="1" w:styleId="temp">
    <w:name w:val="temp"/>
    <w:basedOn w:val="Normal"/>
    <w:rsid w:val="001F77A9"/>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notaalfinal">
    <w:name w:val="endnote text"/>
    <w:basedOn w:val="Normal"/>
    <w:link w:val="TextonotaalfinalCar"/>
    <w:uiPriority w:val="99"/>
    <w:semiHidden/>
    <w:unhideWhenUsed/>
    <w:rsid w:val="0047680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7680A"/>
    <w:rPr>
      <w:sz w:val="20"/>
      <w:szCs w:val="20"/>
    </w:rPr>
  </w:style>
  <w:style w:type="character" w:styleId="Refdenotaalfinal">
    <w:name w:val="endnote reference"/>
    <w:basedOn w:val="Fuentedeprrafopredeter"/>
    <w:uiPriority w:val="99"/>
    <w:semiHidden/>
    <w:unhideWhenUsed/>
    <w:rsid w:val="0047680A"/>
    <w:rPr>
      <w:vertAlign w:val="superscript"/>
    </w:rPr>
  </w:style>
  <w:style w:type="paragraph" w:styleId="Prrafodelista">
    <w:name w:val="List Paragraph"/>
    <w:basedOn w:val="Normal"/>
    <w:uiPriority w:val="34"/>
    <w:qFormat/>
    <w:rsid w:val="004A17D8"/>
    <w:pPr>
      <w:ind w:left="720"/>
      <w:contextualSpacing/>
    </w:pPr>
  </w:style>
  <w:style w:type="character" w:styleId="Mencinsinresolver">
    <w:name w:val="Unresolved Mention"/>
    <w:basedOn w:val="Fuentedeprrafopredeter"/>
    <w:uiPriority w:val="99"/>
    <w:semiHidden/>
    <w:unhideWhenUsed/>
    <w:rsid w:val="00E226A1"/>
    <w:rPr>
      <w:color w:val="605E5C"/>
      <w:shd w:val="clear" w:color="auto" w:fill="E1DFDD"/>
    </w:rPr>
  </w:style>
  <w:style w:type="paragraph" w:customStyle="1" w:styleId="show">
    <w:name w:val="show"/>
    <w:basedOn w:val="Normal"/>
    <w:rsid w:val="005964F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Revisin">
    <w:name w:val="Revision"/>
    <w:hidden/>
    <w:uiPriority w:val="99"/>
    <w:semiHidden/>
    <w:rsid w:val="00386D62"/>
    <w:pPr>
      <w:spacing w:after="0" w:line="240" w:lineRule="auto"/>
    </w:pPr>
  </w:style>
  <w:style w:type="character" w:styleId="Refdecomentario">
    <w:name w:val="annotation reference"/>
    <w:basedOn w:val="Fuentedeprrafopredeter"/>
    <w:uiPriority w:val="99"/>
    <w:semiHidden/>
    <w:unhideWhenUsed/>
    <w:rsid w:val="006F7EEE"/>
    <w:rPr>
      <w:sz w:val="16"/>
      <w:szCs w:val="16"/>
    </w:rPr>
  </w:style>
  <w:style w:type="paragraph" w:styleId="Textocomentario">
    <w:name w:val="annotation text"/>
    <w:basedOn w:val="Normal"/>
    <w:link w:val="TextocomentarioCar"/>
    <w:uiPriority w:val="99"/>
    <w:unhideWhenUsed/>
    <w:rsid w:val="006F7EEE"/>
    <w:pPr>
      <w:spacing w:line="240" w:lineRule="auto"/>
    </w:pPr>
    <w:rPr>
      <w:sz w:val="20"/>
      <w:szCs w:val="20"/>
    </w:rPr>
  </w:style>
  <w:style w:type="character" w:customStyle="1" w:styleId="TextocomentarioCar">
    <w:name w:val="Texto comentario Car"/>
    <w:basedOn w:val="Fuentedeprrafopredeter"/>
    <w:link w:val="Textocomentario"/>
    <w:uiPriority w:val="99"/>
    <w:rsid w:val="006F7EEE"/>
    <w:rPr>
      <w:sz w:val="20"/>
      <w:szCs w:val="20"/>
    </w:rPr>
  </w:style>
  <w:style w:type="paragraph" w:styleId="Asuntodelcomentario">
    <w:name w:val="annotation subject"/>
    <w:basedOn w:val="Textocomentario"/>
    <w:next w:val="Textocomentario"/>
    <w:link w:val="AsuntodelcomentarioCar"/>
    <w:uiPriority w:val="99"/>
    <w:semiHidden/>
    <w:unhideWhenUsed/>
    <w:rsid w:val="006F7EEE"/>
    <w:rPr>
      <w:b/>
      <w:bCs/>
    </w:rPr>
  </w:style>
  <w:style w:type="character" w:customStyle="1" w:styleId="AsuntodelcomentarioCar">
    <w:name w:val="Asunto del comentario Car"/>
    <w:basedOn w:val="TextocomentarioCar"/>
    <w:link w:val="Asuntodelcomentario"/>
    <w:uiPriority w:val="99"/>
    <w:semiHidden/>
    <w:rsid w:val="006F7EEE"/>
    <w:rPr>
      <w:b/>
      <w:bCs/>
      <w:sz w:val="20"/>
      <w:szCs w:val="20"/>
    </w:rPr>
  </w:style>
  <w:style w:type="paragraph" w:customStyle="1" w:styleId="BIOLpie">
    <w:name w:val="BIOLpie"/>
    <w:basedOn w:val="Normal"/>
    <w:link w:val="BIOLpieCar"/>
    <w:qFormat/>
    <w:rsid w:val="00324EFC"/>
    <w:pPr>
      <w:spacing w:after="40" w:line="240" w:lineRule="auto"/>
      <w:contextualSpacing/>
      <w:jc w:val="both"/>
    </w:pPr>
    <w:rPr>
      <w:rFonts w:ascii="Source Sans 3" w:hAnsi="Source Sans 3" w:cs="Arial"/>
      <w:kern w:val="2"/>
      <w:sz w:val="20"/>
      <w:szCs w:val="20"/>
      <w14:ligatures w14:val="standardContextual"/>
    </w:rPr>
  </w:style>
  <w:style w:type="character" w:customStyle="1" w:styleId="BIOLpieCar">
    <w:name w:val="BIOLpie Car"/>
    <w:basedOn w:val="Fuentedeprrafopredeter"/>
    <w:link w:val="BIOLpie"/>
    <w:rsid w:val="00324EFC"/>
    <w:rPr>
      <w:rFonts w:ascii="Source Sans 3" w:hAnsi="Source Sans 3" w:cs="Arial"/>
      <w:kern w:val="2"/>
      <w:sz w:val="20"/>
      <w:szCs w:val="20"/>
      <w14:ligatures w14:val="standardContextual"/>
    </w:rPr>
  </w:style>
  <w:style w:type="paragraph" w:customStyle="1" w:styleId="BIOLRefer">
    <w:name w:val="BIOLRefer"/>
    <w:basedOn w:val="Sinespaciado"/>
    <w:link w:val="BIOLReferCar"/>
    <w:qFormat/>
    <w:rsid w:val="00324EFC"/>
    <w:pPr>
      <w:spacing w:line="276" w:lineRule="auto"/>
      <w:ind w:left="567" w:hanging="567"/>
      <w:contextualSpacing/>
      <w:jc w:val="both"/>
    </w:pPr>
    <w:rPr>
      <w:rFonts w:ascii="Unna" w:hAnsi="Unna" w:cs="Arial"/>
      <w:color w:val="000000" w:themeColor="text1"/>
      <w:kern w:val="2"/>
      <w:sz w:val="24"/>
      <w:szCs w:val="24"/>
      <w14:ligatures w14:val="standardContextual"/>
    </w:rPr>
  </w:style>
  <w:style w:type="character" w:customStyle="1" w:styleId="BIOLReferCar">
    <w:name w:val="BIOLRefer Car"/>
    <w:basedOn w:val="Fuentedeprrafopredeter"/>
    <w:link w:val="BIOLRefer"/>
    <w:rsid w:val="00324EFC"/>
    <w:rPr>
      <w:rFonts w:ascii="Unna" w:hAnsi="Unna" w:cs="Arial"/>
      <w:color w:val="000000" w:themeColor="text1"/>
      <w:kern w:val="2"/>
      <w:sz w:val="24"/>
      <w:szCs w:val="24"/>
      <w14:ligatures w14:val="standardContextual"/>
    </w:rPr>
  </w:style>
  <w:style w:type="paragraph" w:styleId="Sinespaciado">
    <w:name w:val="No Spacing"/>
    <w:uiPriority w:val="1"/>
    <w:qFormat/>
    <w:rsid w:val="00324EFC"/>
    <w:pPr>
      <w:spacing w:after="0" w:line="240" w:lineRule="auto"/>
    </w:pPr>
  </w:style>
  <w:style w:type="paragraph" w:customStyle="1" w:styleId="Citalarga">
    <w:name w:val="Cita larga"/>
    <w:basedOn w:val="Normal"/>
    <w:link w:val="CitalargaCar"/>
    <w:autoRedefine/>
    <w:qFormat/>
    <w:rsid w:val="00324EFC"/>
    <w:pPr>
      <w:spacing w:before="120" w:after="120" w:line="240" w:lineRule="auto"/>
      <w:ind w:left="1418"/>
      <w:jc w:val="both"/>
    </w:pPr>
    <w:rPr>
      <w:rFonts w:ascii="Aptos" w:hAnsi="Aptos" w:cs="Arial"/>
      <w:kern w:val="2"/>
      <w:sz w:val="20"/>
      <w:szCs w:val="20"/>
      <w14:ligatures w14:val="standardContextual"/>
    </w:rPr>
  </w:style>
  <w:style w:type="character" w:customStyle="1" w:styleId="CitalargaCar">
    <w:name w:val="Cita larga Car"/>
    <w:basedOn w:val="Fuentedeprrafopredeter"/>
    <w:link w:val="Citalarga"/>
    <w:rsid w:val="00324EFC"/>
    <w:rPr>
      <w:rFonts w:ascii="Aptos" w:hAnsi="Aptos" w:cs="Arial"/>
      <w:kern w:val="2"/>
      <w:sz w:val="20"/>
      <w:szCs w:val="20"/>
      <w14:ligatures w14:val="standardContextual"/>
    </w:rPr>
  </w:style>
  <w:style w:type="paragraph" w:customStyle="1" w:styleId="Nivel1BIOL">
    <w:name w:val="Nivel1BIOL"/>
    <w:basedOn w:val="Normal"/>
    <w:link w:val="Nivel1BIOLCar"/>
    <w:qFormat/>
    <w:rsid w:val="00324EFC"/>
    <w:pPr>
      <w:spacing w:before="120" w:after="120" w:line="240" w:lineRule="auto"/>
      <w:jc w:val="both"/>
    </w:pPr>
    <w:rPr>
      <w:rFonts w:ascii="Unna" w:hAnsi="Unna" w:cs="Arial"/>
      <w:b/>
      <w:bCs/>
      <w:kern w:val="2"/>
      <w:sz w:val="24"/>
      <w:szCs w:val="24"/>
      <w:lang w:val="en-US"/>
      <w14:ligatures w14:val="standardContextual"/>
    </w:rPr>
  </w:style>
  <w:style w:type="character" w:customStyle="1" w:styleId="Nivel1BIOLCar">
    <w:name w:val="Nivel1BIOL Car"/>
    <w:basedOn w:val="Fuentedeprrafopredeter"/>
    <w:link w:val="Nivel1BIOL"/>
    <w:rsid w:val="00324EFC"/>
    <w:rPr>
      <w:rFonts w:ascii="Unna" w:hAnsi="Unna" w:cs="Arial"/>
      <w:b/>
      <w:bCs/>
      <w:kern w:val="2"/>
      <w:sz w:val="24"/>
      <w:szCs w:val="24"/>
      <w:lang w:val="en-US"/>
      <w14:ligatures w14:val="standardContextual"/>
    </w:rPr>
  </w:style>
  <w:style w:type="paragraph" w:customStyle="1" w:styleId="parrafonormalbiolex">
    <w:name w:val="parrafonormalbiolex"/>
    <w:basedOn w:val="Normal"/>
    <w:link w:val="parrafonormalbiolexCar"/>
    <w:qFormat/>
    <w:rsid w:val="00324EFC"/>
    <w:pPr>
      <w:spacing w:after="0" w:line="276" w:lineRule="auto"/>
      <w:ind w:firstLine="567"/>
      <w:contextualSpacing/>
      <w:jc w:val="both"/>
    </w:pPr>
    <w:rPr>
      <w:rFonts w:ascii="Unna" w:hAnsi="Unna" w:cs="Arial"/>
      <w:kern w:val="2"/>
      <w:sz w:val="24"/>
      <w:szCs w:val="24"/>
      <w14:ligatures w14:val="standardContextual"/>
    </w:rPr>
  </w:style>
  <w:style w:type="character" w:customStyle="1" w:styleId="parrafonormalbiolexCar">
    <w:name w:val="parrafonormalbiolex Car"/>
    <w:basedOn w:val="Fuentedeprrafopredeter"/>
    <w:link w:val="parrafonormalbiolex"/>
    <w:rsid w:val="00324EFC"/>
    <w:rPr>
      <w:rFonts w:ascii="Unna" w:hAnsi="Unna" w:cs="Arial"/>
      <w:kern w:val="2"/>
      <w:sz w:val="24"/>
      <w:szCs w:val="24"/>
      <w14:ligatures w14:val="standardContextual"/>
    </w:rPr>
  </w:style>
  <w:style w:type="paragraph" w:customStyle="1" w:styleId="vietas">
    <w:name w:val="viñetas"/>
    <w:basedOn w:val="Prrafodelista"/>
    <w:link w:val="vietasCar"/>
    <w:qFormat/>
    <w:rsid w:val="00324EFC"/>
    <w:pPr>
      <w:spacing w:after="0" w:line="276" w:lineRule="auto"/>
      <w:ind w:left="1049" w:hanging="340"/>
      <w:jc w:val="both"/>
    </w:pPr>
    <w:rPr>
      <w:rFonts w:ascii="Unna" w:eastAsia="Times New Roman" w:hAnsi="Unna" w:cs="Arial"/>
      <w:kern w:val="2"/>
      <w:lang w:eastAsia="es-MX"/>
      <w14:ligatures w14:val="standardContextual"/>
    </w:rPr>
  </w:style>
  <w:style w:type="character" w:customStyle="1" w:styleId="vietasCar">
    <w:name w:val="viñetas Car"/>
    <w:basedOn w:val="Fuentedeprrafopredeter"/>
    <w:link w:val="vietas"/>
    <w:rsid w:val="00324EFC"/>
    <w:rPr>
      <w:rFonts w:ascii="Unna" w:eastAsia="Times New Roman" w:hAnsi="Unna" w:cs="Arial"/>
      <w:kern w:val="2"/>
      <w:lang w:eastAsia="es-MX"/>
      <w14:ligatures w14:val="standardContextual"/>
    </w:rPr>
  </w:style>
  <w:style w:type="paragraph" w:styleId="Encabezado">
    <w:name w:val="header"/>
    <w:basedOn w:val="Normal"/>
    <w:link w:val="EncabezadoCar"/>
    <w:uiPriority w:val="99"/>
    <w:unhideWhenUsed/>
    <w:rsid w:val="00581E0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81E03"/>
  </w:style>
  <w:style w:type="paragraph" w:styleId="Piedepgina">
    <w:name w:val="footer"/>
    <w:basedOn w:val="Normal"/>
    <w:link w:val="PiedepginaCar"/>
    <w:uiPriority w:val="99"/>
    <w:unhideWhenUsed/>
    <w:rsid w:val="00581E0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81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44697">
      <w:bodyDiv w:val="1"/>
      <w:marLeft w:val="0"/>
      <w:marRight w:val="0"/>
      <w:marTop w:val="0"/>
      <w:marBottom w:val="0"/>
      <w:divBdr>
        <w:top w:val="none" w:sz="0" w:space="0" w:color="auto"/>
        <w:left w:val="none" w:sz="0" w:space="0" w:color="auto"/>
        <w:bottom w:val="none" w:sz="0" w:space="0" w:color="auto"/>
        <w:right w:val="none" w:sz="0" w:space="0" w:color="auto"/>
      </w:divBdr>
    </w:div>
    <w:div w:id="79359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chr.org.mx/historias-destacadas/mexico-una-ola-de-continuas-violaciones-de-derechos-humanos-2/%23:~:text=El%20Alto%20Comisionado%20de%20las,mediante%20reformas%20jur%C3%ADdicas%20y%20constitucional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601/01229893.n52.03"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hchr.org.mx/historias-destacadas/mexico-una-ola-de-continuas-violaciones-de-derechos-humanos-2/%23:~:text=El%20Alto%20Comisionado%20de%20las,mediante%20reformas%20jur%C3%ADdicas%20y%20constitucionales" TargetMode="External"/><Relationship Id="rId2" Type="http://schemas.openxmlformats.org/officeDocument/2006/relationships/hyperlink" Target="http://orcid.org/0000-0001-5402-1227" TargetMode="External"/><Relationship Id="rId1" Type="http://schemas.openxmlformats.org/officeDocument/2006/relationships/hyperlink" Target="mailto:jjnaresh@uaemex.mx" TargetMode="External"/><Relationship Id="rId4" Type="http://schemas.openxmlformats.org/officeDocument/2006/relationships/hyperlink" Target="https://doi.org/10.18601/01229893.n52.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38F6A-5959-4832-BBC2-A1AEFA78A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8466</Words>
  <Characters>48258</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dc:creator>
  <cp:keywords/>
  <dc:description/>
  <cp:lastModifiedBy>MISAEL ALEJANDRO BARRIENTOS ROMERO</cp:lastModifiedBy>
  <cp:revision>2</cp:revision>
  <dcterms:created xsi:type="dcterms:W3CDTF">2026-06-03T21:59:00Z</dcterms:created>
  <dcterms:modified xsi:type="dcterms:W3CDTF">2026-06-03T21:59:00Z</dcterms:modified>
</cp:coreProperties>
</file>