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OLE_LINK45"/>
    <w:p w14:paraId="0ABC6B99" w14:textId="5682D6F1" w:rsidR="00345B0F" w:rsidRPr="00345B0F" w:rsidRDefault="00345B0F" w:rsidP="00345B0F">
      <w:pPr>
        <w:spacing w:line="276" w:lineRule="auto"/>
        <w:rPr>
          <w:rFonts w:ascii="Unna" w:hAnsi="Unna" w:cs="Arial"/>
          <w:i/>
          <w:iCs/>
          <w:sz w:val="28"/>
          <w:szCs w:val="28"/>
        </w:rPr>
      </w:pPr>
      <w:r w:rsidRPr="00345B0F">
        <w:rPr>
          <w:rFonts w:ascii="Unna" w:eastAsia="Times New Roman" w:hAnsi="Unna" w:cs="Arial"/>
          <w:b/>
          <w:bCs/>
          <w:i/>
          <w:iCs/>
          <w:noProof/>
          <w:szCs w:val="24"/>
          <w:lang w:eastAsia="es-MX"/>
        </w:rPr>
        <mc:AlternateContent>
          <mc:Choice Requires="wps">
            <w:drawing>
              <wp:anchor distT="0" distB="0" distL="114300" distR="114300" simplePos="0" relativeHeight="251659264" behindDoc="0" locked="0" layoutInCell="1" allowOverlap="1" wp14:anchorId="1DEBA3F6" wp14:editId="13E8B345">
                <wp:simplePos x="0" y="0"/>
                <wp:positionH relativeFrom="margin">
                  <wp:posOffset>0</wp:posOffset>
                </wp:positionH>
                <wp:positionV relativeFrom="paragraph">
                  <wp:posOffset>299085</wp:posOffset>
                </wp:positionV>
                <wp:extent cx="6064250" cy="0"/>
                <wp:effectExtent l="0" t="0" r="0" b="0"/>
                <wp:wrapNone/>
                <wp:docPr id="970867525" name="Conector recto 1"/>
                <wp:cNvGraphicFramePr/>
                <a:graphic xmlns:a="http://schemas.openxmlformats.org/drawingml/2006/main">
                  <a:graphicData uri="http://schemas.microsoft.com/office/word/2010/wordprocessingShape">
                    <wps:wsp>
                      <wps:cNvCnPr/>
                      <wps:spPr>
                        <a:xfrm>
                          <a:off x="0" y="0"/>
                          <a:ext cx="606425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26ECAFC6" id="Conector recto 1" o:spid="_x0000_s1026" style="position:absolute;z-index:251659264;visibility:visible;mso-wrap-style:square;mso-wrap-distance-left:9pt;mso-wrap-distance-top:0;mso-wrap-distance-right:9pt;mso-wrap-distance-bottom:0;mso-position-horizontal:absolute;mso-position-horizontal-relative:margin;mso-position-vertical:absolute;mso-position-vertical-relative:text" from="0,23.55pt" to="477.5pt,2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">
                <w10:wrap anchorx="margin"/>
              </v:line>
            </w:pict>
          </mc:Fallback>
        </mc:AlternateContent>
      </w:r>
      <w:r w:rsidRPr="00345B0F">
        <w:rPr>
          <w:rFonts w:ascii="Unna" w:hAnsi="Unna" w:cs="Arial"/>
          <w:i/>
          <w:iCs/>
          <w:sz w:val="24"/>
          <w:szCs w:val="24"/>
        </w:rPr>
        <w:t>Artículos</w:t>
      </w:r>
    </w:p>
    <w:p w14:paraId="51ED26F4" w14:textId="2BDCF3D4" w:rsidR="00BA424C" w:rsidRPr="007367BF" w:rsidRDefault="007367BF" w:rsidP="007367BF">
      <w:pPr>
        <w:spacing w:line="276" w:lineRule="auto"/>
        <w:jc w:val="center"/>
        <w:rPr>
          <w:rFonts w:ascii="Unna" w:hAnsi="Unna" w:cs="Arial"/>
          <w:b/>
          <w:bCs/>
          <w:sz w:val="28"/>
          <w:szCs w:val="28"/>
        </w:rPr>
      </w:pPr>
      <w:r w:rsidRPr="007367BF">
        <w:rPr>
          <w:rFonts w:ascii="Unna" w:hAnsi="Unna" w:cs="Arial"/>
          <w:b/>
          <w:bCs/>
          <w:sz w:val="28"/>
          <w:szCs w:val="28"/>
        </w:rPr>
        <w:t>El derecho de acceso a la información pública y la participación ciudadana: dos elementos importantes para su efectividad y garant</w:t>
      </w:r>
      <w:r>
        <w:rPr>
          <w:rFonts w:ascii="Unna" w:hAnsi="Unna" w:cs="Arial"/>
          <w:b/>
          <w:bCs/>
          <w:sz w:val="28"/>
          <w:szCs w:val="28"/>
        </w:rPr>
        <w:t>í</w:t>
      </w:r>
      <w:r w:rsidRPr="007367BF">
        <w:rPr>
          <w:rFonts w:ascii="Unna" w:hAnsi="Unna" w:cs="Arial"/>
          <w:b/>
          <w:bCs/>
          <w:sz w:val="28"/>
          <w:szCs w:val="28"/>
        </w:rPr>
        <w:t>a</w:t>
      </w:r>
      <w:r w:rsidRPr="007367BF">
        <w:rPr>
          <w:rStyle w:val="Refdenotaalpie"/>
          <w:rFonts w:ascii="Unna" w:hAnsi="Unna" w:cs="Arial"/>
          <w:b/>
          <w:bCs/>
          <w:sz w:val="28"/>
          <w:szCs w:val="28"/>
        </w:rPr>
        <w:footnoteReference w:id="1"/>
      </w:r>
    </w:p>
    <w:bookmarkEnd w:id="0"/>
    <w:p w14:paraId="57B012F0" w14:textId="708D703C" w:rsidR="0098084D" w:rsidRPr="007367BF" w:rsidRDefault="00345B0F" w:rsidP="007367BF">
      <w:pPr>
        <w:spacing w:line="276" w:lineRule="auto"/>
        <w:jc w:val="center"/>
        <w:rPr>
          <w:rFonts w:ascii="Unna" w:hAnsi="Unna" w:cs="Arial"/>
          <w:b/>
          <w:bCs/>
          <w:sz w:val="28"/>
          <w:szCs w:val="28"/>
          <w:lang w:val="en-US"/>
        </w:rPr>
      </w:pPr>
      <w:r w:rsidRPr="00345B0F">
        <w:rPr>
          <w:rFonts w:ascii="Unna" w:eastAsia="Times New Roman" w:hAnsi="Unna" w:cs="Arial"/>
          <w:b/>
          <w:bCs/>
          <w:i/>
          <w:iCs/>
          <w:noProof/>
          <w:szCs w:val="24"/>
          <w:lang w:eastAsia="es-MX"/>
        </w:rPr>
        <mc:AlternateContent>
          <mc:Choice Requires="wps">
            <w:drawing>
              <wp:anchor distT="0" distB="0" distL="114300" distR="114300" simplePos="0" relativeHeight="251661312" behindDoc="0" locked="0" layoutInCell="1" allowOverlap="1" wp14:anchorId="30D974A9" wp14:editId="71FAB448">
                <wp:simplePos x="0" y="0"/>
                <wp:positionH relativeFrom="margin">
                  <wp:posOffset>0</wp:posOffset>
                </wp:positionH>
                <wp:positionV relativeFrom="paragraph">
                  <wp:posOffset>520700</wp:posOffset>
                </wp:positionV>
                <wp:extent cx="6064250" cy="0"/>
                <wp:effectExtent l="0" t="0" r="0" b="0"/>
                <wp:wrapNone/>
                <wp:docPr id="104569066" name="Conector recto 1"/>
                <wp:cNvGraphicFramePr/>
                <a:graphic xmlns:a="http://schemas.openxmlformats.org/drawingml/2006/main">
                  <a:graphicData uri="http://schemas.microsoft.com/office/word/2010/wordprocessingShape">
                    <wps:wsp>
                      <wps:cNvCnPr/>
                      <wps:spPr>
                        <a:xfrm>
                          <a:off x="0" y="0"/>
                          <a:ext cx="606425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1C84CF1B" id="Conector recto 1" o:spid="_x0000_s1026" style="position:absolute;z-index:251661312;visibility:visible;mso-wrap-style:square;mso-wrap-distance-left:9pt;mso-wrap-distance-top:0;mso-wrap-distance-right:9pt;mso-wrap-distance-bottom:0;mso-position-horizontal:absolute;mso-position-horizontal-relative:margin;mso-position-vertical:absolute;mso-position-vertical-relative:text" from="0,41pt" to="477.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">
                <w10:wrap anchorx="margin"/>
              </v:line>
            </w:pict>
          </mc:Fallback>
        </mc:AlternateContent>
      </w:r>
      <w:r w:rsidR="007367BF" w:rsidRPr="007367BF">
        <w:rPr>
          <w:rFonts w:ascii="Unna" w:hAnsi="Unna" w:cs="Arial"/>
          <w:b/>
          <w:bCs/>
          <w:sz w:val="28"/>
          <w:szCs w:val="28"/>
          <w:lang w:val="en-US"/>
        </w:rPr>
        <w:t xml:space="preserve">The Right </w:t>
      </w:r>
      <w:r w:rsidR="007367BF">
        <w:rPr>
          <w:rFonts w:ascii="Unna" w:hAnsi="Unna" w:cs="Arial"/>
          <w:b/>
          <w:bCs/>
          <w:sz w:val="28"/>
          <w:szCs w:val="28"/>
          <w:lang w:val="en-US"/>
        </w:rPr>
        <w:t>o</w:t>
      </w:r>
      <w:r w:rsidR="007367BF" w:rsidRPr="007367BF">
        <w:rPr>
          <w:rFonts w:ascii="Unna" w:hAnsi="Unna" w:cs="Arial"/>
          <w:b/>
          <w:bCs/>
          <w:sz w:val="28"/>
          <w:szCs w:val="28"/>
          <w:lang w:val="en-US"/>
        </w:rPr>
        <w:t xml:space="preserve">f Access </w:t>
      </w:r>
      <w:r w:rsidR="007367BF">
        <w:rPr>
          <w:rFonts w:ascii="Unna" w:hAnsi="Unna" w:cs="Arial"/>
          <w:b/>
          <w:bCs/>
          <w:sz w:val="28"/>
          <w:szCs w:val="28"/>
          <w:lang w:val="en-US"/>
        </w:rPr>
        <w:t>t</w:t>
      </w:r>
      <w:r w:rsidR="007367BF" w:rsidRPr="007367BF">
        <w:rPr>
          <w:rFonts w:ascii="Unna" w:hAnsi="Unna" w:cs="Arial"/>
          <w:b/>
          <w:bCs/>
          <w:sz w:val="28"/>
          <w:szCs w:val="28"/>
          <w:lang w:val="en-US"/>
        </w:rPr>
        <w:t xml:space="preserve">o Public Information </w:t>
      </w:r>
      <w:r w:rsidR="007367BF">
        <w:rPr>
          <w:rFonts w:ascii="Unna" w:hAnsi="Unna" w:cs="Arial"/>
          <w:b/>
          <w:bCs/>
          <w:sz w:val="28"/>
          <w:szCs w:val="28"/>
          <w:lang w:val="en-US"/>
        </w:rPr>
        <w:t>a</w:t>
      </w:r>
      <w:r w:rsidR="007367BF" w:rsidRPr="007367BF">
        <w:rPr>
          <w:rFonts w:ascii="Unna" w:hAnsi="Unna" w:cs="Arial"/>
          <w:b/>
          <w:bCs/>
          <w:sz w:val="28"/>
          <w:szCs w:val="28"/>
          <w:lang w:val="en-US"/>
        </w:rPr>
        <w:t xml:space="preserve">nd Citizen Participation: Two Important Elements </w:t>
      </w:r>
      <w:r w:rsidR="007367BF">
        <w:rPr>
          <w:rFonts w:ascii="Unna" w:hAnsi="Unna" w:cs="Arial"/>
          <w:b/>
          <w:bCs/>
          <w:sz w:val="28"/>
          <w:szCs w:val="28"/>
          <w:lang w:val="en-US"/>
        </w:rPr>
        <w:t>f</w:t>
      </w:r>
      <w:r w:rsidR="007367BF" w:rsidRPr="007367BF">
        <w:rPr>
          <w:rFonts w:ascii="Unna" w:hAnsi="Unna" w:cs="Arial"/>
          <w:b/>
          <w:bCs/>
          <w:sz w:val="28"/>
          <w:szCs w:val="28"/>
          <w:lang w:val="en-US"/>
        </w:rPr>
        <w:t xml:space="preserve">or </w:t>
      </w:r>
      <w:r w:rsidR="007367BF">
        <w:rPr>
          <w:rFonts w:ascii="Unna" w:hAnsi="Unna" w:cs="Arial"/>
          <w:b/>
          <w:bCs/>
          <w:sz w:val="28"/>
          <w:szCs w:val="28"/>
          <w:lang w:val="en-US"/>
        </w:rPr>
        <w:t>I</w:t>
      </w:r>
      <w:r w:rsidR="007367BF" w:rsidRPr="007367BF">
        <w:rPr>
          <w:rFonts w:ascii="Unna" w:hAnsi="Unna" w:cs="Arial"/>
          <w:b/>
          <w:bCs/>
          <w:sz w:val="28"/>
          <w:szCs w:val="28"/>
          <w:lang w:val="en-US"/>
        </w:rPr>
        <w:t xml:space="preserve">ts Effectiveness </w:t>
      </w:r>
      <w:r w:rsidR="007367BF">
        <w:rPr>
          <w:rFonts w:ascii="Unna" w:hAnsi="Unna" w:cs="Arial"/>
          <w:b/>
          <w:bCs/>
          <w:sz w:val="28"/>
          <w:szCs w:val="28"/>
          <w:lang w:val="en-US"/>
        </w:rPr>
        <w:t>a</w:t>
      </w:r>
      <w:r w:rsidR="007367BF" w:rsidRPr="007367BF">
        <w:rPr>
          <w:rFonts w:ascii="Unna" w:hAnsi="Unna" w:cs="Arial"/>
          <w:b/>
          <w:bCs/>
          <w:sz w:val="28"/>
          <w:szCs w:val="28"/>
          <w:lang w:val="en-US"/>
        </w:rPr>
        <w:t xml:space="preserve">nd Guarantee </w:t>
      </w:r>
    </w:p>
    <w:p w14:paraId="1276ECF6" w14:textId="59C3B960" w:rsidR="00DB7B39" w:rsidRPr="007367BF" w:rsidRDefault="0083358E" w:rsidP="007367BF">
      <w:pPr>
        <w:spacing w:after="0" w:line="240" w:lineRule="auto"/>
        <w:jc w:val="right"/>
        <w:rPr>
          <w:rFonts w:ascii="Unna" w:hAnsi="Unna" w:cs="Arial"/>
        </w:rPr>
      </w:pPr>
      <w:r w:rsidRPr="007367BF">
        <w:rPr>
          <w:rFonts w:ascii="Unna" w:hAnsi="Unna" w:cs="Arial"/>
        </w:rPr>
        <w:t>Karla Ortega Flores</w:t>
      </w:r>
      <w:r w:rsidR="007367BF" w:rsidRPr="007367BF">
        <w:rPr>
          <w:rStyle w:val="Refdenotaalpie"/>
          <w:rFonts w:ascii="Unna" w:hAnsi="Unna" w:cs="Arial"/>
        </w:rPr>
        <w:footnoteReference w:id="2"/>
      </w:r>
    </w:p>
    <w:p w14:paraId="0285689F" w14:textId="3C2FE5EA" w:rsidR="0098084D" w:rsidRPr="007367BF" w:rsidRDefault="007367BF" w:rsidP="007367BF">
      <w:pPr>
        <w:spacing w:after="0" w:line="240" w:lineRule="auto"/>
        <w:jc w:val="right"/>
        <w:rPr>
          <w:rFonts w:ascii="Unna" w:hAnsi="Unna" w:cs="Arial"/>
        </w:rPr>
      </w:pPr>
      <w:r w:rsidRPr="007367BF">
        <w:rPr>
          <w:rFonts w:ascii="Unna" w:hAnsi="Unna" w:cs="Arial"/>
        </w:rPr>
        <w:t>Carlos Francisco Camero Ramírez</w:t>
      </w:r>
      <w:r w:rsidRPr="007367BF">
        <w:rPr>
          <w:rStyle w:val="Refdenotaalpie"/>
          <w:rFonts w:ascii="Unna" w:hAnsi="Unna" w:cs="Arial"/>
        </w:rPr>
        <w:footnoteReference w:id="3"/>
      </w:r>
    </w:p>
    <w:p w14:paraId="3D731495" w14:textId="77777777" w:rsidR="00814EEB" w:rsidRPr="007367BF" w:rsidRDefault="00814EEB" w:rsidP="00814EEB">
      <w:pPr>
        <w:spacing w:line="240" w:lineRule="auto"/>
        <w:jc w:val="right"/>
        <w:rPr>
          <w:rFonts w:ascii="Unna" w:hAnsi="Unna" w:cs="Arial"/>
          <w:sz w:val="24"/>
          <w:szCs w:val="24"/>
        </w:rPr>
      </w:pPr>
    </w:p>
    <w:p w14:paraId="198DC3DC" w14:textId="43A21654" w:rsidR="00DB7B39" w:rsidRPr="007367BF" w:rsidRDefault="006555CE" w:rsidP="007367BF">
      <w:pPr>
        <w:tabs>
          <w:tab w:val="left" w:pos="1560"/>
        </w:tabs>
        <w:spacing w:before="240" w:line="276" w:lineRule="auto"/>
        <w:jc w:val="both"/>
        <w:rPr>
          <w:rFonts w:ascii="Unna" w:hAnsi="Unna" w:cs="Arial"/>
          <w:sz w:val="24"/>
          <w:szCs w:val="24"/>
        </w:rPr>
      </w:pPr>
      <w:r w:rsidRPr="007367BF">
        <w:rPr>
          <w:rFonts w:ascii="Unna" w:hAnsi="Unna" w:cs="Arial"/>
          <w:b/>
          <w:bCs/>
          <w:sz w:val="24"/>
          <w:szCs w:val="24"/>
        </w:rPr>
        <w:t>SUMARIO</w:t>
      </w:r>
      <w:r w:rsidR="007367BF">
        <w:rPr>
          <w:rFonts w:ascii="Unna" w:hAnsi="Unna" w:cs="Arial"/>
          <w:sz w:val="24"/>
          <w:szCs w:val="24"/>
        </w:rPr>
        <w:t>:</w:t>
      </w:r>
      <w:r w:rsidRPr="007367BF">
        <w:rPr>
          <w:rFonts w:ascii="Unna" w:hAnsi="Unna" w:cs="Arial"/>
          <w:sz w:val="24"/>
          <w:szCs w:val="24"/>
        </w:rPr>
        <w:t xml:space="preserve"> I. </w:t>
      </w:r>
      <w:bookmarkStart w:id="2" w:name="_Hlk50403354"/>
      <w:r w:rsidRPr="007367BF">
        <w:rPr>
          <w:rFonts w:ascii="Unna" w:hAnsi="Unna" w:cs="Arial"/>
          <w:sz w:val="24"/>
          <w:szCs w:val="24"/>
        </w:rPr>
        <w:t>Derecho de acceso a la información</w:t>
      </w:r>
      <w:bookmarkEnd w:id="2"/>
      <w:r w:rsidR="00A16219" w:rsidRPr="007367BF">
        <w:rPr>
          <w:rFonts w:ascii="Unna" w:hAnsi="Unna" w:cs="Arial"/>
          <w:sz w:val="24"/>
          <w:szCs w:val="24"/>
        </w:rPr>
        <w:t xml:space="preserve"> pública</w:t>
      </w:r>
      <w:r w:rsidR="007367BF">
        <w:rPr>
          <w:rFonts w:ascii="Unna" w:hAnsi="Unna" w:cs="Arial"/>
          <w:sz w:val="24"/>
          <w:szCs w:val="24"/>
        </w:rPr>
        <w:t>.</w:t>
      </w:r>
      <w:r w:rsidRPr="007367BF">
        <w:rPr>
          <w:rFonts w:ascii="Unna" w:hAnsi="Unna" w:cs="Arial"/>
          <w:sz w:val="24"/>
          <w:szCs w:val="24"/>
        </w:rPr>
        <w:t xml:space="preserve"> </w:t>
      </w:r>
      <w:bookmarkStart w:id="3" w:name="_Hlk50055023"/>
      <w:r w:rsidR="00836E6E" w:rsidRPr="007367BF">
        <w:rPr>
          <w:rFonts w:ascii="Unna" w:hAnsi="Unna" w:cs="Arial"/>
          <w:sz w:val="24"/>
          <w:szCs w:val="24"/>
        </w:rPr>
        <w:t>II. Participación ciudadana</w:t>
      </w:r>
      <w:bookmarkEnd w:id="3"/>
      <w:r w:rsidR="007367BF">
        <w:rPr>
          <w:rFonts w:ascii="Unna" w:hAnsi="Unna" w:cs="Arial"/>
          <w:sz w:val="24"/>
          <w:szCs w:val="24"/>
        </w:rPr>
        <w:t>.</w:t>
      </w:r>
      <w:r w:rsidR="00836E6E" w:rsidRPr="007367BF">
        <w:rPr>
          <w:rFonts w:ascii="Unna" w:hAnsi="Unna" w:cs="Arial"/>
          <w:sz w:val="24"/>
          <w:szCs w:val="24"/>
        </w:rPr>
        <w:t xml:space="preserve"> I</w:t>
      </w:r>
      <w:r w:rsidR="00EF1A3A" w:rsidRPr="007367BF">
        <w:rPr>
          <w:rFonts w:ascii="Unna" w:hAnsi="Unna" w:cs="Arial"/>
          <w:sz w:val="24"/>
          <w:szCs w:val="24"/>
        </w:rPr>
        <w:t>II</w:t>
      </w:r>
      <w:r w:rsidR="00836E6E" w:rsidRPr="007367BF">
        <w:rPr>
          <w:rFonts w:ascii="Unna" w:hAnsi="Unna" w:cs="Arial"/>
          <w:sz w:val="24"/>
          <w:szCs w:val="24"/>
        </w:rPr>
        <w:t>.</w:t>
      </w:r>
      <w:r w:rsidR="007367BF">
        <w:rPr>
          <w:rFonts w:ascii="Unna" w:hAnsi="Unna" w:cs="Arial"/>
          <w:sz w:val="24"/>
          <w:szCs w:val="24"/>
        </w:rPr>
        <w:t> </w:t>
      </w:r>
      <w:r w:rsidR="00836E6E" w:rsidRPr="007367BF">
        <w:rPr>
          <w:rFonts w:ascii="Unna" w:hAnsi="Unna" w:cs="Arial"/>
          <w:sz w:val="24"/>
          <w:szCs w:val="24"/>
        </w:rPr>
        <w:t>Niveles de participación ciudadana</w:t>
      </w:r>
      <w:r w:rsidR="007367BF">
        <w:rPr>
          <w:rFonts w:ascii="Unna" w:hAnsi="Unna" w:cs="Arial"/>
          <w:sz w:val="24"/>
          <w:szCs w:val="24"/>
        </w:rPr>
        <w:t>.</w:t>
      </w:r>
      <w:r w:rsidR="00836E6E" w:rsidRPr="007367BF">
        <w:rPr>
          <w:rFonts w:ascii="Unna" w:hAnsi="Unna" w:cs="Arial"/>
          <w:sz w:val="24"/>
          <w:szCs w:val="24"/>
        </w:rPr>
        <w:t xml:space="preserve"> </w:t>
      </w:r>
      <w:r w:rsidR="00EF1A3A" w:rsidRPr="007367BF">
        <w:rPr>
          <w:rFonts w:ascii="Unna" w:hAnsi="Unna" w:cs="Arial"/>
          <w:sz w:val="24"/>
          <w:szCs w:val="24"/>
        </w:rPr>
        <w:t>I</w:t>
      </w:r>
      <w:r w:rsidRPr="007367BF">
        <w:rPr>
          <w:rFonts w:ascii="Unna" w:hAnsi="Unna" w:cs="Arial"/>
          <w:sz w:val="24"/>
          <w:szCs w:val="24"/>
        </w:rPr>
        <w:t>V. Importancia</w:t>
      </w:r>
      <w:bookmarkStart w:id="4" w:name="_Hlk50403430"/>
      <w:r w:rsidR="005909CC" w:rsidRPr="007367BF">
        <w:rPr>
          <w:rFonts w:ascii="Unna" w:hAnsi="Unna"/>
          <w:sz w:val="24"/>
          <w:szCs w:val="24"/>
        </w:rPr>
        <w:t xml:space="preserve"> </w:t>
      </w:r>
      <w:r w:rsidR="005909CC" w:rsidRPr="007367BF">
        <w:rPr>
          <w:rFonts w:ascii="Unna" w:hAnsi="Unna" w:cs="Arial"/>
          <w:sz w:val="24"/>
          <w:szCs w:val="24"/>
        </w:rPr>
        <w:t xml:space="preserve">de la </w:t>
      </w:r>
      <w:r w:rsidR="007367BF">
        <w:rPr>
          <w:rFonts w:ascii="Unna" w:hAnsi="Unna" w:cs="Arial"/>
          <w:sz w:val="24"/>
          <w:szCs w:val="24"/>
        </w:rPr>
        <w:t>p</w:t>
      </w:r>
      <w:r w:rsidR="005909CC" w:rsidRPr="007367BF">
        <w:rPr>
          <w:rFonts w:ascii="Unna" w:hAnsi="Unna" w:cs="Arial"/>
          <w:sz w:val="24"/>
          <w:szCs w:val="24"/>
        </w:rPr>
        <w:t xml:space="preserve">articipación </w:t>
      </w:r>
      <w:r w:rsidR="007367BF">
        <w:rPr>
          <w:rFonts w:ascii="Unna" w:hAnsi="Unna" w:cs="Arial"/>
          <w:sz w:val="24"/>
          <w:szCs w:val="24"/>
        </w:rPr>
        <w:t>c</w:t>
      </w:r>
      <w:r w:rsidR="005909CC" w:rsidRPr="007367BF">
        <w:rPr>
          <w:rFonts w:ascii="Unna" w:hAnsi="Unna" w:cs="Arial"/>
          <w:sz w:val="24"/>
          <w:szCs w:val="24"/>
        </w:rPr>
        <w:t xml:space="preserve">iudadana en el </w:t>
      </w:r>
      <w:r w:rsidR="007367BF">
        <w:rPr>
          <w:rFonts w:ascii="Unna" w:hAnsi="Unna" w:cs="Arial"/>
          <w:sz w:val="24"/>
          <w:szCs w:val="24"/>
        </w:rPr>
        <w:t>e</w:t>
      </w:r>
      <w:r w:rsidR="005909CC" w:rsidRPr="007367BF">
        <w:rPr>
          <w:rFonts w:ascii="Unna" w:hAnsi="Unna" w:cs="Arial"/>
          <w:sz w:val="24"/>
          <w:szCs w:val="24"/>
        </w:rPr>
        <w:t xml:space="preserve">jercicio del </w:t>
      </w:r>
      <w:r w:rsidR="007367BF">
        <w:rPr>
          <w:rFonts w:ascii="Unna" w:hAnsi="Unna" w:cs="Arial"/>
          <w:sz w:val="24"/>
          <w:szCs w:val="24"/>
        </w:rPr>
        <w:t>d</w:t>
      </w:r>
      <w:r w:rsidR="005909CC" w:rsidRPr="007367BF">
        <w:rPr>
          <w:rFonts w:ascii="Unna" w:hAnsi="Unna" w:cs="Arial"/>
          <w:sz w:val="24"/>
          <w:szCs w:val="24"/>
        </w:rPr>
        <w:t xml:space="preserve">erecho de </w:t>
      </w:r>
      <w:r w:rsidR="007367BF">
        <w:rPr>
          <w:rFonts w:ascii="Unna" w:hAnsi="Unna" w:cs="Arial"/>
          <w:sz w:val="24"/>
          <w:szCs w:val="24"/>
        </w:rPr>
        <w:t>a</w:t>
      </w:r>
      <w:r w:rsidR="005909CC" w:rsidRPr="007367BF">
        <w:rPr>
          <w:rFonts w:ascii="Unna" w:hAnsi="Unna" w:cs="Arial"/>
          <w:sz w:val="24"/>
          <w:szCs w:val="24"/>
        </w:rPr>
        <w:t xml:space="preserve">cceso a la </w:t>
      </w:r>
      <w:r w:rsidR="007367BF">
        <w:rPr>
          <w:rFonts w:ascii="Unna" w:hAnsi="Unna" w:cs="Arial"/>
          <w:sz w:val="24"/>
          <w:szCs w:val="24"/>
        </w:rPr>
        <w:t>i</w:t>
      </w:r>
      <w:r w:rsidR="005909CC" w:rsidRPr="007367BF">
        <w:rPr>
          <w:rFonts w:ascii="Unna" w:hAnsi="Unna" w:cs="Arial"/>
          <w:sz w:val="24"/>
          <w:szCs w:val="24"/>
        </w:rPr>
        <w:t xml:space="preserve">nformación </w:t>
      </w:r>
      <w:r w:rsidR="007367BF">
        <w:rPr>
          <w:rFonts w:ascii="Unna" w:hAnsi="Unna" w:cs="Arial"/>
          <w:sz w:val="24"/>
          <w:szCs w:val="24"/>
        </w:rPr>
        <w:t>p</w:t>
      </w:r>
      <w:r w:rsidR="005909CC" w:rsidRPr="007367BF">
        <w:rPr>
          <w:rFonts w:ascii="Unna" w:hAnsi="Unna" w:cs="Arial"/>
          <w:sz w:val="24"/>
          <w:szCs w:val="24"/>
        </w:rPr>
        <w:t>ública</w:t>
      </w:r>
      <w:r w:rsidR="007367BF">
        <w:rPr>
          <w:rFonts w:ascii="Unna" w:hAnsi="Unna" w:cs="Arial"/>
          <w:sz w:val="24"/>
          <w:szCs w:val="24"/>
        </w:rPr>
        <w:t>.</w:t>
      </w:r>
      <w:r w:rsidRPr="007367BF">
        <w:rPr>
          <w:rFonts w:ascii="Unna" w:hAnsi="Unna" w:cs="Arial"/>
          <w:sz w:val="24"/>
          <w:szCs w:val="24"/>
        </w:rPr>
        <w:t xml:space="preserve"> V.</w:t>
      </w:r>
      <w:r w:rsidR="007367BF">
        <w:rPr>
          <w:rFonts w:ascii="Unna" w:hAnsi="Unna" w:cs="Arial"/>
          <w:sz w:val="24"/>
          <w:szCs w:val="24"/>
        </w:rPr>
        <w:t> C</w:t>
      </w:r>
      <w:r w:rsidR="00184D56" w:rsidRPr="007367BF">
        <w:rPr>
          <w:rFonts w:ascii="Unna" w:hAnsi="Unna" w:cs="Arial"/>
          <w:sz w:val="24"/>
          <w:szCs w:val="24"/>
        </w:rPr>
        <w:t>onclusión</w:t>
      </w:r>
      <w:r w:rsidR="007367BF">
        <w:rPr>
          <w:rFonts w:ascii="Unna" w:hAnsi="Unna" w:cs="Arial"/>
          <w:sz w:val="24"/>
          <w:szCs w:val="24"/>
        </w:rPr>
        <w:t>.</w:t>
      </w:r>
      <w:r w:rsidRPr="007367BF">
        <w:rPr>
          <w:rFonts w:ascii="Unna" w:hAnsi="Unna" w:cs="Arial"/>
          <w:sz w:val="24"/>
          <w:szCs w:val="24"/>
        </w:rPr>
        <w:t xml:space="preserve"> VI.</w:t>
      </w:r>
      <w:r w:rsidR="007367BF">
        <w:rPr>
          <w:rFonts w:ascii="Unna" w:hAnsi="Unna" w:cs="Arial"/>
          <w:sz w:val="24"/>
          <w:szCs w:val="24"/>
        </w:rPr>
        <w:t> </w:t>
      </w:r>
      <w:r w:rsidRPr="007367BF">
        <w:rPr>
          <w:rFonts w:ascii="Unna" w:hAnsi="Unna" w:cs="Arial"/>
          <w:sz w:val="24"/>
          <w:szCs w:val="24"/>
        </w:rPr>
        <w:t>Fuentes</w:t>
      </w:r>
      <w:r w:rsidR="007367BF">
        <w:rPr>
          <w:rFonts w:ascii="Unna" w:hAnsi="Unna" w:cs="Arial"/>
          <w:sz w:val="24"/>
          <w:szCs w:val="24"/>
        </w:rPr>
        <w:t> </w:t>
      </w:r>
      <w:r w:rsidRPr="007367BF">
        <w:rPr>
          <w:rFonts w:ascii="Unna" w:hAnsi="Unna" w:cs="Arial"/>
          <w:sz w:val="24"/>
          <w:szCs w:val="24"/>
        </w:rPr>
        <w:t>consultadas.</w:t>
      </w:r>
    </w:p>
    <w:bookmarkEnd w:id="4"/>
    <w:p w14:paraId="3429E601" w14:textId="44D84140" w:rsidR="007367BF" w:rsidRPr="007367BF" w:rsidRDefault="00757733" w:rsidP="007367BF">
      <w:pPr>
        <w:spacing w:after="120" w:line="240" w:lineRule="auto"/>
        <w:jc w:val="center"/>
        <w:rPr>
          <w:rFonts w:ascii="Unna" w:hAnsi="Unna" w:cs="Arial"/>
          <w:b/>
          <w:bCs/>
          <w:sz w:val="24"/>
          <w:szCs w:val="24"/>
        </w:rPr>
      </w:pPr>
      <w:r w:rsidRPr="007367BF">
        <w:rPr>
          <w:rFonts w:ascii="Unna" w:hAnsi="Unna" w:cs="Arial"/>
          <w:b/>
          <w:bCs/>
          <w:sz w:val="24"/>
          <w:szCs w:val="24"/>
        </w:rPr>
        <w:t>Resumen</w:t>
      </w:r>
    </w:p>
    <w:p w14:paraId="6B943809" w14:textId="57EF20D6" w:rsidR="00A16219" w:rsidRPr="007367BF" w:rsidRDefault="00A16219" w:rsidP="007367BF">
      <w:pPr>
        <w:spacing w:after="0" w:line="276" w:lineRule="auto"/>
        <w:jc w:val="both"/>
        <w:rPr>
          <w:rFonts w:ascii="Unna" w:hAnsi="Unna" w:cs="Arial"/>
          <w:sz w:val="24"/>
          <w:szCs w:val="24"/>
        </w:rPr>
      </w:pPr>
      <w:bookmarkStart w:id="5" w:name="OLE_LINK56"/>
      <w:r w:rsidRPr="007367BF">
        <w:rPr>
          <w:rFonts w:ascii="Unna" w:hAnsi="Unna" w:cs="Arial"/>
          <w:sz w:val="24"/>
          <w:szCs w:val="24"/>
        </w:rPr>
        <w:t xml:space="preserve">El presente trabajo estudia al acceso a la información </w:t>
      </w:r>
      <w:r w:rsidR="00F05E4F" w:rsidRPr="007367BF">
        <w:rPr>
          <w:rFonts w:ascii="Unna" w:hAnsi="Unna" w:cs="Arial"/>
          <w:sz w:val="24"/>
          <w:szCs w:val="24"/>
        </w:rPr>
        <w:t>pública</w:t>
      </w:r>
      <w:r w:rsidRPr="007367BF">
        <w:rPr>
          <w:rFonts w:ascii="Unna" w:hAnsi="Unna" w:cs="Arial"/>
          <w:sz w:val="24"/>
          <w:szCs w:val="24"/>
        </w:rPr>
        <w:t xml:space="preserve"> como el derecho de todo ciudadano de recibir información </w:t>
      </w:r>
      <w:r w:rsidR="00152C89" w:rsidRPr="007367BF">
        <w:rPr>
          <w:rFonts w:ascii="Unna" w:hAnsi="Unna" w:cs="Arial"/>
          <w:sz w:val="24"/>
          <w:szCs w:val="24"/>
        </w:rPr>
        <w:t xml:space="preserve">que se encuentra bajo el resguardo de la </w:t>
      </w:r>
      <w:r w:rsidRPr="007367BF">
        <w:rPr>
          <w:rFonts w:ascii="Unna" w:hAnsi="Unna" w:cs="Arial"/>
          <w:sz w:val="24"/>
          <w:szCs w:val="24"/>
        </w:rPr>
        <w:t>administración pública</w:t>
      </w:r>
      <w:r w:rsidR="00152C89" w:rsidRPr="007367BF">
        <w:rPr>
          <w:rFonts w:ascii="Unna" w:hAnsi="Unna" w:cs="Arial"/>
          <w:sz w:val="24"/>
          <w:szCs w:val="24"/>
        </w:rPr>
        <w:t xml:space="preserve">. </w:t>
      </w:r>
      <w:r w:rsidR="00D3734D" w:rsidRPr="007367BF">
        <w:rPr>
          <w:rFonts w:ascii="Unna" w:hAnsi="Unna" w:cs="Arial"/>
          <w:sz w:val="24"/>
          <w:szCs w:val="24"/>
        </w:rPr>
        <w:t>S</w:t>
      </w:r>
      <w:r w:rsidR="00152C89" w:rsidRPr="007367BF">
        <w:rPr>
          <w:rFonts w:ascii="Unna" w:hAnsi="Unna" w:cs="Arial"/>
          <w:sz w:val="24"/>
          <w:szCs w:val="24"/>
        </w:rPr>
        <w:t xml:space="preserve">e analiza el </w:t>
      </w:r>
      <w:r w:rsidR="00F05E4F" w:rsidRPr="007367BF">
        <w:rPr>
          <w:rFonts w:ascii="Unna" w:hAnsi="Unna" w:cs="Arial"/>
          <w:sz w:val="24"/>
          <w:szCs w:val="24"/>
        </w:rPr>
        <w:t>vínculo</w:t>
      </w:r>
      <w:r w:rsidR="00152C89" w:rsidRPr="007367BF">
        <w:rPr>
          <w:rFonts w:ascii="Unna" w:hAnsi="Unna" w:cs="Arial"/>
          <w:sz w:val="24"/>
          <w:szCs w:val="24"/>
        </w:rPr>
        <w:t xml:space="preserve"> que existe entre la participación ciudadana y el derecho de acceso a la información, partiendo de la premisa</w:t>
      </w:r>
      <w:r w:rsidR="007367BF">
        <w:rPr>
          <w:rFonts w:ascii="Unna" w:hAnsi="Unna" w:cs="Arial"/>
          <w:sz w:val="24"/>
          <w:szCs w:val="24"/>
        </w:rPr>
        <w:t xml:space="preserve"> de que,</w:t>
      </w:r>
      <w:r w:rsidR="00F05E4F" w:rsidRPr="007367BF">
        <w:rPr>
          <w:rFonts w:ascii="Unna" w:hAnsi="Unna" w:cs="Arial"/>
          <w:sz w:val="24"/>
          <w:szCs w:val="24"/>
        </w:rPr>
        <w:t xml:space="preserve"> bajo</w:t>
      </w:r>
      <w:r w:rsidR="00152C89" w:rsidRPr="007367BF">
        <w:rPr>
          <w:rFonts w:ascii="Unna" w:hAnsi="Unna" w:cs="Arial"/>
          <w:sz w:val="24"/>
          <w:szCs w:val="24"/>
        </w:rPr>
        <w:t xml:space="preserve"> la existencia de una mayor participación ciudadana interesada en acceder a la información pública, </w:t>
      </w:r>
      <w:r w:rsidR="0072730F" w:rsidRPr="007367BF">
        <w:rPr>
          <w:rFonts w:ascii="Unna" w:hAnsi="Unna" w:cs="Arial"/>
          <w:sz w:val="24"/>
          <w:szCs w:val="24"/>
        </w:rPr>
        <w:t>aumentará</w:t>
      </w:r>
      <w:r w:rsidR="00EF4D4F" w:rsidRPr="007367BF">
        <w:rPr>
          <w:rFonts w:ascii="Unna" w:hAnsi="Unna" w:cs="Arial"/>
          <w:sz w:val="24"/>
          <w:szCs w:val="24"/>
        </w:rPr>
        <w:t xml:space="preserve"> la publicidad del actuar gubernamental</w:t>
      </w:r>
      <w:r w:rsidR="00A677CB" w:rsidRPr="007367BF">
        <w:rPr>
          <w:rFonts w:ascii="Unna" w:hAnsi="Unna" w:cs="Arial"/>
          <w:sz w:val="24"/>
          <w:szCs w:val="24"/>
        </w:rPr>
        <w:t xml:space="preserve">, y el ciudadano </w:t>
      </w:r>
      <w:r w:rsidR="00226025" w:rsidRPr="007367BF">
        <w:rPr>
          <w:rFonts w:ascii="Unna" w:hAnsi="Unna" w:cs="Arial"/>
          <w:sz w:val="24"/>
          <w:szCs w:val="24"/>
        </w:rPr>
        <w:t xml:space="preserve">estará en condiciones de conocer a más detalle </w:t>
      </w:r>
      <w:r w:rsidR="00606024" w:rsidRPr="007367BF">
        <w:rPr>
          <w:rFonts w:ascii="Unna" w:hAnsi="Unna" w:cs="Arial"/>
          <w:sz w:val="24"/>
          <w:szCs w:val="24"/>
        </w:rPr>
        <w:t xml:space="preserve">la </w:t>
      </w:r>
      <w:r w:rsidR="001C5EE0" w:rsidRPr="007367BF">
        <w:rPr>
          <w:rFonts w:ascii="Unna" w:hAnsi="Unna" w:cs="Arial"/>
          <w:sz w:val="24"/>
          <w:szCs w:val="24"/>
        </w:rPr>
        <w:t xml:space="preserve">actividad de la </w:t>
      </w:r>
      <w:r w:rsidR="00606024" w:rsidRPr="007367BF">
        <w:rPr>
          <w:rFonts w:ascii="Unna" w:hAnsi="Unna" w:cs="Arial"/>
          <w:sz w:val="24"/>
          <w:szCs w:val="24"/>
        </w:rPr>
        <w:t xml:space="preserve">función </w:t>
      </w:r>
      <w:r w:rsidR="001C5EE0" w:rsidRPr="007367BF">
        <w:rPr>
          <w:rFonts w:ascii="Unna" w:hAnsi="Unna" w:cs="Arial"/>
          <w:sz w:val="24"/>
          <w:szCs w:val="24"/>
        </w:rPr>
        <w:t>pública</w:t>
      </w:r>
      <w:r w:rsidR="00606024" w:rsidRPr="007367BF">
        <w:rPr>
          <w:rFonts w:ascii="Unna" w:hAnsi="Unna" w:cs="Arial"/>
          <w:sz w:val="24"/>
          <w:szCs w:val="24"/>
        </w:rPr>
        <w:t>.</w:t>
      </w:r>
    </w:p>
    <w:bookmarkEnd w:id="5"/>
    <w:p w14:paraId="68EED3B0" w14:textId="5DB84D98" w:rsidR="007367BF" w:rsidRPr="007367BF" w:rsidRDefault="007367BF" w:rsidP="007367BF">
      <w:pPr>
        <w:spacing w:line="360" w:lineRule="auto"/>
        <w:jc w:val="both"/>
        <w:rPr>
          <w:rFonts w:ascii="Unna" w:hAnsi="Unna" w:cs="Arial"/>
          <w:sz w:val="24"/>
          <w:szCs w:val="24"/>
        </w:rPr>
      </w:pPr>
      <w:r w:rsidRPr="007367BF">
        <w:rPr>
          <w:rFonts w:ascii="Unna" w:hAnsi="Unna" w:cs="Arial"/>
          <w:b/>
          <w:bCs/>
          <w:sz w:val="24"/>
          <w:szCs w:val="24"/>
        </w:rPr>
        <w:t>Palabras claves</w:t>
      </w:r>
      <w:r w:rsidRPr="007367BF">
        <w:rPr>
          <w:rFonts w:ascii="Unna" w:hAnsi="Unna" w:cs="Arial"/>
          <w:sz w:val="24"/>
          <w:szCs w:val="24"/>
        </w:rPr>
        <w:t xml:space="preserve">: </w:t>
      </w:r>
      <w:bookmarkStart w:id="6" w:name="OLE_LINK57"/>
      <w:r w:rsidRPr="007367BF">
        <w:rPr>
          <w:rFonts w:ascii="Unna" w:hAnsi="Unna" w:cs="Arial"/>
          <w:sz w:val="24"/>
          <w:szCs w:val="24"/>
        </w:rPr>
        <w:t>transparencia, administración pública, servicio público</w:t>
      </w:r>
      <w:bookmarkEnd w:id="6"/>
      <w:r w:rsidRPr="007367BF">
        <w:rPr>
          <w:rFonts w:ascii="Unna" w:hAnsi="Unna" w:cs="Arial"/>
          <w:sz w:val="24"/>
          <w:szCs w:val="24"/>
        </w:rPr>
        <w:t xml:space="preserve">.   </w:t>
      </w:r>
    </w:p>
    <w:p w14:paraId="4E9438E9" w14:textId="77777777" w:rsidR="007367BF" w:rsidRPr="007367BF" w:rsidRDefault="004E246E" w:rsidP="007367BF">
      <w:pPr>
        <w:spacing w:after="120" w:line="240" w:lineRule="auto"/>
        <w:jc w:val="center"/>
        <w:rPr>
          <w:rFonts w:ascii="Unna" w:hAnsi="Unna" w:cs="Arial"/>
          <w:b/>
          <w:bCs/>
          <w:sz w:val="24"/>
          <w:szCs w:val="24"/>
          <w:lang w:val="en-US"/>
        </w:rPr>
      </w:pPr>
      <w:r w:rsidRPr="007367BF">
        <w:rPr>
          <w:rFonts w:ascii="Unna" w:hAnsi="Unna" w:cs="Arial"/>
          <w:b/>
          <w:bCs/>
          <w:sz w:val="24"/>
          <w:szCs w:val="24"/>
          <w:lang w:val="en-US"/>
        </w:rPr>
        <w:t>Abstract</w:t>
      </w:r>
    </w:p>
    <w:p w14:paraId="15B71822" w14:textId="4E067A3A" w:rsidR="007367BF" w:rsidRPr="007367BF" w:rsidRDefault="007367BF" w:rsidP="007367BF">
      <w:pPr>
        <w:spacing w:after="0" w:line="276" w:lineRule="auto"/>
        <w:jc w:val="both"/>
        <w:rPr>
          <w:rFonts w:ascii="Unna" w:hAnsi="Unna" w:cs="Arial"/>
          <w:sz w:val="24"/>
          <w:szCs w:val="24"/>
          <w:lang w:val="en-US"/>
        </w:rPr>
      </w:pPr>
      <w:r w:rsidRPr="007367BF">
        <w:rPr>
          <w:rFonts w:ascii="Unna" w:hAnsi="Unna" w:cs="Arial"/>
          <w:sz w:val="24"/>
          <w:szCs w:val="24"/>
          <w:lang w:val="en"/>
        </w:rPr>
        <w:t xml:space="preserve">This </w:t>
      </w:r>
      <w:r>
        <w:rPr>
          <w:rFonts w:ascii="Unna" w:hAnsi="Unna" w:cs="Arial"/>
          <w:sz w:val="24"/>
          <w:szCs w:val="24"/>
          <w:lang w:val="en"/>
        </w:rPr>
        <w:t>wo</w:t>
      </w:r>
      <w:r w:rsidRPr="007367BF">
        <w:rPr>
          <w:rFonts w:ascii="Unna" w:hAnsi="Unna" w:cs="Arial"/>
          <w:sz w:val="24"/>
          <w:szCs w:val="24"/>
          <w:lang w:val="en"/>
        </w:rPr>
        <w:t>r</w:t>
      </w:r>
      <w:r>
        <w:rPr>
          <w:rFonts w:ascii="Unna" w:hAnsi="Unna" w:cs="Arial"/>
          <w:sz w:val="24"/>
          <w:szCs w:val="24"/>
          <w:lang w:val="en"/>
        </w:rPr>
        <w:t>k</w:t>
      </w:r>
      <w:r w:rsidRPr="007367BF">
        <w:rPr>
          <w:rFonts w:ascii="Unna" w:hAnsi="Unna" w:cs="Arial"/>
          <w:sz w:val="24"/>
          <w:szCs w:val="24"/>
          <w:lang w:val="en"/>
        </w:rPr>
        <w:t xml:space="preserve"> examines access to public information as the right of every citizen to receive information held by the public administration. It analyzes the link between citizen participation and the right of access to information, based on the premise that greater citizen participation in accessing public information will increase transparency in government actions, and citizens will be better able to understand the activities of the public sector in greater detail.</w:t>
      </w:r>
    </w:p>
    <w:p w14:paraId="4984487C" w14:textId="3038D942" w:rsidR="00345B0F" w:rsidRPr="00CA542C" w:rsidRDefault="005E6DF2" w:rsidP="007367BF">
      <w:pPr>
        <w:spacing w:line="360" w:lineRule="auto"/>
        <w:jc w:val="both"/>
        <w:rPr>
          <w:rFonts w:ascii="Unna" w:hAnsi="Unna" w:cs="Arial"/>
          <w:sz w:val="24"/>
          <w:szCs w:val="24"/>
          <w:lang w:val="en"/>
        </w:rPr>
      </w:pPr>
      <w:bookmarkStart w:id="7" w:name="_Hlk151642211"/>
      <w:r w:rsidRPr="007367BF">
        <w:rPr>
          <w:rFonts w:ascii="Unna" w:hAnsi="Unna" w:cs="Arial"/>
          <w:b/>
          <w:bCs/>
          <w:sz w:val="24"/>
          <w:szCs w:val="24"/>
          <w:lang w:val="en-US"/>
        </w:rPr>
        <w:t>Keywords</w:t>
      </w:r>
      <w:r w:rsidRPr="007367BF">
        <w:rPr>
          <w:rFonts w:ascii="Unna" w:hAnsi="Unna" w:cs="Arial"/>
          <w:sz w:val="24"/>
          <w:szCs w:val="24"/>
          <w:lang w:val="en-US"/>
        </w:rPr>
        <w:t>:</w:t>
      </w:r>
      <w:bookmarkEnd w:id="7"/>
      <w:r w:rsidR="007367BF" w:rsidRPr="007367BF">
        <w:rPr>
          <w:rFonts w:ascii="Unna" w:hAnsi="Unna" w:cs="Arial"/>
          <w:sz w:val="24"/>
          <w:szCs w:val="24"/>
          <w:lang w:val="en-US"/>
        </w:rPr>
        <w:t xml:space="preserve"> </w:t>
      </w:r>
      <w:r w:rsidR="007367BF" w:rsidRPr="007367BF">
        <w:rPr>
          <w:rFonts w:ascii="Unna" w:hAnsi="Unna" w:cs="Arial"/>
          <w:sz w:val="24"/>
          <w:szCs w:val="24"/>
          <w:lang w:val="en"/>
        </w:rPr>
        <w:t>transparency, public administration, public service</w:t>
      </w:r>
      <w:r w:rsidR="00345B0F">
        <w:rPr>
          <w:rFonts w:ascii="Unna" w:hAnsi="Unna" w:cs="Arial"/>
          <w:sz w:val="24"/>
          <w:szCs w:val="24"/>
          <w:lang w:val="en"/>
        </w:rPr>
        <w:t>.</w:t>
      </w:r>
    </w:p>
    <w:p w14:paraId="0EF5265C" w14:textId="77777777" w:rsidR="00CA542C" w:rsidRPr="00EC3F14" w:rsidRDefault="00CA542C" w:rsidP="00345B0F">
      <w:pPr>
        <w:pStyle w:val="Nivel1BIOL"/>
      </w:pPr>
    </w:p>
    <w:p w14:paraId="2618B073" w14:textId="0FF39704" w:rsidR="00712A48" w:rsidRPr="00CA542C" w:rsidRDefault="00CA4C56" w:rsidP="00345B0F">
      <w:pPr>
        <w:pStyle w:val="Nivel1BIOL"/>
        <w:rPr>
          <w:lang w:val="es-MX"/>
        </w:rPr>
      </w:pPr>
      <w:r w:rsidRPr="00CA542C">
        <w:rPr>
          <w:lang w:val="es-MX"/>
        </w:rPr>
        <w:lastRenderedPageBreak/>
        <w:t>I. DERECHO DE ACCESO A LA INFORMACIÓN</w:t>
      </w:r>
      <w:r w:rsidR="00345B0F" w:rsidRPr="00CA542C">
        <w:rPr>
          <w:lang w:val="es-MX"/>
        </w:rPr>
        <w:t xml:space="preserve"> PÚBLICA</w:t>
      </w:r>
    </w:p>
    <w:p w14:paraId="1C35F822" w14:textId="61C218AA" w:rsidR="00712A48" w:rsidRPr="007367BF" w:rsidRDefault="00712A48" w:rsidP="00345B0F">
      <w:pPr>
        <w:pStyle w:val="parrafonormalbiolex"/>
      </w:pPr>
      <w:r w:rsidRPr="007367BF">
        <w:tab/>
        <w:t xml:space="preserve">El derecho a la información se caracteriza por ser una prerrogativa fundamental para el desarrollo democrático de un país, por lo que, en el año </w:t>
      </w:r>
      <w:r w:rsidR="00673465" w:rsidRPr="007367BF">
        <w:t>de 1</w:t>
      </w:r>
      <w:r w:rsidRPr="007367BF">
        <w:t xml:space="preserve">977, mediante reforma se incorpora un nuevo párrafo al artículo sexto de la Constitución Política de los Estados Unidos Mexicanos (CPEUM), numeral que tiene el objetivo </w:t>
      </w:r>
      <w:r w:rsidR="00673465" w:rsidRPr="007367BF">
        <w:t xml:space="preserve">de </w:t>
      </w:r>
      <w:r w:rsidRPr="007367BF">
        <w:t>regular al derecho a la información y la obligación del Estado de hacerla efectiva.</w:t>
      </w:r>
    </w:p>
    <w:p w14:paraId="5D7CE759" w14:textId="77777777" w:rsidR="00712A48" w:rsidRPr="007367BF" w:rsidRDefault="00712A48" w:rsidP="00345B0F">
      <w:pPr>
        <w:pStyle w:val="parrafonormalbiolex"/>
      </w:pPr>
      <w:r w:rsidRPr="007367BF">
        <w:tab/>
        <w:t>Durante varias décadas el derecho a la información se caracterizó por ser limitado. Fue hasta mediados de los años noventa, que el derecho de acceso a la información se comenzó a incorporar a la agenda política.</w:t>
      </w:r>
      <w:r w:rsidRPr="007367BF">
        <w:rPr>
          <w:vertAlign w:val="superscript"/>
        </w:rPr>
        <w:footnoteReference w:id="4"/>
      </w:r>
      <w:r w:rsidRPr="007367BF">
        <w:t xml:space="preserve"> Vocablo que empezó a cobrar importancia a nivel nacional e internacional.</w:t>
      </w:r>
      <w:r w:rsidRPr="007367BF">
        <w:rPr>
          <w:vertAlign w:val="superscript"/>
        </w:rPr>
        <w:footnoteReference w:id="5"/>
      </w:r>
      <w:r w:rsidRPr="007367BF">
        <w:t xml:space="preserve"> Sin embargo, su operatividad era nula por la falta de una normatividad secundaria que estableciera las bases y procedimiento para solicitar información en manos del Estado. </w:t>
      </w:r>
    </w:p>
    <w:p w14:paraId="1BC4279D" w14:textId="17A4DBFE" w:rsidR="00712A48" w:rsidRPr="007367BF" w:rsidRDefault="00712A48" w:rsidP="00345B0F">
      <w:pPr>
        <w:pStyle w:val="parrafonormalbiolex"/>
      </w:pPr>
      <w:r w:rsidRPr="007367BF">
        <w:t xml:space="preserve">A nivel internacional, el derecho del ciudadano de acceder a la información adquiría importancia, </w:t>
      </w:r>
      <w:r w:rsidR="00673465" w:rsidRPr="007367BF">
        <w:t xml:space="preserve">es considerado </w:t>
      </w:r>
      <w:r w:rsidRPr="007367BF">
        <w:t>una vacuna contra la discrecionalidad gubernamental. Bajo esa premisa en el año de 1993, se conforma el organismo no gubernamental, “</w:t>
      </w:r>
      <w:proofErr w:type="spellStart"/>
      <w:r w:rsidRPr="007367BF">
        <w:rPr>
          <w:i/>
        </w:rPr>
        <w:t>Transparency</w:t>
      </w:r>
      <w:proofErr w:type="spellEnd"/>
      <w:r w:rsidRPr="007367BF">
        <w:rPr>
          <w:i/>
        </w:rPr>
        <w:t xml:space="preserve"> International”, su</w:t>
      </w:r>
      <w:r w:rsidRPr="007367BF">
        <w:rPr>
          <w:iCs/>
        </w:rPr>
        <w:t xml:space="preserve"> </w:t>
      </w:r>
      <w:r w:rsidRPr="007367BF">
        <w:t>objetivo es medir y denunciar la corrupción en cualquier gobierno del mundo, derivado de su integración diversos países empezaron a legislar en el tema de derecho de acceso a la información, México no fue la excepción.</w:t>
      </w:r>
      <w:r w:rsidRPr="007367BF">
        <w:rPr>
          <w:vertAlign w:val="superscript"/>
        </w:rPr>
        <w:footnoteReference w:id="6"/>
      </w:r>
    </w:p>
    <w:p w14:paraId="4F306330" w14:textId="77777777" w:rsidR="00712A48" w:rsidRPr="007367BF" w:rsidRDefault="00712A48" w:rsidP="00345B0F">
      <w:pPr>
        <w:pStyle w:val="parrafonormalbiolex"/>
        <w:rPr>
          <w:iCs/>
        </w:rPr>
      </w:pPr>
      <w:r w:rsidRPr="007367BF">
        <w:rPr>
          <w:iCs/>
        </w:rPr>
        <w:tab/>
        <w:t>Posteriormente en el año de 2001, se integró el grupo Oaxaca por académicos y periodistas interesados en la creación de la Ley Federal de Acceso a la Información Gubernamental, el objetivo del grupo Oaxaca fue establecer los puntos principales que una Ley reglamentaria debería contener.</w:t>
      </w:r>
      <w:r w:rsidRPr="007367BF">
        <w:rPr>
          <w:iCs/>
          <w:vertAlign w:val="superscript"/>
        </w:rPr>
        <w:footnoteReference w:id="7"/>
      </w:r>
      <w:r w:rsidRPr="007367BF">
        <w:rPr>
          <w:iCs/>
        </w:rPr>
        <w:t xml:space="preserve"> Sus esfuerzos por dar a conocer la importancia de legislar en temas de acceso a la información se concretaron en el año 2002, con la publicación en el Diario Oficial de la Federación (DOF), la Ley Federal de Transparencia y Acceso a la Información Pública Gubernamental</w:t>
      </w:r>
      <w:r w:rsidRPr="007367BF">
        <w:rPr>
          <w:b/>
          <w:bCs/>
          <w:iCs/>
        </w:rPr>
        <w:t xml:space="preserve">, </w:t>
      </w:r>
      <w:r w:rsidRPr="007367BF">
        <w:rPr>
          <w:iCs/>
        </w:rPr>
        <w:t>misma que entró en vigor al día siguiente de su publicación.</w:t>
      </w:r>
    </w:p>
    <w:p w14:paraId="0E5A0846" w14:textId="77777777" w:rsidR="00712A48" w:rsidRPr="007367BF" w:rsidRDefault="00712A48" w:rsidP="00345B0F">
      <w:pPr>
        <w:pStyle w:val="parrafonormalbiolex"/>
      </w:pPr>
      <w:r w:rsidRPr="007367BF">
        <w:rPr>
          <w:iCs/>
        </w:rPr>
        <w:tab/>
        <w:t>Sin embargo, en la norma fundante prevalecía el enunciado “El derecho a la información será garantizado por el Estado” redacción que de forma expresa no legislaba el acceso a la información, en ese sentido, en el año 2007, se</w:t>
      </w:r>
      <w:r w:rsidRPr="007367BF">
        <w:t xml:space="preserve"> adiciona un segundo párrafo con siete fracciones al Artículo 6º de nuestra carta magna. Se incorpora el derecho del ciudadano al acceso a la información pública, principios y bases constitucionales.</w:t>
      </w:r>
    </w:p>
    <w:p w14:paraId="1A28D8E0" w14:textId="1AE45764" w:rsidR="00712A48" w:rsidRPr="007367BF" w:rsidRDefault="00712A48" w:rsidP="00345B0F">
      <w:pPr>
        <w:pStyle w:val="parrafonormalbiolex"/>
        <w:rPr>
          <w:rFonts w:eastAsia="Times New Roman"/>
          <w:lang w:eastAsia="es-ES"/>
        </w:rPr>
      </w:pPr>
      <w:r w:rsidRPr="007367BF">
        <w:rPr>
          <w:rFonts w:eastAsia="Times New Roman"/>
          <w:lang w:eastAsia="es-ES"/>
        </w:rPr>
        <w:lastRenderedPageBreak/>
        <w:tab/>
        <w:t>Actualment</w:t>
      </w:r>
      <w:r w:rsidR="006E37EB" w:rsidRPr="007367BF">
        <w:rPr>
          <w:rFonts w:eastAsia="Times New Roman"/>
          <w:lang w:eastAsia="es-ES"/>
        </w:rPr>
        <w:t>e</w:t>
      </w:r>
      <w:r w:rsidRPr="007367BF">
        <w:rPr>
          <w:rFonts w:eastAsia="Times New Roman"/>
          <w:lang w:eastAsia="es-ES"/>
        </w:rPr>
        <w:t>,</w:t>
      </w:r>
      <w:r w:rsidR="00F56382" w:rsidRPr="007367BF">
        <w:rPr>
          <w:rFonts w:eastAsia="Times New Roman"/>
          <w:lang w:eastAsia="es-ES"/>
        </w:rPr>
        <w:t xml:space="preserve"> la</w:t>
      </w:r>
      <w:r w:rsidRPr="007367BF">
        <w:rPr>
          <w:rFonts w:eastAsia="Times New Roman"/>
          <w:lang w:eastAsia="es-ES"/>
        </w:rPr>
        <w:t xml:space="preserve"> </w:t>
      </w:r>
      <w:r w:rsidR="001026CE" w:rsidRPr="007367BF">
        <w:rPr>
          <w:rFonts w:eastAsia="Times New Roman"/>
          <w:lang w:eastAsia="es-ES"/>
        </w:rPr>
        <w:t xml:space="preserve">reforma </w:t>
      </w:r>
      <w:r w:rsidR="00F56382" w:rsidRPr="007367BF">
        <w:rPr>
          <w:rFonts w:eastAsia="Times New Roman"/>
          <w:lang w:eastAsia="es-ES"/>
        </w:rPr>
        <w:t xml:space="preserve">constitucional </w:t>
      </w:r>
      <w:r w:rsidR="002B005A" w:rsidRPr="007367BF">
        <w:rPr>
          <w:rFonts w:eastAsia="Times New Roman"/>
          <w:lang w:eastAsia="es-ES"/>
        </w:rPr>
        <w:t>a</w:t>
      </w:r>
      <w:r w:rsidRPr="007367BF">
        <w:rPr>
          <w:rFonts w:eastAsia="Times New Roman"/>
          <w:lang w:eastAsia="es-ES"/>
        </w:rPr>
        <w:t>l numeral 6° de la CPE</w:t>
      </w:r>
      <w:r w:rsidR="00F56382" w:rsidRPr="007367BF">
        <w:rPr>
          <w:rFonts w:eastAsia="Times New Roman"/>
          <w:lang w:eastAsia="es-ES"/>
        </w:rPr>
        <w:t>U</w:t>
      </w:r>
      <w:r w:rsidRPr="007367BF">
        <w:rPr>
          <w:rFonts w:eastAsia="Times New Roman"/>
          <w:lang w:eastAsia="es-ES"/>
        </w:rPr>
        <w:t>M</w:t>
      </w:r>
      <w:r w:rsidR="00F56382" w:rsidRPr="007367BF">
        <w:rPr>
          <w:rFonts w:eastAsia="Times New Roman"/>
          <w:lang w:eastAsia="es-ES"/>
        </w:rPr>
        <w:t xml:space="preserve"> publicada en el Diario Oficial de la Federación el 20 de diciembre de 20</w:t>
      </w:r>
      <w:r w:rsidR="006E37EB" w:rsidRPr="007367BF">
        <w:rPr>
          <w:rFonts w:eastAsia="Times New Roman"/>
          <w:lang w:eastAsia="es-ES"/>
        </w:rPr>
        <w:t>2</w:t>
      </w:r>
      <w:r w:rsidR="00F56382" w:rsidRPr="007367BF">
        <w:rPr>
          <w:rFonts w:eastAsia="Times New Roman"/>
          <w:lang w:eastAsia="es-ES"/>
        </w:rPr>
        <w:t xml:space="preserve">4, </w:t>
      </w:r>
      <w:r w:rsidR="006E37EB" w:rsidRPr="007367BF">
        <w:rPr>
          <w:rFonts w:eastAsia="Times New Roman"/>
          <w:lang w:eastAsia="es-ES"/>
        </w:rPr>
        <w:t>denominada reforma al marco normativo del derecho a la información pública, considera</w:t>
      </w:r>
      <w:r w:rsidRPr="007367BF">
        <w:rPr>
          <w:rFonts w:eastAsia="Times New Roman"/>
          <w:lang w:eastAsia="es-ES"/>
        </w:rPr>
        <w:t xml:space="preserve"> al derecho de acceso a la información como “Toda persona tiene derecho al libre acceso a información plural y oportuna, así como a buscar, recibir y difundir información e ideas de toda índole por cualquier medio de expresión</w:t>
      </w:r>
      <w:r w:rsidR="00196BA9" w:rsidRPr="007367BF">
        <w:rPr>
          <w:rFonts w:eastAsia="Times New Roman"/>
          <w:lang w:eastAsia="es-ES"/>
        </w:rPr>
        <w:t>”</w:t>
      </w:r>
      <w:r w:rsidRPr="007367BF">
        <w:rPr>
          <w:rFonts w:eastAsia="Times New Roman"/>
          <w:lang w:eastAsia="es-ES"/>
        </w:rPr>
        <w:t>.</w:t>
      </w:r>
      <w:r w:rsidR="00F56382" w:rsidRPr="007367BF">
        <w:rPr>
          <w:rFonts w:eastAsia="Times New Roman"/>
          <w:lang w:eastAsia="es-ES"/>
        </w:rPr>
        <w:t xml:space="preserve"> </w:t>
      </w:r>
      <w:r w:rsidRPr="007367BF">
        <w:rPr>
          <w:rFonts w:eastAsia="Times New Roman"/>
          <w:lang w:eastAsia="es-ES"/>
        </w:rPr>
        <w:t>El texto constitucional señala tres facultades intrínsecas del ser humano: investigar, recibir y difundir información, acciones importantes para el ejercicio del derecho de acceso a la información.</w:t>
      </w:r>
      <w:r w:rsidRPr="007367BF">
        <w:rPr>
          <w:rFonts w:eastAsia="Times New Roman"/>
          <w:vertAlign w:val="superscript"/>
          <w:lang w:eastAsia="es-ES"/>
        </w:rPr>
        <w:footnoteReference w:id="8"/>
      </w:r>
      <w:r w:rsidRPr="007367BF">
        <w:rPr>
          <w:rFonts w:eastAsia="Times New Roman"/>
          <w:lang w:eastAsia="es-ES"/>
        </w:rPr>
        <w:t xml:space="preserve"> </w:t>
      </w:r>
    </w:p>
    <w:p w14:paraId="2C14CF36" w14:textId="65EAAB94" w:rsidR="00712A48" w:rsidRPr="00345B0F" w:rsidRDefault="00712A48" w:rsidP="00345B0F">
      <w:pPr>
        <w:pStyle w:val="vietas"/>
        <w:numPr>
          <w:ilvl w:val="0"/>
          <w:numId w:val="7"/>
        </w:numPr>
        <w:spacing w:before="120" w:after="120"/>
        <w:ind w:hanging="357"/>
        <w:rPr>
          <w:sz w:val="24"/>
          <w:szCs w:val="24"/>
        </w:rPr>
      </w:pPr>
      <w:r w:rsidRPr="00345B0F">
        <w:rPr>
          <w:sz w:val="24"/>
          <w:szCs w:val="24"/>
        </w:rPr>
        <w:t>Investigar</w:t>
      </w:r>
      <w:r w:rsidR="000358F9" w:rsidRPr="00345B0F">
        <w:rPr>
          <w:sz w:val="24"/>
          <w:szCs w:val="24"/>
        </w:rPr>
        <w:t xml:space="preserve"> </w:t>
      </w:r>
      <w:r w:rsidRPr="00345B0F">
        <w:rPr>
          <w:sz w:val="24"/>
          <w:szCs w:val="24"/>
        </w:rPr>
        <w:t>información: es la facultad que incide directamente en la posibilidad de toda persona acceda directamente a la fuente generadora de información.</w:t>
      </w:r>
    </w:p>
    <w:p w14:paraId="355E092F" w14:textId="77777777" w:rsidR="00712A48" w:rsidRPr="00345B0F" w:rsidRDefault="00712A48" w:rsidP="00345B0F">
      <w:pPr>
        <w:pStyle w:val="vietas"/>
        <w:numPr>
          <w:ilvl w:val="0"/>
          <w:numId w:val="7"/>
        </w:numPr>
        <w:spacing w:before="120" w:after="120"/>
        <w:ind w:hanging="357"/>
        <w:rPr>
          <w:sz w:val="24"/>
          <w:szCs w:val="24"/>
        </w:rPr>
      </w:pPr>
      <w:r w:rsidRPr="00345B0F">
        <w:rPr>
          <w:sz w:val="24"/>
          <w:szCs w:val="24"/>
        </w:rPr>
        <w:t>Recibir información: toda persona tiene derecho a recibir información veraz de trascendencia pública y con rapidez.</w:t>
      </w:r>
    </w:p>
    <w:p w14:paraId="4E03706E" w14:textId="049722EF" w:rsidR="00941624" w:rsidRPr="00345B0F" w:rsidRDefault="00712A48" w:rsidP="00345B0F">
      <w:pPr>
        <w:pStyle w:val="vietas"/>
        <w:numPr>
          <w:ilvl w:val="0"/>
          <w:numId w:val="7"/>
        </w:numPr>
        <w:spacing w:before="120" w:after="120"/>
        <w:ind w:hanging="357"/>
        <w:rPr>
          <w:iCs/>
          <w:sz w:val="24"/>
          <w:szCs w:val="24"/>
        </w:rPr>
      </w:pPr>
      <w:r w:rsidRPr="00345B0F">
        <w:rPr>
          <w:sz w:val="24"/>
          <w:szCs w:val="24"/>
        </w:rPr>
        <w:t>Difundir información:</w:t>
      </w:r>
      <w:r w:rsidR="00941624" w:rsidRPr="00345B0F">
        <w:rPr>
          <w:sz w:val="24"/>
          <w:szCs w:val="24"/>
        </w:rPr>
        <w:t xml:space="preserve"> es la facultad de comunicar datos o contenidos que va más allá de la simple manifestación de ideas, su difusión puede ser por medios orales, escritos, cualquier otro mecanismo de transmisión, o incluso a través de la organización de una entidad dedicada a informar. En esencia, constituye la forma tradicional de la libertad de expresión.</w:t>
      </w:r>
    </w:p>
    <w:p w14:paraId="6DD5FD89" w14:textId="7E228E52" w:rsidR="00712A48" w:rsidRPr="007367BF" w:rsidRDefault="00712A48" w:rsidP="00345B0F">
      <w:pPr>
        <w:pStyle w:val="parrafonormalbiolex"/>
      </w:pPr>
      <w:r w:rsidRPr="007367BF">
        <w:tab/>
      </w:r>
      <w:r w:rsidR="004C27E3" w:rsidRPr="007367BF">
        <w:t xml:space="preserve">En este contexto, el derecho de acceso a la información </w:t>
      </w:r>
      <w:r w:rsidR="00941624" w:rsidRPr="007367BF">
        <w:t xml:space="preserve">constituye </w:t>
      </w:r>
      <w:r w:rsidR="004C27E3" w:rsidRPr="007367BF">
        <w:t xml:space="preserve">un derecho humano fundamental, </w:t>
      </w:r>
      <w:r w:rsidR="00941624" w:rsidRPr="007367BF">
        <w:t xml:space="preserve">en virtud de ello, </w:t>
      </w:r>
      <w:r w:rsidR="004C27E3" w:rsidRPr="007367BF">
        <w:t xml:space="preserve"> </w:t>
      </w:r>
      <w:r w:rsidR="00941624" w:rsidRPr="007367BF">
        <w:t xml:space="preserve">cualquier </w:t>
      </w:r>
      <w:r w:rsidR="004C27E3" w:rsidRPr="007367BF">
        <w:t xml:space="preserve">persona </w:t>
      </w:r>
      <w:r w:rsidR="00F02124" w:rsidRPr="007367BF">
        <w:t>tiene la potestad de</w:t>
      </w:r>
      <w:r w:rsidR="00941624" w:rsidRPr="007367BF">
        <w:t xml:space="preserve"> realizar</w:t>
      </w:r>
      <w:r w:rsidR="004C27E3" w:rsidRPr="007367BF">
        <w:t xml:space="preserve"> </w:t>
      </w:r>
      <w:r w:rsidR="00941624" w:rsidRPr="007367BF">
        <w:t>investigación</w:t>
      </w:r>
      <w:r w:rsidR="004C27E3" w:rsidRPr="007367BF">
        <w:t xml:space="preserve">, </w:t>
      </w:r>
      <w:r w:rsidR="00941624" w:rsidRPr="007367BF">
        <w:t xml:space="preserve">solicitud </w:t>
      </w:r>
      <w:r w:rsidR="004C27E3" w:rsidRPr="007367BF">
        <w:t xml:space="preserve">y </w:t>
      </w:r>
      <w:r w:rsidR="00941624" w:rsidRPr="007367BF">
        <w:t>obtener</w:t>
      </w:r>
      <w:r w:rsidR="004C27E3" w:rsidRPr="007367BF">
        <w:t xml:space="preserve"> información que se encuentre bajo </w:t>
      </w:r>
      <w:r w:rsidR="00941624" w:rsidRPr="007367BF">
        <w:t>resguardo</w:t>
      </w:r>
      <w:r w:rsidR="004C27E3" w:rsidRPr="007367BF">
        <w:t xml:space="preserve"> del Estado</w:t>
      </w:r>
      <w:r w:rsidRPr="007367BF">
        <w:t>.</w:t>
      </w:r>
      <w:r w:rsidRPr="007367BF">
        <w:rPr>
          <w:vertAlign w:val="superscript"/>
        </w:rPr>
        <w:footnoteReference w:id="9"/>
      </w:r>
      <w:r w:rsidRPr="007367BF">
        <w:t xml:space="preserve">  </w:t>
      </w:r>
    </w:p>
    <w:p w14:paraId="486556D2" w14:textId="6C96CFF5" w:rsidR="003F698A" w:rsidRPr="007367BF" w:rsidRDefault="00712A48" w:rsidP="00345B0F">
      <w:pPr>
        <w:pStyle w:val="parrafonormalbiolex"/>
      </w:pPr>
      <w:r w:rsidRPr="007367BF">
        <w:tab/>
      </w:r>
      <w:r w:rsidR="003F698A" w:rsidRPr="007367BF">
        <w:t>En ese sentid</w:t>
      </w:r>
      <w:r w:rsidR="001026CE" w:rsidRPr="007367BF">
        <w:t>o</w:t>
      </w:r>
      <w:r w:rsidR="003F698A" w:rsidRPr="007367BF">
        <w:t xml:space="preserve">, </w:t>
      </w:r>
      <w:r w:rsidR="003A12AD" w:rsidRPr="007367BF">
        <w:t xml:space="preserve">surgen las siguientes interrogantes: </w:t>
      </w:r>
      <w:r w:rsidRPr="007367BF">
        <w:t xml:space="preserve">¿Cuál es el mecanismo para ejercer su derecho de solicitar información? </w:t>
      </w:r>
      <w:r w:rsidR="003A12AD" w:rsidRPr="007367BF">
        <w:t>¿p</w:t>
      </w:r>
      <w:r w:rsidRPr="007367BF">
        <w:t xml:space="preserve">ara la trasmisión de la información es necesario que se realice un proceso de comunicación entre dos o más </w:t>
      </w:r>
      <w:r w:rsidR="003F698A" w:rsidRPr="007367BF">
        <w:t>entes?</w:t>
      </w:r>
      <w:r w:rsidRPr="007367BF">
        <w:rPr>
          <w:vertAlign w:val="superscript"/>
        </w:rPr>
        <w:footnoteReference w:id="10"/>
      </w:r>
      <w:r w:rsidRPr="007367BF">
        <w:t xml:space="preserve"> </w:t>
      </w:r>
    </w:p>
    <w:p w14:paraId="456C5027" w14:textId="3112D795" w:rsidR="00712A48" w:rsidRPr="007367BF" w:rsidRDefault="003A12AD" w:rsidP="00345B0F">
      <w:pPr>
        <w:pStyle w:val="parrafonormalbiolex"/>
      </w:pPr>
      <w:r w:rsidRPr="007367BF">
        <w:t xml:space="preserve"> </w:t>
      </w:r>
      <w:r w:rsidR="003F698A" w:rsidRPr="007367BF">
        <w:t xml:space="preserve">En respuesta a </w:t>
      </w:r>
      <w:r w:rsidR="001026CE" w:rsidRPr="007367BF">
        <w:t>las interrogantes señaladas</w:t>
      </w:r>
      <w:r w:rsidR="003F698A" w:rsidRPr="007367BF">
        <w:t xml:space="preserve"> es dable mencionar que el </w:t>
      </w:r>
      <w:r w:rsidRPr="007367BF">
        <w:t>proceso de solicitud de información involucra diversos factores y actores institucionales que intervienen de manera coordinada para garantizar el ejercicio efectivo del derecho de acceso a la información</w:t>
      </w:r>
      <w:r w:rsidR="00712A48" w:rsidRPr="007367BF">
        <w:t>:</w:t>
      </w:r>
      <w:r w:rsidR="00712A48" w:rsidRPr="007367BF">
        <w:rPr>
          <w:vertAlign w:val="superscript"/>
        </w:rPr>
        <w:footnoteReference w:id="11"/>
      </w:r>
    </w:p>
    <w:p w14:paraId="674BCAD9" w14:textId="621B9620" w:rsidR="00712A48" w:rsidRPr="00345B0F" w:rsidRDefault="00ED6AE8" w:rsidP="00345B0F">
      <w:pPr>
        <w:pStyle w:val="vietas"/>
        <w:numPr>
          <w:ilvl w:val="0"/>
          <w:numId w:val="8"/>
        </w:numPr>
        <w:spacing w:before="120" w:after="120"/>
        <w:ind w:hanging="357"/>
        <w:rPr>
          <w:sz w:val="24"/>
          <w:szCs w:val="24"/>
        </w:rPr>
      </w:pPr>
      <w:r w:rsidRPr="00345B0F">
        <w:rPr>
          <w:sz w:val="24"/>
          <w:szCs w:val="24"/>
        </w:rPr>
        <w:t>Acceso a la información</w:t>
      </w:r>
      <w:r w:rsidR="00712A48" w:rsidRPr="00345B0F">
        <w:rPr>
          <w:sz w:val="24"/>
          <w:szCs w:val="24"/>
        </w:rPr>
        <w:t xml:space="preserve">: </w:t>
      </w:r>
      <w:r w:rsidR="00D70DC8" w:rsidRPr="00345B0F">
        <w:rPr>
          <w:sz w:val="24"/>
          <w:szCs w:val="24"/>
        </w:rPr>
        <w:t>L</w:t>
      </w:r>
      <w:r w:rsidRPr="00345B0F">
        <w:rPr>
          <w:sz w:val="24"/>
          <w:szCs w:val="24"/>
        </w:rPr>
        <w:t xml:space="preserve">a solicitud de </w:t>
      </w:r>
      <w:r w:rsidR="00BF0801" w:rsidRPr="00345B0F">
        <w:rPr>
          <w:sz w:val="24"/>
          <w:szCs w:val="24"/>
        </w:rPr>
        <w:t>datos públicos</w:t>
      </w:r>
      <w:r w:rsidRPr="00345B0F">
        <w:rPr>
          <w:sz w:val="24"/>
          <w:szCs w:val="24"/>
        </w:rPr>
        <w:t xml:space="preserve"> se podrá </w:t>
      </w:r>
      <w:r w:rsidR="00BF0801" w:rsidRPr="00345B0F">
        <w:rPr>
          <w:sz w:val="24"/>
          <w:szCs w:val="24"/>
        </w:rPr>
        <w:t>presentar directamente</w:t>
      </w:r>
      <w:r w:rsidR="00712A48" w:rsidRPr="00345B0F">
        <w:rPr>
          <w:sz w:val="24"/>
          <w:szCs w:val="24"/>
        </w:rPr>
        <w:t xml:space="preserve"> ante la unidad de transparencia</w:t>
      </w:r>
      <w:r w:rsidRPr="00345B0F">
        <w:rPr>
          <w:sz w:val="24"/>
          <w:szCs w:val="24"/>
        </w:rPr>
        <w:t xml:space="preserve"> </w:t>
      </w:r>
      <w:r w:rsidR="00BF0801" w:rsidRPr="00345B0F">
        <w:rPr>
          <w:sz w:val="24"/>
          <w:szCs w:val="24"/>
        </w:rPr>
        <w:t>responsable</w:t>
      </w:r>
      <w:r w:rsidRPr="00345B0F">
        <w:rPr>
          <w:sz w:val="24"/>
          <w:szCs w:val="24"/>
        </w:rPr>
        <w:t xml:space="preserve"> de </w:t>
      </w:r>
      <w:r w:rsidR="00BF0801" w:rsidRPr="00345B0F">
        <w:rPr>
          <w:sz w:val="24"/>
          <w:szCs w:val="24"/>
        </w:rPr>
        <w:t>su resguardo</w:t>
      </w:r>
      <w:r w:rsidRPr="00345B0F">
        <w:rPr>
          <w:sz w:val="24"/>
          <w:szCs w:val="24"/>
        </w:rPr>
        <w:t xml:space="preserve"> o</w:t>
      </w:r>
      <w:r w:rsidR="00712A48" w:rsidRPr="00345B0F">
        <w:rPr>
          <w:sz w:val="24"/>
          <w:szCs w:val="24"/>
        </w:rPr>
        <w:t xml:space="preserve"> </w:t>
      </w:r>
      <w:r w:rsidR="00BF0801" w:rsidRPr="00345B0F">
        <w:rPr>
          <w:sz w:val="24"/>
          <w:szCs w:val="24"/>
        </w:rPr>
        <w:t xml:space="preserve">bien a través de </w:t>
      </w:r>
      <w:r w:rsidR="00712A48" w:rsidRPr="00345B0F">
        <w:rPr>
          <w:sz w:val="24"/>
          <w:szCs w:val="24"/>
        </w:rPr>
        <w:t>la plataforma nacional de transparencia.</w:t>
      </w:r>
    </w:p>
    <w:p w14:paraId="15F5475C" w14:textId="62F7F481" w:rsidR="00ED6AE8" w:rsidRPr="00345B0F" w:rsidRDefault="00712A48" w:rsidP="00345B0F">
      <w:pPr>
        <w:pStyle w:val="vietas"/>
        <w:numPr>
          <w:ilvl w:val="0"/>
          <w:numId w:val="8"/>
        </w:numPr>
        <w:spacing w:before="120" w:after="120"/>
        <w:ind w:hanging="357"/>
        <w:rPr>
          <w:sz w:val="24"/>
          <w:szCs w:val="24"/>
        </w:rPr>
      </w:pPr>
      <w:r w:rsidRPr="00345B0F">
        <w:rPr>
          <w:sz w:val="24"/>
          <w:szCs w:val="24"/>
        </w:rPr>
        <w:lastRenderedPageBreak/>
        <w:t xml:space="preserve">La ciudadanía:  </w:t>
      </w:r>
      <w:r w:rsidR="00BF0801" w:rsidRPr="00345B0F">
        <w:rPr>
          <w:sz w:val="24"/>
          <w:szCs w:val="24"/>
        </w:rPr>
        <w:t>comprende a todas las personas que habitan en el país y que están facultadas para ejercer su derecho de acceso a la información mediante la búsqueda, divulgación y obtención de datos de carácter público.</w:t>
      </w:r>
    </w:p>
    <w:p w14:paraId="0F0C8D92" w14:textId="7E9D8EF1" w:rsidR="00712A48" w:rsidRPr="00345B0F" w:rsidRDefault="00F83E0E" w:rsidP="00345B0F">
      <w:pPr>
        <w:pStyle w:val="vietas"/>
        <w:numPr>
          <w:ilvl w:val="0"/>
          <w:numId w:val="8"/>
        </w:numPr>
        <w:spacing w:before="120" w:after="120"/>
        <w:ind w:hanging="357"/>
        <w:rPr>
          <w:sz w:val="24"/>
          <w:szCs w:val="24"/>
        </w:rPr>
      </w:pPr>
      <w:r w:rsidRPr="00345B0F">
        <w:rPr>
          <w:sz w:val="24"/>
          <w:szCs w:val="24"/>
        </w:rPr>
        <w:t>S</w:t>
      </w:r>
      <w:r w:rsidR="00712A48" w:rsidRPr="00345B0F">
        <w:rPr>
          <w:sz w:val="24"/>
          <w:szCs w:val="24"/>
        </w:rPr>
        <w:t xml:space="preserve">ujetos obligados: </w:t>
      </w:r>
      <w:r w:rsidR="00BF0801" w:rsidRPr="00345B0F">
        <w:rPr>
          <w:sz w:val="24"/>
          <w:szCs w:val="24"/>
        </w:rPr>
        <w:t>incluyen a cualquier entidad pública o privada, así como a individuos o colectivos que administren o utilicen recursos públicos, o que lleven a cabo actos de autoridad en los ámbitos federal, estatal o municipal. Estas instancias deben poner a disposición del público información relativa al ejercicio de sus atribuciones, responsabilidades o actividades, además de garantizar su publicación y acceso</w:t>
      </w:r>
    </w:p>
    <w:p w14:paraId="31CD83F9" w14:textId="0F6BA25D" w:rsidR="005600BE" w:rsidRPr="00345B0F" w:rsidRDefault="005600BE" w:rsidP="00345B0F">
      <w:pPr>
        <w:pStyle w:val="vietas"/>
        <w:numPr>
          <w:ilvl w:val="0"/>
          <w:numId w:val="8"/>
        </w:numPr>
        <w:spacing w:before="120" w:after="120"/>
        <w:ind w:hanging="357"/>
        <w:rPr>
          <w:sz w:val="24"/>
          <w:szCs w:val="24"/>
        </w:rPr>
      </w:pPr>
      <w:r w:rsidRPr="00345B0F">
        <w:rPr>
          <w:sz w:val="24"/>
          <w:szCs w:val="24"/>
        </w:rPr>
        <w:t xml:space="preserve">Los organismos garantes </w:t>
      </w:r>
      <w:r w:rsidR="006E37EB" w:rsidRPr="00345B0F">
        <w:rPr>
          <w:sz w:val="24"/>
          <w:szCs w:val="24"/>
        </w:rPr>
        <w:t>del derecho de acceso a la información pública</w:t>
      </w:r>
      <w:r w:rsidRPr="00345B0F">
        <w:rPr>
          <w:sz w:val="24"/>
          <w:szCs w:val="24"/>
        </w:rPr>
        <w:t xml:space="preserve">: </w:t>
      </w:r>
      <w:r w:rsidR="00D70DC8" w:rsidRPr="00345B0F">
        <w:rPr>
          <w:sz w:val="24"/>
          <w:szCs w:val="24"/>
        </w:rPr>
        <w:t>tras</w:t>
      </w:r>
      <w:r w:rsidRPr="00345B0F">
        <w:rPr>
          <w:sz w:val="24"/>
          <w:szCs w:val="24"/>
        </w:rPr>
        <w:t xml:space="preserve"> la reforma constitucional publicada en el Diario Oficial de la Federación en diciembre de 2024, fue suprimido el Instituto Nacional de Transparencia, Acceso a la Información y Protección de Datos Personales (INAI). En su lugar, se creó</w:t>
      </w:r>
      <w:r w:rsidR="00D70DC8" w:rsidRPr="00345B0F">
        <w:rPr>
          <w:sz w:val="24"/>
          <w:szCs w:val="24"/>
        </w:rPr>
        <w:t xml:space="preserve"> un </w:t>
      </w:r>
      <w:r w:rsidRPr="00345B0F">
        <w:rPr>
          <w:sz w:val="24"/>
          <w:szCs w:val="24"/>
        </w:rPr>
        <w:t xml:space="preserve">organismo público desconcentrado denominado “Transparencia para el Pueblo”, adscrito a la Secretaría de Anticorrupción y Buen Gobierno, el cual </w:t>
      </w:r>
      <w:r w:rsidR="006E37EB" w:rsidRPr="00345B0F">
        <w:rPr>
          <w:sz w:val="24"/>
          <w:szCs w:val="24"/>
        </w:rPr>
        <w:t>da inicio a sus</w:t>
      </w:r>
      <w:r w:rsidRPr="00345B0F">
        <w:rPr>
          <w:sz w:val="24"/>
          <w:szCs w:val="24"/>
        </w:rPr>
        <w:t xml:space="preserve"> funciones en marzo de 2025.</w:t>
      </w:r>
    </w:p>
    <w:p w14:paraId="744E9CC4" w14:textId="1CCD6A16" w:rsidR="005600BE" w:rsidRPr="00345B0F" w:rsidRDefault="005600BE" w:rsidP="00345B0F">
      <w:pPr>
        <w:pStyle w:val="vietas"/>
        <w:numPr>
          <w:ilvl w:val="0"/>
          <w:numId w:val="8"/>
        </w:numPr>
        <w:spacing w:before="120" w:after="120"/>
        <w:ind w:hanging="357"/>
        <w:rPr>
          <w:sz w:val="24"/>
          <w:szCs w:val="24"/>
        </w:rPr>
      </w:pPr>
      <w:r w:rsidRPr="00345B0F">
        <w:rPr>
          <w:sz w:val="24"/>
          <w:szCs w:val="24"/>
        </w:rPr>
        <w:t xml:space="preserve">En el ámbito local, las funciones que anteriormente correspondían a los organismos garantes estatales fueron </w:t>
      </w:r>
      <w:r w:rsidR="00D70DC8" w:rsidRPr="00345B0F">
        <w:rPr>
          <w:sz w:val="24"/>
          <w:szCs w:val="24"/>
        </w:rPr>
        <w:t xml:space="preserve">transferidas a </w:t>
      </w:r>
      <w:r w:rsidRPr="00345B0F">
        <w:rPr>
          <w:sz w:val="24"/>
          <w:szCs w:val="24"/>
        </w:rPr>
        <w:t>las contralorías generales o secretarías estatales de control administrativo, que ahora fungen como autoridades garantes en sus respectivas entidades federativas.</w:t>
      </w:r>
    </w:p>
    <w:p w14:paraId="26D3AE96" w14:textId="57F0C62C" w:rsidR="00712A48" w:rsidRPr="007367BF" w:rsidRDefault="00712A48" w:rsidP="00345B0F">
      <w:pPr>
        <w:pStyle w:val="parrafonormalbiolex"/>
      </w:pPr>
      <w:r w:rsidRPr="007367BF">
        <w:t xml:space="preserve">De lo transcrito, se advierte la función de cada uno de los entes que participan en el proceso de solicitud de información, sin embargo, es dable destacar la importancia de la ciudadanía en este proceso, debido a la naturaleza bilateral del derecho de acceso a la información, entre el ciudadano que solicita información y el sujeto obligado que da respuesta a la solicitud planteada, dos elementos para que el derecho a la información sea útil y efectivo para el fortalecimiento de la democracia de un Estado.  </w:t>
      </w:r>
    </w:p>
    <w:p w14:paraId="05200E7E" w14:textId="11D5B088" w:rsidR="00AF2002" w:rsidRPr="00CA542C" w:rsidRDefault="00CA4C56" w:rsidP="00345B0F">
      <w:pPr>
        <w:pStyle w:val="Nivel1BIOL"/>
        <w:rPr>
          <w:lang w:val="es-MX"/>
        </w:rPr>
      </w:pPr>
      <w:r w:rsidRPr="00CA542C">
        <w:rPr>
          <w:lang w:val="es-MX"/>
        </w:rPr>
        <w:t>II. PARTICIPACIÓN CIUDADANA</w:t>
      </w:r>
    </w:p>
    <w:p w14:paraId="4FE45987" w14:textId="4F79E689" w:rsidR="00F970EC" w:rsidRPr="007367BF" w:rsidRDefault="00BF5F9D" w:rsidP="00345B0F">
      <w:pPr>
        <w:pStyle w:val="parrafonormalbiolex"/>
      </w:pPr>
      <w:r w:rsidRPr="007367BF">
        <w:t xml:space="preserve">El concepto de ciudadanía a través del tiempo ha ido </w:t>
      </w:r>
      <w:r w:rsidR="00B951A7" w:rsidRPr="007367BF">
        <w:t>evolucionando desde su concepción jurídica hasta considerarse como la prerrogativa del individuo a tener derechos y obligaciones por residir en un determinado territorio.</w:t>
      </w:r>
      <w:r w:rsidR="005D1A5A" w:rsidRPr="007367BF">
        <w:t xml:space="preserve"> En México, tienen calidad de ciudadanos</w:t>
      </w:r>
      <w:r w:rsidR="00F82C40" w:rsidRPr="007367BF">
        <w:t xml:space="preserve"> mexicanos, las personas con 18 años cumplidos y un honesto modo de vivir</w:t>
      </w:r>
      <w:r w:rsidR="00F970EC" w:rsidRPr="007367BF">
        <w:t>.</w:t>
      </w:r>
      <w:r w:rsidR="00F970EC" w:rsidRPr="007367BF">
        <w:rPr>
          <w:rStyle w:val="Refdenotaalpie"/>
        </w:rPr>
        <w:footnoteReference w:id="12"/>
      </w:r>
    </w:p>
    <w:p w14:paraId="3D6AB47A" w14:textId="3593A4E2" w:rsidR="00EF73E1" w:rsidRPr="007367BF" w:rsidRDefault="00F970EC" w:rsidP="00345B0F">
      <w:pPr>
        <w:pStyle w:val="parrafonormalbiolex"/>
      </w:pPr>
      <w:r w:rsidRPr="007367BF">
        <w:lastRenderedPageBreak/>
        <w:t>Entre los derechos y obligaciones de los ciudadanos, el artículo 35 de la CPEUM,</w:t>
      </w:r>
      <w:r w:rsidR="00AF2002" w:rsidRPr="007367BF">
        <w:t xml:space="preserve"> señala</w:t>
      </w:r>
      <w:r w:rsidR="000B659D" w:rsidRPr="007367BF">
        <w:t xml:space="preserve"> el derecho a votar y ser votados, asociarse,</w:t>
      </w:r>
      <w:r w:rsidR="00D70DC8" w:rsidRPr="007367BF">
        <w:t xml:space="preserve"> ser nombrado funcionario público,</w:t>
      </w:r>
      <w:r w:rsidR="000B659D" w:rsidRPr="007367BF">
        <w:t xml:space="preserve"> formar parte de las fuerzas armadas, presentar iniciativas de ley y la prerrogativa de participación ciudadana</w:t>
      </w:r>
      <w:r w:rsidRPr="007367BF">
        <w:t>.</w:t>
      </w:r>
      <w:r w:rsidR="00EF73E1" w:rsidRPr="007367BF">
        <w:t xml:space="preserve"> Derechos y obligaciones </w:t>
      </w:r>
      <w:r w:rsidR="00D70DC8" w:rsidRPr="007367BF">
        <w:t>importantes el</w:t>
      </w:r>
      <w:r w:rsidR="00EF73E1" w:rsidRPr="007367BF">
        <w:t xml:space="preserve"> desarrollo social y político del ser humano,</w:t>
      </w:r>
      <w:r w:rsidR="00D70DC8" w:rsidRPr="007367BF">
        <w:t xml:space="preserve"> en lo relativo al fortalecimiento y consolidación del sistema democrático.</w:t>
      </w:r>
    </w:p>
    <w:p w14:paraId="1410BE8B" w14:textId="6E023662" w:rsidR="008D27DB" w:rsidRPr="007367BF" w:rsidRDefault="00ED312E" w:rsidP="00345B0F">
      <w:pPr>
        <w:pStyle w:val="parrafonormalbiolex"/>
      </w:pPr>
      <w:r w:rsidRPr="007367BF">
        <w:tab/>
      </w:r>
      <w:r w:rsidR="008C75B1" w:rsidRPr="007367BF">
        <w:t xml:space="preserve">Particularmente, </w:t>
      </w:r>
      <w:r w:rsidR="002D5344" w:rsidRPr="007367BF">
        <w:t>la participación ciudadana</w:t>
      </w:r>
      <w:r w:rsidR="008D27DB" w:rsidRPr="007367BF">
        <w:t xml:space="preserve"> como figura constitucional</w:t>
      </w:r>
      <w:r w:rsidR="002D5344" w:rsidRPr="007367BF">
        <w:t xml:space="preserve">, </w:t>
      </w:r>
      <w:r w:rsidR="008D27DB" w:rsidRPr="007367BF">
        <w:t>es incorporada al ordenamiento jurídico mexicano</w:t>
      </w:r>
      <w:r w:rsidR="002D5344" w:rsidRPr="007367BF">
        <w:t xml:space="preserve"> </w:t>
      </w:r>
      <w:r w:rsidR="008D27DB" w:rsidRPr="007367BF">
        <w:t xml:space="preserve">durante </w:t>
      </w:r>
      <w:r w:rsidR="002D5344" w:rsidRPr="007367BF">
        <w:t>la década de los</w:t>
      </w:r>
      <w:r w:rsidR="008D27DB" w:rsidRPr="007367BF">
        <w:t xml:space="preserve"> años</w:t>
      </w:r>
      <w:r w:rsidR="002D5344" w:rsidRPr="007367BF">
        <w:t xml:space="preserve"> noventa</w:t>
      </w:r>
      <w:r w:rsidR="008D27DB" w:rsidRPr="007367BF">
        <w:t>.</w:t>
      </w:r>
      <w:r w:rsidR="002D5344" w:rsidRPr="007367BF">
        <w:rPr>
          <w:rStyle w:val="Refdenotaalpie"/>
        </w:rPr>
        <w:footnoteReference w:id="13"/>
      </w:r>
      <w:r w:rsidR="008C75B1" w:rsidRPr="007367BF">
        <w:t xml:space="preserve"> </w:t>
      </w:r>
      <w:r w:rsidR="00977522" w:rsidRPr="007367BF">
        <w:t>Su integración</w:t>
      </w:r>
      <w:r w:rsidR="008D27DB" w:rsidRPr="007367BF">
        <w:t xml:space="preserve"> responde a las corrientes internacionales que promovían una mayor apertura gubernamental,</w:t>
      </w:r>
      <w:r w:rsidR="00977522" w:rsidRPr="007367BF">
        <w:t xml:space="preserve"> </w:t>
      </w:r>
      <w:r w:rsidR="008D27DB" w:rsidRPr="007367BF">
        <w:t>orientada a involucrar</w:t>
      </w:r>
      <w:r w:rsidR="00A3104B" w:rsidRPr="007367BF">
        <w:t xml:space="preserve"> a la población a </w:t>
      </w:r>
      <w:r w:rsidR="00CB248E" w:rsidRPr="007367BF">
        <w:t>participar</w:t>
      </w:r>
      <w:r w:rsidR="00A3104B" w:rsidRPr="007367BF">
        <w:t xml:space="preserve"> directamente en los proyectos que realiza el </w:t>
      </w:r>
      <w:r w:rsidR="00CB248E" w:rsidRPr="007367BF">
        <w:t>Estado</w:t>
      </w:r>
      <w:r w:rsidR="00FC06F8" w:rsidRPr="007367BF">
        <w:t>.</w:t>
      </w:r>
      <w:r w:rsidR="00FC06F8" w:rsidRPr="007367BF">
        <w:rPr>
          <w:rStyle w:val="Refdenotaalpie"/>
        </w:rPr>
        <w:footnoteReference w:id="14"/>
      </w:r>
      <w:r w:rsidR="00FC06F8" w:rsidRPr="007367BF">
        <w:t xml:space="preserve"> </w:t>
      </w:r>
      <w:r w:rsidR="00977522" w:rsidRPr="007367BF">
        <w:t>Lo que se traduce como la</w:t>
      </w:r>
      <w:r w:rsidR="005205B1" w:rsidRPr="007367BF">
        <w:t xml:space="preserve"> consolidación de la</w:t>
      </w:r>
      <w:r w:rsidR="00977522" w:rsidRPr="007367BF">
        <w:t xml:space="preserve"> facultad del individuo </w:t>
      </w:r>
      <w:r w:rsidR="005205B1" w:rsidRPr="007367BF">
        <w:t>para</w:t>
      </w:r>
      <w:r w:rsidR="00977522" w:rsidRPr="007367BF">
        <w:t xml:space="preserve"> ejercer mediante el derecho de participación ciudadana</w:t>
      </w:r>
      <w:r w:rsidR="005205B1" w:rsidRPr="007367BF">
        <w:t>,</w:t>
      </w:r>
      <w:r w:rsidR="00977522" w:rsidRPr="007367BF">
        <w:t xml:space="preserve"> </w:t>
      </w:r>
      <w:r w:rsidR="008D27DB" w:rsidRPr="007367BF">
        <w:t>el acceso a la información resguardada en los archivos de la administración</w:t>
      </w:r>
      <w:r w:rsidR="00345B0F">
        <w:t> </w:t>
      </w:r>
      <w:r w:rsidR="008D27DB" w:rsidRPr="007367BF">
        <w:t>pública.</w:t>
      </w:r>
    </w:p>
    <w:p w14:paraId="0319B03D" w14:textId="5B4820B1" w:rsidR="00FB1308" w:rsidRPr="007367BF" w:rsidRDefault="00FB1308" w:rsidP="00345B0F">
      <w:pPr>
        <w:pStyle w:val="parrafonormalbiolex"/>
      </w:pPr>
      <w:r w:rsidRPr="007367BF">
        <w:t>De manera</w:t>
      </w:r>
      <w:r w:rsidR="005C324A" w:rsidRPr="007367BF">
        <w:t xml:space="preserve"> específica</w:t>
      </w:r>
      <w:r w:rsidRPr="007367BF">
        <w:t xml:space="preserve"> la palabra</w:t>
      </w:r>
      <w:r w:rsidR="00C35502" w:rsidRPr="007367BF">
        <w:t xml:space="preserve"> “participar”</w:t>
      </w:r>
      <w:r w:rsidR="004D1F50" w:rsidRPr="007367BF">
        <w:t xml:space="preserve"> según la Real Academia Española, como verbo intransitivo, alude a tomar parte en algo, recibir una porción de ello o compartir y tener en común determinadas acciones o intereses con otras personas. Como verbo transitivo, se refiere a dar aviso, informar o comunicar</w:t>
      </w:r>
      <w:r w:rsidR="00C35502" w:rsidRPr="007367BF">
        <w:t>.</w:t>
      </w:r>
      <w:r w:rsidR="00C35502" w:rsidRPr="007367BF">
        <w:rPr>
          <w:rStyle w:val="Refdenotaalpie"/>
        </w:rPr>
        <w:footnoteReference w:id="15"/>
      </w:r>
      <w:r w:rsidRPr="007367BF">
        <w:t xml:space="preserve"> </w:t>
      </w:r>
      <w:r w:rsidR="00C35502" w:rsidRPr="007367BF">
        <w:t xml:space="preserve">Mientras que, el significado de “ciudadanía” es </w:t>
      </w:r>
      <w:r w:rsidR="00556452" w:rsidRPr="007367BF">
        <w:t xml:space="preserve">el </w:t>
      </w:r>
      <w:r w:rsidR="00C35502" w:rsidRPr="007367BF">
        <w:t>derecho de ciudadano</w:t>
      </w:r>
      <w:r w:rsidR="00556452" w:rsidRPr="007367BF">
        <w:t xml:space="preserve"> que es originario o residente de una ciudad y que goza de los derechos que le permiten intervenir en la vida pública y participar en el gobierno de la nación.</w:t>
      </w:r>
      <w:r w:rsidR="00C35502" w:rsidRPr="007367BF">
        <w:rPr>
          <w:rStyle w:val="Refdenotaalpie"/>
        </w:rPr>
        <w:footnoteReference w:id="16"/>
      </w:r>
    </w:p>
    <w:p w14:paraId="613C7E0C" w14:textId="21150792" w:rsidR="00FB1308" w:rsidRPr="007367BF" w:rsidRDefault="00556452" w:rsidP="00345B0F">
      <w:pPr>
        <w:pStyle w:val="parrafonormalbiolex"/>
        <w:rPr>
          <w:highlight w:val="yellow"/>
        </w:rPr>
      </w:pPr>
      <w:r w:rsidRPr="007367BF">
        <w:t>En relación con lo anterior, Alicia Ziccardi define a la participación ciudadana como el papel importante que desempeña el ciudadano en su calidad de integrante de una comunidad, interesado en los asuntos públicos, tiene por finalidad representar los intereses particulares que comparte con otros habitantes o ciudadanos que coinciden en un mismo objetivo de naturaleza pública</w:t>
      </w:r>
      <w:r w:rsidR="006E0186" w:rsidRPr="007367BF">
        <w:t>.</w:t>
      </w:r>
      <w:r w:rsidR="006E0186" w:rsidRPr="007367BF">
        <w:rPr>
          <w:rStyle w:val="Refdenotaalpie"/>
        </w:rPr>
        <w:footnoteReference w:id="17"/>
      </w:r>
      <w:r w:rsidR="00FB1308" w:rsidRPr="007367BF">
        <w:t xml:space="preserve"> </w:t>
      </w:r>
      <w:r w:rsidRPr="007367BF">
        <w:t>Esta intervención ciudadana permite que las políticas, programas y acciones gubernamentales se construyan a partir de un diálogo abierto entre la autoridad y la sociedad, favoreciendo procesos más transparentes.</w:t>
      </w:r>
    </w:p>
    <w:p w14:paraId="69DA98C6" w14:textId="5554FDCA" w:rsidR="00F31407" w:rsidRPr="007367BF" w:rsidRDefault="00F1700B" w:rsidP="00345B0F">
      <w:pPr>
        <w:pStyle w:val="parrafonormalbiolex"/>
      </w:pPr>
      <w:r w:rsidRPr="007367BF">
        <w:t xml:space="preserve">Además de la definición </w:t>
      </w:r>
      <w:r w:rsidR="00DC42CE" w:rsidRPr="007367BF">
        <w:t>men</w:t>
      </w:r>
      <w:r w:rsidR="00F31407" w:rsidRPr="007367BF">
        <w:t>cionada</w:t>
      </w:r>
      <w:r w:rsidRPr="007367BF">
        <w:t xml:space="preserve">, </w:t>
      </w:r>
      <w:r w:rsidR="00DC42CE" w:rsidRPr="007367BF">
        <w:t xml:space="preserve">la </w:t>
      </w:r>
      <w:r w:rsidR="00F31407" w:rsidRPr="007367BF">
        <w:t>participación ciudadana ha sido abordada desde diversas conceptualizaciones y enfoques, entre los cuales destacan los siguientes:</w:t>
      </w:r>
    </w:p>
    <w:p w14:paraId="572BF7C7" w14:textId="5AA696D4" w:rsidR="00F1700B" w:rsidRPr="007367BF" w:rsidRDefault="0034482B" w:rsidP="00345B0F">
      <w:pPr>
        <w:pStyle w:val="parrafonormalbiolex"/>
      </w:pPr>
      <w:r w:rsidRPr="007367BF">
        <w:t>Las manifestaciones sociales y prácticas colectivas constituyen la base organizativa mediante la cual la ciudadanía desarrolla formas de acción que influyen en la gestión pública y en la toma de decisiones sobre asuntos comunes. Estas prácticas representan un ejercicio activo de la sociedad que busca incidir en lo público desde la diversidad de intereses y enfoques existentes.</w:t>
      </w:r>
      <w:r w:rsidR="001B3197" w:rsidRPr="007367BF">
        <w:t xml:space="preserve"> Dicha acción </w:t>
      </w:r>
      <w:r w:rsidR="001B3197" w:rsidRPr="007367BF">
        <w:lastRenderedPageBreak/>
        <w:t>colectiva se relaciona directamente con la incorporación de las personas en los procesos de decisión gubernamental en los distintos niveles de gobierno. Esto supone que la participación no solo se expresa en el ámbito social, sino que también encuentra canales formales para intervenir en las decisiones estatales, reforzando con ello la legitimidad democrática. Complementándose con la respuesta individual o colectiva a las convocatorias emitidas por las autoridades. Este elemento evidencia la existencia de espacios institucionales creados por el propio Estado para facilitar la intervención ciudadana, permitiendo que las iniciativas sociales dialoguen con las estructuras</w:t>
      </w:r>
      <w:r w:rsidR="00345B0F">
        <w:t> </w:t>
      </w:r>
      <w:r w:rsidR="001B3197" w:rsidRPr="007367BF">
        <w:t>gubernamentales.</w:t>
      </w:r>
      <w:r w:rsidR="007747CB" w:rsidRPr="007367BF">
        <w:rPr>
          <w:rStyle w:val="Refdenotaalpie"/>
        </w:rPr>
        <w:footnoteReference w:id="18"/>
      </w:r>
    </w:p>
    <w:p w14:paraId="5F4C42F0" w14:textId="1A832509" w:rsidR="00AB73D9" w:rsidRPr="007367BF" w:rsidRDefault="00AB73D9" w:rsidP="00345B0F">
      <w:pPr>
        <w:pStyle w:val="parrafonormalbiolex"/>
      </w:pPr>
      <w:r w:rsidRPr="007367BF">
        <w:t>En ese sentido</w:t>
      </w:r>
      <w:r w:rsidR="00D462C4" w:rsidRPr="007367BF">
        <w:t xml:space="preserve">, podemos señalar que la participación </w:t>
      </w:r>
      <w:r w:rsidR="00EB6A8B" w:rsidRPr="007367BF">
        <w:t>ciudadana</w:t>
      </w:r>
      <w:r w:rsidR="00D462C4" w:rsidRPr="007367BF">
        <w:t xml:space="preserve"> </w:t>
      </w:r>
      <w:r w:rsidRPr="007367BF">
        <w:t xml:space="preserve">constituye un </w:t>
      </w:r>
      <w:r w:rsidR="00D462C4" w:rsidRPr="007367BF">
        <w:t xml:space="preserve">proceso de </w:t>
      </w:r>
      <w:r w:rsidR="00226FDF" w:rsidRPr="007367BF">
        <w:t>vinculación</w:t>
      </w:r>
      <w:r w:rsidR="00D462C4" w:rsidRPr="007367BF">
        <w:t xml:space="preserve"> entre el individuo y el Estado,</w:t>
      </w:r>
      <w:r w:rsidRPr="007367BF">
        <w:t xml:space="preserve"> a través del cual se establece un dialogo social orientado a influir en la formación, ejecución y evaluación de las decisiones públicas.  La participación, , en este sentido, opera como un instrumento de democratización y control social, ya que posibilita que las decisiones estatales no se desarrollen de manera unilateral, sino bajo la orientación de la opinión colectiva y el escrutinio público. Asimismo, fortalece la legitimidad del actuar gubernamental al incorporar la perspectiva de los distintos sectores sociales, promoviendo políticas más inclusivas, transparentes y acordes con las necesidades reales de la población. vínculo entre ciudadanía y Estado supone la existencia de condiciones institucionales que garanticen el acceso a la información, la apertura de espacios deliberativos y la capacidad efectiva de incidir en los asuntos públicos. De esta manera, la participación ciudadana se configura como un derecho, un deber y un elemento esencial para el funcionamiento de un sistema democrático plural y representativo.</w:t>
      </w:r>
    </w:p>
    <w:p w14:paraId="276954D9" w14:textId="65CFC4FA" w:rsidR="00D70625" w:rsidRPr="00CA542C" w:rsidRDefault="00CA4C56" w:rsidP="00345B0F">
      <w:pPr>
        <w:pStyle w:val="Nivel1BIOL"/>
        <w:rPr>
          <w:lang w:val="es-MX"/>
        </w:rPr>
      </w:pPr>
      <w:r w:rsidRPr="00CA542C">
        <w:rPr>
          <w:lang w:val="es-MX"/>
        </w:rPr>
        <w:t>III. NIVELES DE PARTICIPACIÓN CIUDADANA</w:t>
      </w:r>
    </w:p>
    <w:p w14:paraId="7FC3F769" w14:textId="7A02D0DD" w:rsidR="00F86227" w:rsidRPr="007367BF" w:rsidRDefault="00A15209" w:rsidP="00345B0F">
      <w:pPr>
        <w:pStyle w:val="parrafonormalbiolex"/>
      </w:pPr>
      <w:r w:rsidRPr="007367BF">
        <w:t xml:space="preserve">En la participación ciudadana </w:t>
      </w:r>
      <w:r w:rsidR="00F86227" w:rsidRPr="007367BF">
        <w:t xml:space="preserve">es posible identificar distintos </w:t>
      </w:r>
      <w:r w:rsidRPr="007367BF">
        <w:t>niveles</w:t>
      </w:r>
      <w:r w:rsidR="00F86227" w:rsidRPr="007367BF">
        <w:t xml:space="preserve"> que reflejan el</w:t>
      </w:r>
      <w:r w:rsidRPr="007367BF">
        <w:t xml:space="preserve"> grado de la </w:t>
      </w:r>
      <w:r w:rsidR="00F86227" w:rsidRPr="007367BF">
        <w:t xml:space="preserve">intervención </w:t>
      </w:r>
      <w:r w:rsidRPr="007367BF">
        <w:t xml:space="preserve">de la </w:t>
      </w:r>
      <w:r w:rsidR="00F86227" w:rsidRPr="007367BF">
        <w:t>sociedad</w:t>
      </w:r>
      <w:r w:rsidRPr="007367BF">
        <w:t xml:space="preserve"> en asuntos </w:t>
      </w:r>
      <w:r w:rsidR="00F86227" w:rsidRPr="007367BF">
        <w:t xml:space="preserve">de carácter </w:t>
      </w:r>
      <w:r w:rsidRPr="007367BF">
        <w:t>público.</w:t>
      </w:r>
      <w:r w:rsidRPr="007367BF">
        <w:rPr>
          <w:rStyle w:val="Refdenotaalpie"/>
        </w:rPr>
        <w:footnoteReference w:id="19"/>
      </w:r>
      <w:r w:rsidR="008A3D29" w:rsidRPr="007367BF">
        <w:t xml:space="preserve"> </w:t>
      </w:r>
      <w:r w:rsidR="00F86227" w:rsidRPr="007367BF">
        <w:t>Estos niveles permiten comprender cómo cambia la capacidad de incidencia de la ciudadanía, desde formas mínimas de acercamiento a la información gubernamental hasta mecanismos que conceden una influencia directa en la toma de decisiones. La clasificación de estos niveles resulta fundamental para el análisis jurídico, pues evidencia que la participación no es un fenómeno uniforme, sino un proceso escalonado que depende tanto de la apertura institucional del Estado como del grado de organización y movilización social. Así, cada nivel representa una modalidad específica de interacción entre el Estado y la ciudadanía, basada en diferentes derechos, procedimientos y alcances.</w:t>
      </w:r>
    </w:p>
    <w:p w14:paraId="5E3D889A" w14:textId="03708BF1" w:rsidR="00F86227" w:rsidRPr="007367BF" w:rsidRDefault="00F86227" w:rsidP="00345B0F">
      <w:pPr>
        <w:pStyle w:val="parrafonormalbiolex"/>
      </w:pPr>
      <w:r w:rsidRPr="007367BF">
        <w:lastRenderedPageBreak/>
        <w:t>Consideramos oportuno presentar las siguientes definiciones, las cuales permiten analizar de manera más precisa las modalidades de interacción entre el Estado y los ciudadanos.</w:t>
      </w:r>
      <w:r w:rsidR="006F5628" w:rsidRPr="007367BF">
        <w:rPr>
          <w:rStyle w:val="Refdenotaalpie"/>
        </w:rPr>
        <w:footnoteReference w:id="20"/>
      </w:r>
    </w:p>
    <w:p w14:paraId="72377BC5" w14:textId="41CAEB1C" w:rsidR="008A3D29" w:rsidRPr="00345B0F" w:rsidRDefault="00745CC0" w:rsidP="00345B0F">
      <w:pPr>
        <w:pStyle w:val="vietas"/>
        <w:spacing w:before="120" w:after="120"/>
        <w:rPr>
          <w:sz w:val="24"/>
          <w:szCs w:val="24"/>
        </w:rPr>
      </w:pPr>
      <w:r w:rsidRPr="00345B0F">
        <w:rPr>
          <w:sz w:val="24"/>
          <w:szCs w:val="24"/>
        </w:rPr>
        <w:t>a</w:t>
      </w:r>
      <w:r w:rsidR="008A3D29" w:rsidRPr="00345B0F">
        <w:rPr>
          <w:sz w:val="24"/>
          <w:szCs w:val="24"/>
        </w:rPr>
        <w:t>) La participación en la consulta</w:t>
      </w:r>
      <w:r w:rsidR="00CF0070" w:rsidRPr="00345B0F">
        <w:rPr>
          <w:sz w:val="24"/>
          <w:szCs w:val="24"/>
        </w:rPr>
        <w:t>. R</w:t>
      </w:r>
      <w:r w:rsidRPr="00345B0F">
        <w:rPr>
          <w:sz w:val="24"/>
          <w:szCs w:val="24"/>
        </w:rPr>
        <w:t xml:space="preserve">efiere a los mecanismos que permiten a los ciudadanos expresar su opinión respecto a las decisiones adoptadas por los entes gubernamentales, es dable señalar que estas opiniones no obligan a modificar las acciones tomadas por el Estado, sin embargo, la interacción entre sociedad y estado contribuye a legitimar las decisiones tomadas. </w:t>
      </w:r>
    </w:p>
    <w:p w14:paraId="2FFA3F63" w14:textId="39AB5C55" w:rsidR="008A3D29" w:rsidRPr="00345B0F" w:rsidRDefault="008A3D29" w:rsidP="00345B0F">
      <w:pPr>
        <w:pStyle w:val="vietas"/>
        <w:spacing w:before="120" w:after="120"/>
        <w:rPr>
          <w:sz w:val="24"/>
          <w:szCs w:val="24"/>
        </w:rPr>
      </w:pPr>
      <w:r w:rsidRPr="00345B0F">
        <w:rPr>
          <w:sz w:val="24"/>
          <w:szCs w:val="24"/>
        </w:rPr>
        <w:t xml:space="preserve"> </w:t>
      </w:r>
      <w:r w:rsidR="00745CC0" w:rsidRPr="00345B0F">
        <w:rPr>
          <w:sz w:val="24"/>
          <w:szCs w:val="24"/>
        </w:rPr>
        <w:t>b</w:t>
      </w:r>
      <w:r w:rsidRPr="00345B0F">
        <w:rPr>
          <w:sz w:val="24"/>
          <w:szCs w:val="24"/>
        </w:rPr>
        <w:t xml:space="preserve">) La participación en </w:t>
      </w:r>
      <w:r w:rsidR="00B17735" w:rsidRPr="00345B0F">
        <w:rPr>
          <w:sz w:val="24"/>
          <w:szCs w:val="24"/>
        </w:rPr>
        <w:t xml:space="preserve">la toma de decisiones,  este nivel implica que la ciudadanía disponga de mecanismos que le permitan participar activamente </w:t>
      </w:r>
      <w:r w:rsidRPr="00345B0F">
        <w:rPr>
          <w:sz w:val="24"/>
          <w:szCs w:val="24"/>
        </w:rPr>
        <w:t xml:space="preserve">en las decisiones </w:t>
      </w:r>
      <w:r w:rsidR="00B17735" w:rsidRPr="00345B0F">
        <w:rPr>
          <w:sz w:val="24"/>
          <w:szCs w:val="24"/>
        </w:rPr>
        <w:t>relacionadas con</w:t>
      </w:r>
      <w:r w:rsidRPr="00345B0F">
        <w:rPr>
          <w:sz w:val="24"/>
          <w:szCs w:val="24"/>
        </w:rPr>
        <w:t xml:space="preserve"> asuntos públicos</w:t>
      </w:r>
      <w:r w:rsidR="00B17735" w:rsidRPr="00345B0F">
        <w:rPr>
          <w:sz w:val="24"/>
          <w:szCs w:val="24"/>
        </w:rPr>
        <w:t>, de manera que sus opiniones</w:t>
      </w:r>
      <w:r w:rsidRPr="00345B0F">
        <w:rPr>
          <w:sz w:val="24"/>
          <w:szCs w:val="24"/>
        </w:rPr>
        <w:t xml:space="preserve"> pueda</w:t>
      </w:r>
      <w:r w:rsidR="00B17735" w:rsidRPr="00345B0F">
        <w:rPr>
          <w:sz w:val="24"/>
          <w:szCs w:val="24"/>
        </w:rPr>
        <w:t xml:space="preserve">n </w:t>
      </w:r>
      <w:r w:rsidRPr="00345B0F">
        <w:rPr>
          <w:sz w:val="24"/>
          <w:szCs w:val="24"/>
        </w:rPr>
        <w:t xml:space="preserve">definir </w:t>
      </w:r>
      <w:r w:rsidR="00B17735" w:rsidRPr="00345B0F">
        <w:rPr>
          <w:sz w:val="24"/>
          <w:szCs w:val="24"/>
        </w:rPr>
        <w:t>en la determinación de</w:t>
      </w:r>
      <w:r w:rsidRPr="00345B0F">
        <w:rPr>
          <w:sz w:val="24"/>
          <w:szCs w:val="24"/>
        </w:rPr>
        <w:t xml:space="preserve"> </w:t>
      </w:r>
      <w:r w:rsidR="00B17735" w:rsidRPr="00345B0F">
        <w:rPr>
          <w:sz w:val="24"/>
          <w:szCs w:val="24"/>
        </w:rPr>
        <w:t>las medidas</w:t>
      </w:r>
      <w:r w:rsidRPr="00345B0F">
        <w:rPr>
          <w:sz w:val="24"/>
          <w:szCs w:val="24"/>
        </w:rPr>
        <w:t xml:space="preserve"> tomadas. Es </w:t>
      </w:r>
      <w:r w:rsidR="00B17735" w:rsidRPr="00345B0F">
        <w:rPr>
          <w:sz w:val="24"/>
          <w:szCs w:val="24"/>
        </w:rPr>
        <w:t xml:space="preserve">este contexto, se considera la aplicación de instrumentos de democracia directa </w:t>
      </w:r>
      <w:r w:rsidRPr="00345B0F">
        <w:rPr>
          <w:sz w:val="24"/>
          <w:szCs w:val="24"/>
        </w:rPr>
        <w:t>como el plebiscito y el referéndum</w:t>
      </w:r>
      <w:r w:rsidR="00B17735" w:rsidRPr="00345B0F">
        <w:rPr>
          <w:sz w:val="24"/>
          <w:szCs w:val="24"/>
        </w:rPr>
        <w:t xml:space="preserve"> que permiten a los ciudadanos influir de manera directa en la creación de políticas públicas.</w:t>
      </w:r>
    </w:p>
    <w:p w14:paraId="7BF3A8DC" w14:textId="5927193B" w:rsidR="008A3D29" w:rsidRPr="00345B0F" w:rsidRDefault="00CF0070" w:rsidP="00345B0F">
      <w:pPr>
        <w:pStyle w:val="vietas"/>
        <w:spacing w:before="120" w:after="120"/>
        <w:rPr>
          <w:sz w:val="24"/>
          <w:szCs w:val="24"/>
          <w:highlight w:val="yellow"/>
        </w:rPr>
      </w:pPr>
      <w:r w:rsidRPr="00345B0F">
        <w:rPr>
          <w:sz w:val="24"/>
          <w:szCs w:val="24"/>
        </w:rPr>
        <w:t>c) Participación en el control. Este nivel alude a la capacidad de la ciudadanía para ejercer funciones de supervisión y evaluación sobre la labor gubernamental. Su objetivo central es verificar que las decisiones adoptadas conjuntamente por el gobierno y la sociedad hayan sido efectivamente implementadas. En este sentido, instrumentos como la revocación de mandato y los sistemas de rendición de cuentas resultan particularmente pertinentes.</w:t>
      </w:r>
    </w:p>
    <w:p w14:paraId="160A3633" w14:textId="3FAC74FB" w:rsidR="00F970EC" w:rsidRPr="00345B0F" w:rsidRDefault="008A3D29" w:rsidP="00345B0F">
      <w:pPr>
        <w:pStyle w:val="vietas"/>
        <w:spacing w:before="120" w:after="120"/>
        <w:rPr>
          <w:sz w:val="24"/>
          <w:szCs w:val="24"/>
          <w:highlight w:val="yellow"/>
        </w:rPr>
      </w:pPr>
      <w:r w:rsidRPr="00345B0F">
        <w:rPr>
          <w:sz w:val="24"/>
          <w:szCs w:val="24"/>
        </w:rPr>
        <w:t xml:space="preserve"> </w:t>
      </w:r>
      <w:r w:rsidR="005909CC" w:rsidRPr="00345B0F">
        <w:rPr>
          <w:sz w:val="24"/>
          <w:szCs w:val="24"/>
        </w:rPr>
        <w:t>d</w:t>
      </w:r>
      <w:r w:rsidRPr="00345B0F">
        <w:rPr>
          <w:sz w:val="24"/>
          <w:szCs w:val="24"/>
        </w:rPr>
        <w:t xml:space="preserve">) </w:t>
      </w:r>
      <w:r w:rsidR="005909CC" w:rsidRPr="00345B0F">
        <w:rPr>
          <w:sz w:val="24"/>
          <w:szCs w:val="24"/>
        </w:rPr>
        <w:t>Participación en la ejecución. Este nivel representa la expresión más completa de la participación ciudadana, pues integra los elementos de las etapas anteriores y exige un elevado grado de coordinación y corresponsabilidad entre las autoridades y la población.</w:t>
      </w:r>
    </w:p>
    <w:p w14:paraId="69D3456E" w14:textId="278BA88E" w:rsidR="008A3D29" w:rsidRPr="00345B0F" w:rsidRDefault="005909CC" w:rsidP="00345B0F">
      <w:pPr>
        <w:pStyle w:val="vietas"/>
        <w:spacing w:before="120" w:after="120"/>
        <w:rPr>
          <w:sz w:val="24"/>
          <w:szCs w:val="24"/>
        </w:rPr>
      </w:pPr>
      <w:r w:rsidRPr="00345B0F">
        <w:rPr>
          <w:sz w:val="24"/>
          <w:szCs w:val="24"/>
        </w:rPr>
        <w:t>e</w:t>
      </w:r>
      <w:r w:rsidR="008A3D29" w:rsidRPr="00345B0F">
        <w:rPr>
          <w:sz w:val="24"/>
          <w:szCs w:val="24"/>
        </w:rPr>
        <w:t xml:space="preserve">) </w:t>
      </w:r>
      <w:r w:rsidRPr="00345B0F">
        <w:rPr>
          <w:sz w:val="24"/>
          <w:szCs w:val="24"/>
        </w:rPr>
        <w:t>Participación en la información. Este nivel se refiere al acceso continuo y oportuno a información relativa a los asuntos públicos, elemento indispensable para conformar una ciudadanía informada y capaz de evaluar de manera crítica la actuación gubernamental.</w:t>
      </w:r>
    </w:p>
    <w:p w14:paraId="4195E425" w14:textId="19930264" w:rsidR="005909CC" w:rsidRPr="007367BF" w:rsidRDefault="005909CC" w:rsidP="00345B0F">
      <w:pPr>
        <w:pStyle w:val="parrafonormalbiolex"/>
      </w:pPr>
      <w:r w:rsidRPr="007367BF">
        <w:t>Cada uno de los niveles descritos constituye, en su expresión más acabada, un componente esencial del andamiaje conceptual y práctico de la participación ciudadana. En su conjunto, estos niveles no solo estructuran las diversas manifestaciones de intervención social en los asuntos públicos, sino que cumplen una función articuladora entre la sociedad y el Estado, fortaleciendo la legitimidad democrática y consolidando los mecanismos de control y cooperación institucional.</w:t>
      </w:r>
    </w:p>
    <w:p w14:paraId="702CEC4D" w14:textId="37CF65AF" w:rsidR="005909CC" w:rsidRPr="007367BF" w:rsidRDefault="005909CC" w:rsidP="00345B0F">
      <w:pPr>
        <w:pStyle w:val="parrafonormalbiolex"/>
      </w:pPr>
      <w:r w:rsidRPr="007367BF">
        <w:t xml:space="preserve">No obstante, resulta imprescindible enfatizar el papel nodal de la participación en la información. Desde una perspectiva jurídico-constitucional, el acceso a la información pública no es únicamente una condición habilitante para la participación; es, además, un derecho fundamental que posibilita el escrutinio social, la toma de decisiones informadas y la configuración de una </w:t>
      </w:r>
      <w:r w:rsidRPr="007367BF">
        <w:lastRenderedPageBreak/>
        <w:t>ciudadanía crítica y deliberativa. La información pública, en este sentido, se erige como un insumo indispensable para que la ciudadanía pueda ejercer plenamente sus demás facultades participativas, desde la consulta y la deliberación hasta el control y la ejecución colaborativa de políticas públicas.</w:t>
      </w:r>
    </w:p>
    <w:p w14:paraId="06722895" w14:textId="77777777" w:rsidR="005909CC" w:rsidRPr="007367BF" w:rsidRDefault="005909CC" w:rsidP="00345B0F">
      <w:pPr>
        <w:pStyle w:val="parrafonormalbiolex"/>
      </w:pPr>
      <w:r w:rsidRPr="007367BF">
        <w:t>Sin embargo, la efectividad material de este derecho enfrenta un desafío relevante: la apatía o desinterés ciudadano en solicitar información. Cuando la sociedad no ejerce activamente su facultad de requerir datos gubernamentales, el derecho de acceso a la información se ve vaciado de contenido práctico, quedando reducido a una garantía meramente formal. Desde la teoría jurídica de los derechos fundamentales, un derecho no ejercido se aproxima peligrosamente a un derecho inexistente en términos de impacto social, pues pierde su potencial transformador y limita la consolidación de una cultura de transparencia y rendición de cuentas.</w:t>
      </w:r>
    </w:p>
    <w:p w14:paraId="35EA79C0" w14:textId="5B3E3FE0" w:rsidR="005909CC" w:rsidRPr="007367BF" w:rsidRDefault="005909CC" w:rsidP="00345B0F">
      <w:pPr>
        <w:pStyle w:val="parrafonormalbiolex"/>
      </w:pPr>
      <w:r w:rsidRPr="007367BF">
        <w:t>Por ello, la participación en la información exige no solo marcos normativos robustos y autoridades garantes eficaces, sino también una ciudadanía consciente de su poder jurídico y político para solicitar, cuestionar y vigilar. Solo mediante una apropiación social activa del derecho de acceso a la información es posible asegurar que los demás niveles de participación funcionen como mecanismos reales de democratización y no como meras aspiraciones normativas.</w:t>
      </w:r>
    </w:p>
    <w:p w14:paraId="6BF9A455" w14:textId="4398E2B6" w:rsidR="00836E6E" w:rsidRPr="00CA542C" w:rsidRDefault="005909CC" w:rsidP="00345B0F">
      <w:pPr>
        <w:pStyle w:val="Nivel1BIOL"/>
        <w:rPr>
          <w:lang w:val="es-MX"/>
        </w:rPr>
      </w:pPr>
      <w:r w:rsidRPr="00CA542C">
        <w:rPr>
          <w:lang w:val="es-MX"/>
        </w:rPr>
        <w:t>IV. IMPORTANCIA DE LA PARTICIPACIÓN CIUDADANA EN EL EJERCICIO DEL DERECHO DE ACCESO A LA INFORMACIÓN PÚBLICA</w:t>
      </w:r>
    </w:p>
    <w:p w14:paraId="561A67B4" w14:textId="1A3C6C38" w:rsidR="00CC07D8" w:rsidRPr="007367BF" w:rsidRDefault="00F5441E" w:rsidP="00345B0F">
      <w:pPr>
        <w:pStyle w:val="parrafonormalbiolex"/>
      </w:pPr>
      <w:r w:rsidRPr="007367BF">
        <w:tab/>
        <w:t xml:space="preserve">La participación ciudadana </w:t>
      </w:r>
      <w:r w:rsidR="00BC1575" w:rsidRPr="007367BF">
        <w:t xml:space="preserve">constituye el mecanismo más eficaz para impulsar la transformación del quehacer público, </w:t>
      </w:r>
      <w:r w:rsidRPr="007367BF">
        <w:t>mediante el cual se cubriría el</w:t>
      </w:r>
      <w:r w:rsidR="00BC1575" w:rsidRPr="007367BF">
        <w:t xml:space="preserve"> déficit</w:t>
      </w:r>
      <w:r w:rsidRPr="007367BF">
        <w:t xml:space="preserve"> de </w:t>
      </w:r>
      <w:r w:rsidR="00BC1575" w:rsidRPr="007367BF">
        <w:t>legitimidad</w:t>
      </w:r>
      <w:r w:rsidR="00CC07D8" w:rsidRPr="007367BF">
        <w:t xml:space="preserve"> gubernamental</w:t>
      </w:r>
      <w:r w:rsidR="005D46B4" w:rsidRPr="007367BF">
        <w:t>.</w:t>
      </w:r>
      <w:r w:rsidR="005D46B4" w:rsidRPr="007367BF">
        <w:rPr>
          <w:rStyle w:val="Refdenotaalpie"/>
          <w:iCs/>
        </w:rPr>
        <w:footnoteReference w:id="21"/>
      </w:r>
      <w:r w:rsidR="00CC07D8" w:rsidRPr="007367BF">
        <w:t xml:space="preserve"> De ahí la imperiosa necesidad de fomentar una intervención ciudadana consciente, crítica, libre y responsable. No obstante, en la realidad contemporánea persisten niveles considerablemente bajos de interés social respecto del conocimiento y escrutinio de las acciones emprendidas por los entes gubernamentales que históricamente ha acompañado la función administrativa del Estado.</w:t>
      </w:r>
    </w:p>
    <w:p w14:paraId="56BE8B69" w14:textId="47273B07" w:rsidR="00CC07D8" w:rsidRPr="007367BF" w:rsidRDefault="00CC07D8" w:rsidP="00345B0F">
      <w:pPr>
        <w:pStyle w:val="parrafonormalbiolex"/>
      </w:pPr>
      <w:r w:rsidRPr="007367BF">
        <w:t>Desde una perspectiva estadística, y con fundamento en la información publicada en el portal oficial del Instituto Nacional de Transparencia, Acceso a la Información y Protección de Datos Personales (INAI), se advierte que, durante el año 2019 —específicamente hasta el mes de noviembre— se registraron 259,526 solicitudes de acceso a la información pública. Esta cifra constituye un insumo relevante para dimensionar el ejercicio efectivo del derecho de acceso a la información en México, entendido como un derecho fundamental de naturaleza instrumental que posibilita el escrutinio ciudadano respecto del actuar gubernamental.</w:t>
      </w:r>
      <w:r w:rsidRPr="007367BF">
        <w:rPr>
          <w:vertAlign w:val="superscript"/>
        </w:rPr>
        <w:footnoteReference w:id="22"/>
      </w:r>
      <w:r w:rsidRPr="007367BF">
        <w:t xml:space="preserve"> </w:t>
      </w:r>
    </w:p>
    <w:p w14:paraId="6BCAD751" w14:textId="08F5E13F" w:rsidR="00923DC5" w:rsidRPr="007367BF" w:rsidRDefault="00CC07D8" w:rsidP="00345B0F">
      <w:pPr>
        <w:pStyle w:val="parrafonormalbiolex"/>
        <w:rPr>
          <w:highlight w:val="yellow"/>
        </w:rPr>
      </w:pPr>
      <w:r w:rsidRPr="007367BF">
        <w:lastRenderedPageBreak/>
        <w:t>Con el propósito de contextualizar el alcance de dicha cifra, resulta pertinente efectuar un ejercicio comparativo que permita aproximar su magnitud en relación con la población nacional potencialmente sujeta al ejercicio de este derecho. Para ello, procedimos a consultar el número de personas inscritas en el Padrón Electoral, dado que se trata del registro administrativo más robusto y actualizado respecto de la ciudadanía mexicana en pleno goce de sus derechos político-electorales.</w:t>
      </w:r>
    </w:p>
    <w:p w14:paraId="3B68D984" w14:textId="11EFE65E" w:rsidR="00AF6BBD" w:rsidRPr="007367BF" w:rsidRDefault="00CC07D8" w:rsidP="00345B0F">
      <w:pPr>
        <w:pStyle w:val="parrafonormalbiolex"/>
      </w:pPr>
      <w:r w:rsidRPr="007367BF">
        <w:t xml:space="preserve">De conformidad con los datos publicados por el Instituto Nacional Electoral (INE) y disponibles en su portal oficial en enero de 2020, el Padrón Electoral </w:t>
      </w:r>
      <w:r w:rsidR="00B3009D" w:rsidRPr="007367BF">
        <w:t>señala</w:t>
      </w:r>
      <w:r w:rsidRPr="007367BF">
        <w:t xml:space="preserve"> a 89,715,021 ciudadanos con credencial para votar</w:t>
      </w:r>
      <w:r w:rsidR="00746126" w:rsidRPr="007367BF">
        <w:t>.</w:t>
      </w:r>
      <w:r w:rsidR="00746126" w:rsidRPr="007367BF">
        <w:rPr>
          <w:rStyle w:val="Refdenotaalpie"/>
          <w:iCs/>
        </w:rPr>
        <w:footnoteReference w:id="23"/>
      </w:r>
      <w:r w:rsidR="00746126" w:rsidRPr="007367BF">
        <w:t xml:space="preserve"> </w:t>
      </w:r>
      <w:r w:rsidRPr="007367BF">
        <w:t>Con base en esta cifra, se encuentra plenamente justificado realizar una operación aritmética destinada a determinar el número de solicitudes de acceso a la información formuladas por cada 100,000 habitantes a nivel nacional, indicador comúnmente utilizado en estudios comparativos para medir la densidad o intensidad en el ejercicio de derechos.</w:t>
      </w:r>
    </w:p>
    <w:p w14:paraId="325586EC" w14:textId="71A00B36" w:rsidR="00CC07D8" w:rsidRPr="007367BF" w:rsidRDefault="00CC07D8" w:rsidP="00345B0F">
      <w:pPr>
        <w:pStyle w:val="parrafonormalbiolex"/>
      </w:pPr>
      <w:r w:rsidRPr="007367BF">
        <w:t>Este procedimiento permite no solo dimensionar la participación ciudadana en materia de transparencia, sino también valorar la eficacia institucional en la gestión de solicitudes y, en un plano más amplio, identificar patrones sociopolíticos asociados al nivel de exigencia social frente a la rendición de cuentas. Se trata, en suma, de un ejercicio que contribuye al análisis empírico del derecho a saber, eje medular de cualquier régimen democrático que aspire a consolidar una cultura de legalidad y de control republicano del poder público.</w:t>
      </w:r>
    </w:p>
    <w:p w14:paraId="3526B77D" w14:textId="4317462A" w:rsidR="00EA4F0B" w:rsidRPr="007367BF" w:rsidRDefault="00476BF8" w:rsidP="00345B0F">
      <w:pPr>
        <w:pStyle w:val="parrafonormalbiolex"/>
      </w:pPr>
      <w:r w:rsidRPr="007367BF">
        <w:tab/>
        <w:t xml:space="preserve">Es importante destacar, </w:t>
      </w:r>
      <w:r w:rsidR="00B22231" w:rsidRPr="007367BF">
        <w:t>de acuerdo con el artículo 12</w:t>
      </w:r>
      <w:r w:rsidR="009250AB" w:rsidRPr="007367BF">
        <w:t>6</w:t>
      </w:r>
      <w:r w:rsidR="00B22231" w:rsidRPr="007367BF">
        <w:t xml:space="preserve"> de la </w:t>
      </w:r>
      <w:r w:rsidR="009250AB" w:rsidRPr="007367BF">
        <w:t>Ley General de Transparencia y Acceso a la Información Pública</w:t>
      </w:r>
      <w:r w:rsidR="00B22231" w:rsidRPr="007367BF">
        <w:t xml:space="preserve">, se establecen los siguientes requisitos para presentar una solicitud de información pública: a) nombre o seudónimo; b) medio para recibir notificaciones; </w:t>
      </w:r>
      <w:r w:rsidR="00084FA2" w:rsidRPr="007367BF">
        <w:t xml:space="preserve">c) </w:t>
      </w:r>
      <w:r w:rsidR="00B22231" w:rsidRPr="007367BF">
        <w:t xml:space="preserve">descripción de la información solicitada y </w:t>
      </w:r>
      <w:r w:rsidR="00084FA2" w:rsidRPr="007367BF">
        <w:t>d</w:t>
      </w:r>
      <w:r w:rsidR="00B22231" w:rsidRPr="007367BF">
        <w:t xml:space="preserve">) modalidad para la entrega de la </w:t>
      </w:r>
      <w:r w:rsidR="00EA4F0B" w:rsidRPr="007367BF">
        <w:t>información</w:t>
      </w:r>
      <w:r w:rsidR="00B22231" w:rsidRPr="007367BF">
        <w:t>.</w:t>
      </w:r>
      <w:r w:rsidR="00EA4F0B" w:rsidRPr="007367BF">
        <w:t xml:space="preserve"> De lo transcrito </w:t>
      </w:r>
      <w:r w:rsidR="00084FA2" w:rsidRPr="007367BF">
        <w:t>s</w:t>
      </w:r>
      <w:r w:rsidR="00EA4F0B" w:rsidRPr="007367BF">
        <w:t xml:space="preserve">e advierte que no se requiere la mayoría de edad para ejercer el </w:t>
      </w:r>
      <w:r w:rsidR="00596AF6" w:rsidRPr="007367BF">
        <w:t xml:space="preserve">derecho de </w:t>
      </w:r>
      <w:r w:rsidR="00EA4F0B" w:rsidRPr="007367BF">
        <w:t xml:space="preserve">acceso a la información, sin embargo, decidimos tomar como referencia el </w:t>
      </w:r>
      <w:r w:rsidR="00251578" w:rsidRPr="007367BF">
        <w:t>número</w:t>
      </w:r>
      <w:r w:rsidR="00EA4F0B" w:rsidRPr="007367BF">
        <w:t xml:space="preserve"> de personas inscritas al Padrón </w:t>
      </w:r>
      <w:r w:rsidR="007E7F08" w:rsidRPr="007367BF">
        <w:t>E</w:t>
      </w:r>
      <w:r w:rsidR="00EA4F0B" w:rsidRPr="007367BF">
        <w:t xml:space="preserve">lectoral, bajo la premisa de que una persona facultada para ejercer el </w:t>
      </w:r>
      <w:r w:rsidR="00596AF6" w:rsidRPr="007367BF">
        <w:t>voto</w:t>
      </w:r>
      <w:r w:rsidR="00EA4F0B" w:rsidRPr="007367BF">
        <w:t xml:space="preserve"> está en la posibilidad de</w:t>
      </w:r>
      <w:r w:rsidR="00596AF6" w:rsidRPr="007367BF">
        <w:t xml:space="preserve"> solicitar información pública.</w:t>
      </w:r>
      <w:r w:rsidR="00EA4F0B" w:rsidRPr="007367BF">
        <w:t xml:space="preserve"> </w:t>
      </w:r>
    </w:p>
    <w:p w14:paraId="0DB22CDA" w14:textId="0CBA75DA" w:rsidR="00847703" w:rsidRPr="007367BF" w:rsidRDefault="005C0E85" w:rsidP="00345B0F">
      <w:pPr>
        <w:pStyle w:val="parrafonormalbiolex"/>
      </w:pPr>
      <w:r w:rsidRPr="007367BF">
        <w:t xml:space="preserve">El ejercicio aritmético efectuado para estimar, de manera hipotética, la proporción de personas que formularon una solicitud de acceso a la información </w:t>
      </w:r>
      <w:r w:rsidR="004C7D89" w:rsidRPr="007367BF">
        <w:t xml:space="preserve">en el año 2019, </w:t>
      </w:r>
      <w:r w:rsidRPr="007367BF">
        <w:t xml:space="preserve">arroja un porcentaje </w:t>
      </w:r>
      <w:r w:rsidR="00596AF6" w:rsidRPr="007367BF">
        <w:t>del 0.3</w:t>
      </w:r>
      <w:r w:rsidRPr="007367BF">
        <w:t xml:space="preserve"> % </w:t>
      </w:r>
      <w:r w:rsidR="00596AF6" w:rsidRPr="007367BF">
        <w:t>de la población</w:t>
      </w:r>
      <w:r w:rsidRPr="007367BF">
        <w:t xml:space="preserve">. </w:t>
      </w:r>
      <w:r w:rsidR="00596AF6" w:rsidRPr="007367BF">
        <w:t xml:space="preserve"> esto </w:t>
      </w:r>
      <w:r w:rsidRPr="007367BF">
        <w:t>implica q</w:t>
      </w:r>
      <w:r w:rsidR="00596AF6" w:rsidRPr="007367BF">
        <w:t>ue</w:t>
      </w:r>
      <w:r w:rsidRPr="007367BF">
        <w:t xml:space="preserve">, </w:t>
      </w:r>
      <w:r w:rsidR="00596AF6" w:rsidRPr="007367BF">
        <w:t xml:space="preserve"> por cada 100, 000</w:t>
      </w:r>
      <w:r w:rsidR="008A69D5" w:rsidRPr="007367BF">
        <w:t xml:space="preserve"> </w:t>
      </w:r>
      <w:r w:rsidR="00596AF6" w:rsidRPr="007367BF">
        <w:t>habitantes, se presentaron 300 solicitudes.</w:t>
      </w:r>
      <w:r w:rsidR="004C7D89" w:rsidRPr="007367BF">
        <w:t xml:space="preserve"> Esta cifra ofrece un punto de </w:t>
      </w:r>
      <w:r w:rsidR="005E2DFC" w:rsidRPr="007367BF">
        <w:t>referencia para conocer</w:t>
      </w:r>
      <w:r w:rsidR="005C5798" w:rsidRPr="007367BF">
        <w:t xml:space="preserve">, la reducida participación </w:t>
      </w:r>
      <w:r w:rsidR="00847703" w:rsidRPr="007367BF">
        <w:t xml:space="preserve">ciudadana interesada en </w:t>
      </w:r>
      <w:r w:rsidR="005C5798" w:rsidRPr="007367BF">
        <w:t>solicitar</w:t>
      </w:r>
      <w:r w:rsidR="00847703" w:rsidRPr="007367BF">
        <w:t xml:space="preserve"> información pública,</w:t>
      </w:r>
      <w:r w:rsidR="005C5798" w:rsidRPr="007367BF">
        <w:t xml:space="preserve"> evidencia una insuficiente difusión</w:t>
      </w:r>
      <w:r w:rsidR="004A2755" w:rsidRPr="007367BF">
        <w:t xml:space="preserve"> de </w:t>
      </w:r>
      <w:r w:rsidR="005C5798" w:rsidRPr="007367BF">
        <w:t>información</w:t>
      </w:r>
      <w:r w:rsidR="004A2755" w:rsidRPr="007367BF">
        <w:t xml:space="preserve"> de gubernamental,</w:t>
      </w:r>
      <w:r w:rsidR="005C5798" w:rsidRPr="007367BF">
        <w:t xml:space="preserve"> esta circunstancia resulta particularmente preocupante a medida en que la sociedad manifiesta un interés limitado por someter al escrutinio la actuación del estado, </w:t>
      </w:r>
      <w:r w:rsidR="004A2755" w:rsidRPr="007367BF">
        <w:t xml:space="preserve">prevalece la discrecionalidad </w:t>
      </w:r>
      <w:r w:rsidR="005C5798" w:rsidRPr="007367BF">
        <w:t>en el ejercicio de la función pública</w:t>
      </w:r>
      <w:r w:rsidR="004A2755" w:rsidRPr="007367BF">
        <w:t>.</w:t>
      </w:r>
    </w:p>
    <w:p w14:paraId="0F586B47" w14:textId="24A424C3" w:rsidR="00110BA2" w:rsidRPr="007367BF" w:rsidRDefault="00110BA2" w:rsidP="00345B0F">
      <w:pPr>
        <w:pStyle w:val="parrafonormalbiolex"/>
      </w:pPr>
      <w:r w:rsidRPr="007367BF">
        <w:lastRenderedPageBreak/>
        <w:t xml:space="preserve">En tal contexto, se vuelve imperativo que los órganos garantes </w:t>
      </w:r>
      <w:r w:rsidR="000037DA" w:rsidRPr="007367BF">
        <w:t xml:space="preserve">del derecho de acceso a la información, </w:t>
      </w:r>
      <w:r w:rsidRPr="007367BF">
        <w:t>intensifiquen sus esfuerzos institucionales para asegurar el cumplimiento a lo s</w:t>
      </w:r>
      <w:r w:rsidR="00A85718" w:rsidRPr="007367BF">
        <w:t>eñalado en el artículo 4</w:t>
      </w:r>
      <w:r w:rsidRPr="007367BF">
        <w:t>7</w:t>
      </w:r>
      <w:r w:rsidR="00A85718" w:rsidRPr="007367BF">
        <w:t xml:space="preserve"> de la Ley General de Transparencia y Acceso a </w:t>
      </w:r>
      <w:r w:rsidRPr="007367BF">
        <w:t>l</w:t>
      </w:r>
      <w:r w:rsidR="00A85718" w:rsidRPr="007367BF">
        <w:t xml:space="preserve">a Información Pública, </w:t>
      </w:r>
      <w:r w:rsidRPr="007367BF">
        <w:t>ello implica no solo fortalecer las acciones orientadas a la promoción y difusión del ejercicio de este derecho fundamental. Dino también garantizar al gobernado conozca de los mecanismos, procedimientos y herramientas para formular solicitudes de información.</w:t>
      </w:r>
    </w:p>
    <w:p w14:paraId="4315551D" w14:textId="4CE9BEC1" w:rsidR="000F5254" w:rsidRPr="007367BF" w:rsidRDefault="00E22BE9" w:rsidP="00345B0F">
      <w:pPr>
        <w:pStyle w:val="parrafonormalbiolex"/>
        <w:rPr>
          <w:highlight w:val="yellow"/>
        </w:rPr>
      </w:pPr>
      <w:r w:rsidRPr="007367BF">
        <w:t xml:space="preserve">Por ello, el acceso a la información </w:t>
      </w:r>
      <w:r w:rsidR="0021068A" w:rsidRPr="007367BF">
        <w:t xml:space="preserve">pública, entendido como una manifestación esencial del del derecho de acceso a la información, constituye una de las herramientas ciudadanas más valiosa para </w:t>
      </w:r>
      <w:r w:rsidR="000F5254" w:rsidRPr="007367BF">
        <w:t>para disminuir la discrecionalidad gubernamental.</w:t>
      </w:r>
      <w:r w:rsidR="0021068A" w:rsidRPr="007367BF">
        <w:t xml:space="preserve"> Una sociedad debidamente informada no solo </w:t>
      </w:r>
      <w:r w:rsidR="000F5254" w:rsidRPr="007367BF">
        <w:t xml:space="preserve">es un </w:t>
      </w:r>
      <w:r w:rsidR="0021068A" w:rsidRPr="007367BF">
        <w:t>contrapeso</w:t>
      </w:r>
      <w:r w:rsidR="000F5254" w:rsidRPr="007367BF">
        <w:t xml:space="preserve"> para disminuir el ilegal actuar del Estado, </w:t>
      </w:r>
      <w:r w:rsidR="0021068A" w:rsidRPr="007367BF">
        <w:t>sino que además trasciende al convertirse en un elemento indispensable para la construcción de políticas públicas orientadas al bienestar socia</w:t>
      </w:r>
      <w:r w:rsidR="002604F8" w:rsidRPr="007367BF">
        <w:t>l</w:t>
      </w:r>
      <w:r w:rsidR="000F5254" w:rsidRPr="007367BF">
        <w:t>.</w:t>
      </w:r>
      <w:r w:rsidR="000F5254" w:rsidRPr="007367BF">
        <w:rPr>
          <w:rStyle w:val="Refdenotaalpie"/>
          <w:iCs/>
        </w:rPr>
        <w:footnoteReference w:id="24"/>
      </w:r>
    </w:p>
    <w:p w14:paraId="3683BE03" w14:textId="5F0E5F44" w:rsidR="00D66F8C" w:rsidRPr="007367BF" w:rsidRDefault="006E37EB" w:rsidP="00345B0F">
      <w:pPr>
        <w:pStyle w:val="parrafonormalbiolex"/>
      </w:pPr>
      <w:r w:rsidRPr="007367BF">
        <w:t>Una sociedad debidamente informada, integrada por ciudadanos que ejercen activamente su derecho de acceso a la información pública, contribuye de manera decisiva al fortalecimiento de la transparencia, al control institucional y a la evaluación estricta de la gestión estatal. En consecuencia, se consolida una difusión eficaz de la información gubernamental, orientada a disminuir la opacidad del poder público, contener el ejercicio discrecional de la autoridad y prevenir eventuales desviaciones o abusos en su actuación.</w:t>
      </w:r>
      <w:r w:rsidR="00251578" w:rsidRPr="007367BF">
        <w:rPr>
          <w:rStyle w:val="Refdenotaalpie"/>
          <w:iCs/>
        </w:rPr>
        <w:footnoteReference w:id="25"/>
      </w:r>
      <w:r w:rsidR="00BF6F9C" w:rsidRPr="007367BF">
        <w:t xml:space="preserve"> </w:t>
      </w:r>
    </w:p>
    <w:p w14:paraId="4D061998" w14:textId="73D15C29" w:rsidR="00BF6F9C" w:rsidRPr="00CA542C" w:rsidRDefault="00CA4C56" w:rsidP="00345B0F">
      <w:pPr>
        <w:pStyle w:val="Nivel1BIOL"/>
        <w:rPr>
          <w:lang w:val="es-MX"/>
        </w:rPr>
      </w:pPr>
      <w:r w:rsidRPr="00CA542C">
        <w:rPr>
          <w:lang w:val="es-MX"/>
        </w:rPr>
        <w:t>V. CONSIDERACIONES FINALES</w:t>
      </w:r>
    </w:p>
    <w:p w14:paraId="5028C1E3" w14:textId="2E986627" w:rsidR="003F6953" w:rsidRDefault="006E37EB" w:rsidP="00345B0F">
      <w:pPr>
        <w:pStyle w:val="parrafonormalbiolex"/>
      </w:pPr>
      <w:r w:rsidRPr="007367BF">
        <w:t>El derecho de participación ciudadana constituye una prerrogativa esencial para la integración activa del individuo con los entes gubernamentales, al permitir una injerencia directa y consciente en la relación con el Estado. En este marco, resulta pertinente plantear la siguiente interrogante: ¿es la participación ciudadana un instrumento idóneo para vigilar y conocer la gestión de quienes ejercen el poder público? La respuesta es afirmativa. Desde una perspectiva jurídico-institucional, la participación ciudadana, cuando se articula de manera efectiva con el derecho de acceso a la información pública, opera como un factor que restringe la discrecionalidad en el ejercicio del poder gubernamental. Esta interacción genera un régimen de publicidad de la información estatal que favorece la formación de una ciudadanía informada y crítica; en consecuencia, el gobernado adquiere la capacidad real de interpelar la actuación administrativa, formular objeciones fundadas y exigir la rendición de cuentas a la administración pública.</w:t>
      </w:r>
    </w:p>
    <w:p w14:paraId="7796ED09" w14:textId="77777777" w:rsidR="00CA542C" w:rsidRDefault="00CA542C" w:rsidP="00345B0F">
      <w:pPr>
        <w:pStyle w:val="parrafonormalbiolex"/>
      </w:pPr>
    </w:p>
    <w:p w14:paraId="3318FF54" w14:textId="77777777" w:rsidR="00CA542C" w:rsidRDefault="00CA542C" w:rsidP="00345B0F">
      <w:pPr>
        <w:pStyle w:val="parrafonormalbiolex"/>
      </w:pPr>
    </w:p>
    <w:p w14:paraId="0E70D502" w14:textId="77777777" w:rsidR="00CA542C" w:rsidRPr="007367BF" w:rsidRDefault="00CA542C" w:rsidP="00345B0F">
      <w:pPr>
        <w:pStyle w:val="parrafonormalbiolex"/>
      </w:pPr>
    </w:p>
    <w:p w14:paraId="09F91C95" w14:textId="1A9C075A" w:rsidR="008A0E85" w:rsidRPr="00CA542C" w:rsidRDefault="001041C2" w:rsidP="00345B0F">
      <w:pPr>
        <w:pStyle w:val="Nivel1BIOL"/>
        <w:rPr>
          <w:lang w:val="es-MX"/>
        </w:rPr>
      </w:pPr>
      <w:r w:rsidRPr="00CA542C">
        <w:rPr>
          <w:lang w:val="es-MX"/>
        </w:rPr>
        <w:lastRenderedPageBreak/>
        <w:t>VI. Fuentes consultadas</w:t>
      </w:r>
    </w:p>
    <w:p w14:paraId="65541452" w14:textId="77777777" w:rsidR="0083358E" w:rsidRPr="0083358E" w:rsidRDefault="0083358E" w:rsidP="00345B0F">
      <w:pPr>
        <w:pStyle w:val="BIOLRefer"/>
        <w:rPr>
          <w:lang w:eastAsia="zh-CN"/>
        </w:rPr>
      </w:pPr>
      <w:r w:rsidRPr="0083358E">
        <w:rPr>
          <w:lang w:eastAsia="zh-CN"/>
        </w:rPr>
        <w:t xml:space="preserve">Carbonell Sánchez, Miguel. </w:t>
      </w:r>
      <w:r w:rsidRPr="0083358E">
        <w:rPr>
          <w:i/>
          <w:iCs/>
          <w:lang w:eastAsia="zh-CN"/>
        </w:rPr>
        <w:t>Derecho a la información y derechos humanos</w:t>
      </w:r>
      <w:r w:rsidRPr="0083358E">
        <w:rPr>
          <w:lang w:eastAsia="zh-CN"/>
        </w:rPr>
        <w:t>. México: Instituto de Investigaciones Jurídicas de la Universidad Nacional Autónoma de México, 2000.</w:t>
      </w:r>
    </w:p>
    <w:p w14:paraId="659C7410" w14:textId="77777777" w:rsidR="0083358E" w:rsidRPr="0083358E" w:rsidRDefault="0083358E" w:rsidP="00345B0F">
      <w:pPr>
        <w:pStyle w:val="BIOLRefer"/>
        <w:rPr>
          <w:lang w:eastAsia="zh-CN"/>
        </w:rPr>
      </w:pPr>
      <w:r w:rsidRPr="0083358E">
        <w:rPr>
          <w:lang w:eastAsia="zh-CN"/>
        </w:rPr>
        <w:t xml:space="preserve">Centro de Estudios Sociales y de Opinión Pública (CESOP). </w:t>
      </w:r>
      <w:r w:rsidRPr="0083358E">
        <w:rPr>
          <w:i/>
          <w:iCs/>
          <w:lang w:eastAsia="zh-CN"/>
        </w:rPr>
        <w:t>Cámara de Diputados</w:t>
      </w:r>
      <w:r w:rsidRPr="0083358E">
        <w:rPr>
          <w:lang w:eastAsia="zh-CN"/>
        </w:rPr>
        <w:t xml:space="preserve">. </w:t>
      </w:r>
      <w:hyperlink r:id="rId8" w:tgtFrame="_new" w:history="1">
        <w:r w:rsidRPr="0083358E">
          <w:rPr>
            <w:color w:val="0000FF"/>
            <w:u w:val="single"/>
            <w:lang w:eastAsia="zh-CN"/>
          </w:rPr>
          <w:t>https://www.diputados.gob.mx/Centros_Estudio/Cesop</w:t>
        </w:r>
      </w:hyperlink>
      <w:r w:rsidRPr="0083358E">
        <w:rPr>
          <w:lang w:eastAsia="zh-CN"/>
        </w:rPr>
        <w:t>.</w:t>
      </w:r>
    </w:p>
    <w:p w14:paraId="3E1D87B1" w14:textId="77777777" w:rsidR="0083358E" w:rsidRPr="0083358E" w:rsidRDefault="0083358E" w:rsidP="00345B0F">
      <w:pPr>
        <w:pStyle w:val="BIOLRefer"/>
        <w:rPr>
          <w:lang w:eastAsia="zh-CN"/>
        </w:rPr>
      </w:pPr>
      <w:r w:rsidRPr="0083358E">
        <w:rPr>
          <w:lang w:eastAsia="zh-CN"/>
        </w:rPr>
        <w:t xml:space="preserve">Centro de Excelencia UNODC-INEGI. </w:t>
      </w:r>
      <w:hyperlink r:id="rId9" w:tgtFrame="_new" w:history="1">
        <w:r w:rsidRPr="0083358E">
          <w:rPr>
            <w:color w:val="0000FF"/>
            <w:u w:val="single"/>
            <w:lang w:eastAsia="zh-CN"/>
          </w:rPr>
          <w:t>https://www.cdeunodc.inegi.org.mx</w:t>
        </w:r>
      </w:hyperlink>
      <w:r w:rsidRPr="0083358E">
        <w:rPr>
          <w:lang w:eastAsia="zh-CN"/>
        </w:rPr>
        <w:t>.</w:t>
      </w:r>
    </w:p>
    <w:p w14:paraId="0DEB7123" w14:textId="77777777" w:rsidR="0083358E" w:rsidRPr="0083358E" w:rsidRDefault="0083358E" w:rsidP="00345B0F">
      <w:pPr>
        <w:pStyle w:val="BIOLRefer"/>
        <w:rPr>
          <w:lang w:eastAsia="zh-CN"/>
        </w:rPr>
      </w:pPr>
      <w:r w:rsidRPr="0083358E">
        <w:rPr>
          <w:lang w:eastAsia="zh-CN"/>
        </w:rPr>
        <w:t>Constitución Política de los Estados Unidos Mexicanos.</w:t>
      </w:r>
    </w:p>
    <w:p w14:paraId="1C600B68" w14:textId="77777777" w:rsidR="0083358E" w:rsidRPr="0083358E" w:rsidRDefault="0083358E" w:rsidP="00345B0F">
      <w:pPr>
        <w:pStyle w:val="BIOLRefer"/>
        <w:rPr>
          <w:lang w:eastAsia="zh-CN"/>
        </w:rPr>
      </w:pPr>
      <w:r w:rsidRPr="0083358E">
        <w:rPr>
          <w:lang w:eastAsia="zh-CN"/>
        </w:rPr>
        <w:t xml:space="preserve">Cossío Díaz, José Ramón. </w:t>
      </w:r>
      <w:r w:rsidRPr="0083358E">
        <w:rPr>
          <w:i/>
          <w:iCs/>
          <w:lang w:eastAsia="zh-CN"/>
        </w:rPr>
        <w:t>Cambio social y cambio jurídico</w:t>
      </w:r>
      <w:r w:rsidRPr="0083358E">
        <w:rPr>
          <w:lang w:eastAsia="zh-CN"/>
        </w:rPr>
        <w:t>. México: Porrúa, 2001.</w:t>
      </w:r>
    </w:p>
    <w:p w14:paraId="2BA25765" w14:textId="77777777" w:rsidR="0083358E" w:rsidRPr="0083358E" w:rsidRDefault="0083358E" w:rsidP="00345B0F">
      <w:pPr>
        <w:pStyle w:val="BIOLRefer"/>
        <w:rPr>
          <w:lang w:eastAsia="zh-CN"/>
        </w:rPr>
      </w:pPr>
      <w:r w:rsidRPr="0083358E">
        <w:rPr>
          <w:lang w:eastAsia="zh-CN"/>
        </w:rPr>
        <w:t xml:space="preserve">Hernández, María Luisa, y Juan Pablo Álvarez. </w:t>
      </w:r>
      <w:r w:rsidRPr="0083358E">
        <w:rPr>
          <w:i/>
          <w:iCs/>
          <w:lang w:eastAsia="zh-CN"/>
        </w:rPr>
        <w:t>La transparencia y el acceso a la información en México</w:t>
      </w:r>
      <w:r w:rsidRPr="0083358E">
        <w:rPr>
          <w:lang w:eastAsia="zh-CN"/>
        </w:rPr>
        <w:t>. México: Tirant lo Blanch, 2015.</w:t>
      </w:r>
    </w:p>
    <w:p w14:paraId="0DFF8387" w14:textId="77777777" w:rsidR="0083358E" w:rsidRPr="00CA542C" w:rsidRDefault="0083358E" w:rsidP="00345B0F">
      <w:pPr>
        <w:pStyle w:val="BIOLRefer"/>
        <w:jc w:val="left"/>
        <w:rPr>
          <w:lang w:eastAsia="zh-CN"/>
        </w:rPr>
      </w:pPr>
      <w:proofErr w:type="spellStart"/>
      <w:r w:rsidRPr="0083358E">
        <w:rPr>
          <w:lang w:eastAsia="zh-CN"/>
        </w:rPr>
        <w:t>Ichitaip</w:t>
      </w:r>
      <w:proofErr w:type="spellEnd"/>
      <w:r w:rsidRPr="0083358E">
        <w:rPr>
          <w:lang w:eastAsia="zh-CN"/>
        </w:rPr>
        <w:t xml:space="preserve">. “El acceso a la información como derecho fundamental.” </w:t>
      </w:r>
      <w:hyperlink r:id="rId10" w:tgtFrame="_new" w:history="1">
        <w:r w:rsidRPr="00CA542C">
          <w:rPr>
            <w:color w:val="0000FF"/>
            <w:u w:val="single"/>
            <w:lang w:eastAsia="zh-CN"/>
          </w:rPr>
          <w:t>http://www.ichitaip.org/infoweb/archivos/ensayos/ai_derecho_fundamental.pdf</w:t>
        </w:r>
      </w:hyperlink>
      <w:r w:rsidRPr="00CA542C">
        <w:rPr>
          <w:lang w:eastAsia="zh-CN"/>
        </w:rPr>
        <w:t>.</w:t>
      </w:r>
    </w:p>
    <w:p w14:paraId="1E65909C" w14:textId="77777777" w:rsidR="0083358E" w:rsidRPr="00CA542C" w:rsidRDefault="0083358E" w:rsidP="00345B0F">
      <w:pPr>
        <w:pStyle w:val="BIOLRefer"/>
        <w:rPr>
          <w:lang w:eastAsia="zh-CN"/>
        </w:rPr>
      </w:pPr>
      <w:r w:rsidRPr="0083358E">
        <w:rPr>
          <w:lang w:eastAsia="zh-CN"/>
        </w:rPr>
        <w:t xml:space="preserve">Instituto Nacional Electoral. “Estadísticas Lista Nominal y Padrón Electoral.” </w:t>
      </w:r>
      <w:hyperlink r:id="rId11" w:tgtFrame="_new" w:history="1">
        <w:r w:rsidRPr="00CA542C">
          <w:rPr>
            <w:color w:val="0000FF"/>
            <w:u w:val="single"/>
            <w:lang w:eastAsia="zh-CN"/>
          </w:rPr>
          <w:t>https://www.ine.mx/credencial/estadisticas-lista-nominal-padron-electoral/</w:t>
        </w:r>
      </w:hyperlink>
      <w:r w:rsidRPr="00CA542C">
        <w:rPr>
          <w:lang w:eastAsia="zh-CN"/>
        </w:rPr>
        <w:t>.</w:t>
      </w:r>
    </w:p>
    <w:p w14:paraId="39697DD9" w14:textId="77777777" w:rsidR="0083358E" w:rsidRPr="0083358E" w:rsidRDefault="0083358E" w:rsidP="00345B0F">
      <w:pPr>
        <w:pStyle w:val="BIOLRefer"/>
        <w:rPr>
          <w:lang w:eastAsia="zh-CN"/>
        </w:rPr>
      </w:pPr>
      <w:r w:rsidRPr="0083358E">
        <w:rPr>
          <w:lang w:eastAsia="zh-CN"/>
        </w:rPr>
        <w:t xml:space="preserve">López Ayllón, Sergio. </w:t>
      </w:r>
      <w:r w:rsidRPr="0083358E">
        <w:rPr>
          <w:i/>
          <w:iCs/>
          <w:lang w:eastAsia="zh-CN"/>
        </w:rPr>
        <w:t>El derecho a la información como derecho fundamental</w:t>
      </w:r>
      <w:r w:rsidRPr="0083358E">
        <w:rPr>
          <w:lang w:eastAsia="zh-CN"/>
        </w:rPr>
        <w:t>. Coordinado por Jorge Carpizo y Miguel Carbonell. México: Instituto de Investigaciones Jurídicas de la Universidad Nacional Autónoma de México, 2009.</w:t>
      </w:r>
    </w:p>
    <w:p w14:paraId="1F0DCB1F" w14:textId="77777777" w:rsidR="0083358E" w:rsidRPr="0083358E" w:rsidRDefault="0083358E" w:rsidP="00345B0F">
      <w:pPr>
        <w:pStyle w:val="BIOLRefer"/>
        <w:rPr>
          <w:lang w:eastAsia="zh-CN"/>
        </w:rPr>
      </w:pPr>
      <w:r w:rsidRPr="0083358E">
        <w:rPr>
          <w:lang w:eastAsia="zh-CN"/>
        </w:rPr>
        <w:t xml:space="preserve">López Ayllón, Sergio. </w:t>
      </w:r>
      <w:r w:rsidRPr="0083358E">
        <w:rPr>
          <w:i/>
          <w:iCs/>
          <w:lang w:eastAsia="zh-CN"/>
        </w:rPr>
        <w:t>La creación de la ley de acceso a la información en México: una perspectiva desde el Ejecutivo federal</w:t>
      </w:r>
      <w:r w:rsidRPr="0083358E">
        <w:rPr>
          <w:lang w:eastAsia="zh-CN"/>
        </w:rPr>
        <w:t>. Coordinado por Hugo A., Sergio L. y Lucy T. México: Instituto de Investigaciones Jurídicas de la Universidad Nacional Autónoma de México, 2002.</w:t>
      </w:r>
    </w:p>
    <w:p w14:paraId="6F361D34" w14:textId="77777777" w:rsidR="0083358E" w:rsidRPr="0083358E" w:rsidRDefault="0083358E" w:rsidP="00345B0F">
      <w:pPr>
        <w:pStyle w:val="BIOLRefer"/>
        <w:rPr>
          <w:lang w:eastAsia="zh-CN"/>
        </w:rPr>
      </w:pPr>
      <w:r w:rsidRPr="0083358E">
        <w:rPr>
          <w:lang w:eastAsia="zh-CN"/>
        </w:rPr>
        <w:t xml:space="preserve">López Olvera, Miguel Alejandro. </w:t>
      </w:r>
      <w:r w:rsidRPr="0083358E">
        <w:rPr>
          <w:i/>
          <w:iCs/>
          <w:lang w:eastAsia="zh-CN"/>
        </w:rPr>
        <w:t>Participación ciudadana y acceso a la información pública</w:t>
      </w:r>
      <w:r w:rsidRPr="0083358E">
        <w:rPr>
          <w:lang w:eastAsia="zh-CN"/>
        </w:rPr>
        <w:t>. Coordinado por Ernesto Villanueva. México: Instituto de Investigaciones Jurídicas de la Universidad Nacional Autónoma de México, 2010.</w:t>
      </w:r>
    </w:p>
    <w:p w14:paraId="0A0B55E5" w14:textId="77777777" w:rsidR="0083358E" w:rsidRPr="0083358E" w:rsidRDefault="0083358E" w:rsidP="00345B0F">
      <w:pPr>
        <w:pStyle w:val="BIOLRefer"/>
        <w:rPr>
          <w:lang w:eastAsia="zh-CN"/>
        </w:rPr>
      </w:pPr>
      <w:proofErr w:type="spellStart"/>
      <w:r w:rsidRPr="0083358E">
        <w:rPr>
          <w:lang w:eastAsia="zh-CN"/>
        </w:rPr>
        <w:t>Marván</w:t>
      </w:r>
      <w:proofErr w:type="spellEnd"/>
      <w:r w:rsidRPr="0083358E">
        <w:rPr>
          <w:lang w:eastAsia="zh-CN"/>
        </w:rPr>
        <w:t xml:space="preserve"> Laborde, María, y Roberto Corona Copado. “La consolidación institucional del acceso a la información en México: denuncia del avance de un derecho ciudadano.” </w:t>
      </w:r>
      <w:r w:rsidRPr="0083358E">
        <w:rPr>
          <w:i/>
          <w:iCs/>
          <w:lang w:eastAsia="zh-CN"/>
        </w:rPr>
        <w:t>Folios</w:t>
      </w:r>
      <w:r w:rsidRPr="0083358E">
        <w:rPr>
          <w:lang w:eastAsia="zh-CN"/>
        </w:rPr>
        <w:t xml:space="preserve">, núm. 5 (2007): 4–11. </w:t>
      </w:r>
      <w:hyperlink r:id="rId12" w:tgtFrame="_new" w:history="1">
        <w:r w:rsidRPr="0083358E">
          <w:rPr>
            <w:color w:val="0000FF"/>
            <w:u w:val="single"/>
            <w:lang w:eastAsia="zh-CN"/>
          </w:rPr>
          <w:t>https://www.calameo.com/revistafolios/read/006533728f662b071415f</w:t>
        </w:r>
      </w:hyperlink>
      <w:r w:rsidRPr="0083358E">
        <w:rPr>
          <w:lang w:eastAsia="zh-CN"/>
        </w:rPr>
        <w:t>.</w:t>
      </w:r>
    </w:p>
    <w:p w14:paraId="6FEAEB5C" w14:textId="77777777" w:rsidR="0083358E" w:rsidRPr="0083358E" w:rsidRDefault="0083358E" w:rsidP="00345B0F">
      <w:pPr>
        <w:pStyle w:val="BIOLRefer"/>
        <w:rPr>
          <w:lang w:eastAsia="zh-CN"/>
        </w:rPr>
      </w:pPr>
      <w:r w:rsidRPr="0083358E">
        <w:rPr>
          <w:lang w:eastAsia="zh-CN"/>
        </w:rPr>
        <w:t xml:space="preserve">Real Academia Española. </w:t>
      </w:r>
      <w:r w:rsidRPr="0083358E">
        <w:rPr>
          <w:i/>
          <w:iCs/>
          <w:lang w:eastAsia="zh-CN"/>
        </w:rPr>
        <w:t>Diccionario de la lengua española</w:t>
      </w:r>
      <w:r w:rsidRPr="0083358E">
        <w:rPr>
          <w:lang w:eastAsia="zh-CN"/>
        </w:rPr>
        <w:t xml:space="preserve">. Madrid: Planeta Publishing, 2015. </w:t>
      </w:r>
      <w:hyperlink r:id="rId13" w:tgtFrame="_new" w:history="1">
        <w:r w:rsidRPr="0083358E">
          <w:rPr>
            <w:color w:val="0000FF"/>
            <w:u w:val="single"/>
            <w:lang w:eastAsia="zh-CN"/>
          </w:rPr>
          <w:t>https://dle.rae.es/</w:t>
        </w:r>
      </w:hyperlink>
      <w:r w:rsidRPr="0083358E">
        <w:rPr>
          <w:lang w:eastAsia="zh-CN"/>
        </w:rPr>
        <w:t>.</w:t>
      </w:r>
    </w:p>
    <w:p w14:paraId="225418F7" w14:textId="77777777" w:rsidR="0083358E" w:rsidRPr="0083358E" w:rsidRDefault="0083358E" w:rsidP="00345B0F">
      <w:pPr>
        <w:pStyle w:val="BIOLRefer"/>
        <w:rPr>
          <w:lang w:eastAsia="zh-CN"/>
        </w:rPr>
      </w:pPr>
      <w:r w:rsidRPr="0083358E">
        <w:rPr>
          <w:lang w:eastAsia="zh-CN"/>
        </w:rPr>
        <w:t xml:space="preserve">Reyes Heroles, Federico. </w:t>
      </w:r>
      <w:r w:rsidRPr="0083358E">
        <w:rPr>
          <w:i/>
          <w:iCs/>
          <w:lang w:eastAsia="zh-CN"/>
        </w:rPr>
        <w:t>Corrupción: de los ángeles a los índices</w:t>
      </w:r>
      <w:r w:rsidRPr="0083358E">
        <w:rPr>
          <w:lang w:eastAsia="zh-CN"/>
        </w:rPr>
        <w:t>. Cuadernos de Transparencia. México: IFAI, 2003.</w:t>
      </w:r>
    </w:p>
    <w:p w14:paraId="0F4E8EFB" w14:textId="77777777" w:rsidR="0083358E" w:rsidRPr="0083358E" w:rsidRDefault="0083358E" w:rsidP="00345B0F">
      <w:pPr>
        <w:pStyle w:val="BIOLRefer"/>
        <w:rPr>
          <w:lang w:eastAsia="zh-CN"/>
        </w:rPr>
      </w:pPr>
      <w:r w:rsidRPr="0083358E">
        <w:rPr>
          <w:lang w:eastAsia="zh-CN"/>
        </w:rPr>
        <w:t xml:space="preserve">Sánchez Ramos, Miguel Ángel. “La participación ciudadana en la esfera de lo público.” </w:t>
      </w:r>
      <w:r w:rsidRPr="0083358E">
        <w:rPr>
          <w:i/>
          <w:iCs/>
          <w:lang w:eastAsia="zh-CN"/>
        </w:rPr>
        <w:t>Espacios Públicos</w:t>
      </w:r>
      <w:r w:rsidRPr="0083358E">
        <w:rPr>
          <w:lang w:eastAsia="zh-CN"/>
        </w:rPr>
        <w:t xml:space="preserve"> 12, núm. 25 (2009): 85–102.</w:t>
      </w:r>
    </w:p>
    <w:p w14:paraId="53CFDF17" w14:textId="77777777" w:rsidR="0083358E" w:rsidRPr="0083358E" w:rsidRDefault="0083358E" w:rsidP="00345B0F">
      <w:pPr>
        <w:pStyle w:val="BIOLRefer"/>
        <w:rPr>
          <w:lang w:eastAsia="zh-CN"/>
        </w:rPr>
      </w:pPr>
      <w:r w:rsidRPr="0083358E">
        <w:rPr>
          <w:lang w:eastAsia="zh-CN"/>
        </w:rPr>
        <w:t xml:space="preserve">Serrano Rodríguez, Azucena. “La participación ciudadana en México.” </w:t>
      </w:r>
      <w:r w:rsidRPr="0083358E">
        <w:rPr>
          <w:i/>
          <w:iCs/>
          <w:lang w:eastAsia="zh-CN"/>
        </w:rPr>
        <w:t>Estudios Políticos</w:t>
      </w:r>
      <w:r w:rsidRPr="0083358E">
        <w:rPr>
          <w:lang w:eastAsia="zh-CN"/>
        </w:rPr>
        <w:t xml:space="preserve"> 9, núm. 34 (2015): 93–116.</w:t>
      </w:r>
    </w:p>
    <w:p w14:paraId="68AE6020" w14:textId="77777777" w:rsidR="0083358E" w:rsidRPr="0083358E" w:rsidRDefault="0083358E" w:rsidP="00345B0F">
      <w:pPr>
        <w:pStyle w:val="BIOLRefer"/>
        <w:rPr>
          <w:lang w:eastAsia="zh-CN"/>
        </w:rPr>
      </w:pPr>
      <w:r w:rsidRPr="0083358E">
        <w:rPr>
          <w:lang w:eastAsia="zh-CN"/>
        </w:rPr>
        <w:t xml:space="preserve">Tenorio Cueto, Guillermo. </w:t>
      </w:r>
      <w:r w:rsidRPr="0083358E">
        <w:rPr>
          <w:i/>
          <w:iCs/>
          <w:lang w:eastAsia="zh-CN"/>
        </w:rPr>
        <w:t>Transparencia y acceso a la información: los casos difíciles</w:t>
      </w:r>
      <w:r w:rsidRPr="0083358E">
        <w:rPr>
          <w:lang w:eastAsia="zh-CN"/>
        </w:rPr>
        <w:t>. México: Universidad Panamericana, 2014.</w:t>
      </w:r>
    </w:p>
    <w:p w14:paraId="04AAA59D" w14:textId="77777777" w:rsidR="0083358E" w:rsidRPr="0083358E" w:rsidRDefault="0083358E" w:rsidP="00345B0F">
      <w:pPr>
        <w:pStyle w:val="BIOLRefer"/>
        <w:rPr>
          <w:lang w:eastAsia="zh-CN"/>
        </w:rPr>
      </w:pPr>
      <w:r w:rsidRPr="0083358E">
        <w:rPr>
          <w:lang w:eastAsia="zh-CN"/>
        </w:rPr>
        <w:lastRenderedPageBreak/>
        <w:t xml:space="preserve">Vargas, Néstor, y Manuel Alejandro Galván. </w:t>
      </w:r>
      <w:r w:rsidRPr="0083358E">
        <w:rPr>
          <w:i/>
          <w:iCs/>
          <w:lang w:eastAsia="zh-CN"/>
        </w:rPr>
        <w:t>La participación ciudadana en la Ciudad de México: panorama, retos y perspectivas</w:t>
      </w:r>
      <w:r w:rsidRPr="0083358E">
        <w:rPr>
          <w:lang w:eastAsia="zh-CN"/>
        </w:rPr>
        <w:t>. Coordinado por Alfonso Ayala Sánchez. México: Instituto de Investigaciones Jurídicas de la Universidad Nacional Autónoma de México, 2014.</w:t>
      </w:r>
    </w:p>
    <w:p w14:paraId="56F89183" w14:textId="20CFF76F" w:rsidR="00BF5F9D" w:rsidRPr="007367BF" w:rsidRDefault="00BF5F9D" w:rsidP="0083358E">
      <w:pPr>
        <w:spacing w:before="240" w:after="0" w:line="360" w:lineRule="auto"/>
        <w:jc w:val="both"/>
        <w:rPr>
          <w:rFonts w:ascii="Unna" w:hAnsi="Unna" w:cs="Arial"/>
          <w:sz w:val="24"/>
          <w:szCs w:val="24"/>
        </w:rPr>
      </w:pPr>
    </w:p>
    <w:sectPr w:rsidR="00BF5F9D" w:rsidRPr="007367BF" w:rsidSect="0015704F">
      <w:headerReference w:type="even" r:id="rId14"/>
      <w:headerReference w:type="default" r:id="rId15"/>
      <w:footerReference w:type="even" r:id="rId16"/>
      <w:footerReference w:type="default" r:id="rId17"/>
      <w:headerReference w:type="first" r:id="rId18"/>
      <w:footerReference w:type="first" r:id="rId19"/>
      <w:endnotePr>
        <w:numFmt w:val="chicago"/>
      </w:endnotePr>
      <w:pgSz w:w="12240" w:h="15840"/>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8638A" w14:textId="77777777" w:rsidR="00174B5D" w:rsidRDefault="00174B5D" w:rsidP="00DB7B39">
      <w:pPr>
        <w:spacing w:after="0" w:line="240" w:lineRule="auto"/>
      </w:pPr>
      <w:r>
        <w:separator/>
      </w:r>
    </w:p>
  </w:endnote>
  <w:endnote w:type="continuationSeparator" w:id="0">
    <w:p w14:paraId="3EADD08A" w14:textId="77777777" w:rsidR="00174B5D" w:rsidRDefault="00174B5D" w:rsidP="00DB7B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ource Sans 3">
    <w:panose1 w:val="020B0303030403020204"/>
    <w:charset w:val="00"/>
    <w:family w:val="swiss"/>
    <w:pitch w:val="variable"/>
    <w:sig w:usb0="E00002FF" w:usb1="00002003" w:usb2="00000000" w:usb3="00000000" w:csb0="0000019F" w:csb1="00000000"/>
  </w:font>
  <w:font w:name="Unna">
    <w:panose1 w:val="00000500000000000000"/>
    <w:charset w:val="00"/>
    <w:family w:val="modern"/>
    <w:notTrueType/>
    <w:pitch w:val="variable"/>
    <w:sig w:usb0="2000000F" w:usb1="00000001" w:usb2="00000000" w:usb3="00000000" w:csb0="00000193"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1BD67" w14:textId="4734D67C" w:rsidR="00345B0F" w:rsidRPr="0015704F" w:rsidRDefault="00345B0F" w:rsidP="0015704F">
    <w:pPr>
      <w:tabs>
        <w:tab w:val="center" w:pos="4419"/>
        <w:tab w:val="right" w:pos="8838"/>
      </w:tabs>
      <w:spacing w:after="0"/>
      <w:rPr>
        <w:rFonts w:ascii="Unna" w:eastAsia="Aptos" w:hAnsi="Unna"/>
        <w:kern w:val="2"/>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262D9" w14:textId="77777777" w:rsidR="00C741D4" w:rsidRDefault="00C741D4">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81496" w14:textId="19A6F44B" w:rsidR="00345B0F" w:rsidRPr="0015704F" w:rsidRDefault="00345B0F" w:rsidP="0015704F">
    <w:pPr>
      <w:tabs>
        <w:tab w:val="center" w:pos="4419"/>
        <w:tab w:val="right" w:pos="8838"/>
      </w:tabs>
      <w:spacing w:after="0" w:line="240" w:lineRule="auto"/>
      <w:rPr>
        <w:rFonts w:ascii="Unna" w:eastAsia="Aptos" w:hAnsi="Unna" w:cs="Times New Roman"/>
        <w:b/>
        <w:bCs/>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D01D5" w14:textId="77777777" w:rsidR="00174B5D" w:rsidRDefault="00174B5D" w:rsidP="00DB7B39">
      <w:pPr>
        <w:spacing w:after="0" w:line="240" w:lineRule="auto"/>
      </w:pPr>
      <w:r>
        <w:separator/>
      </w:r>
    </w:p>
  </w:footnote>
  <w:footnote w:type="continuationSeparator" w:id="0">
    <w:p w14:paraId="5C4AFF00" w14:textId="77777777" w:rsidR="00174B5D" w:rsidRDefault="00174B5D" w:rsidP="00DB7B39">
      <w:pPr>
        <w:spacing w:after="0" w:line="240" w:lineRule="auto"/>
      </w:pPr>
      <w:r>
        <w:continuationSeparator/>
      </w:r>
    </w:p>
  </w:footnote>
  <w:footnote w:id="1">
    <w:p w14:paraId="597E7E33" w14:textId="0ED463BF" w:rsidR="007367BF" w:rsidRPr="00345B0F" w:rsidRDefault="007367BF" w:rsidP="00345B0F">
      <w:pPr>
        <w:pStyle w:val="BIOLpie"/>
        <w:rPr>
          <w:rFonts w:ascii="Aptos" w:hAnsi="Aptos"/>
          <w:sz w:val="18"/>
          <w:szCs w:val="18"/>
        </w:rPr>
      </w:pPr>
      <w:r w:rsidRPr="00345B0F">
        <w:rPr>
          <w:rStyle w:val="Refdenotaalpie"/>
          <w:rFonts w:ascii="Aptos" w:hAnsi="Aptos"/>
          <w:sz w:val="18"/>
          <w:szCs w:val="18"/>
        </w:rPr>
        <w:footnoteRef/>
      </w:r>
      <w:r w:rsidRPr="00345B0F">
        <w:rPr>
          <w:rFonts w:ascii="Aptos" w:hAnsi="Aptos"/>
          <w:sz w:val="18"/>
          <w:szCs w:val="18"/>
        </w:rPr>
        <w:t xml:space="preserve"> Recibido: 01/10/2025                                                                                                     </w:t>
      </w:r>
      <w:r w:rsidR="00345B0F" w:rsidRPr="00345B0F">
        <w:rPr>
          <w:rFonts w:ascii="Aptos" w:hAnsi="Aptos"/>
          <w:sz w:val="18"/>
          <w:szCs w:val="18"/>
        </w:rPr>
        <w:t xml:space="preserve">                                          </w:t>
      </w:r>
      <w:r w:rsidR="00345B0F">
        <w:rPr>
          <w:rFonts w:ascii="Aptos" w:hAnsi="Aptos"/>
          <w:sz w:val="18"/>
          <w:szCs w:val="18"/>
        </w:rPr>
        <w:t xml:space="preserve">                   </w:t>
      </w:r>
      <w:r w:rsidRPr="00345B0F">
        <w:rPr>
          <w:rFonts w:ascii="Aptos" w:hAnsi="Aptos"/>
          <w:sz w:val="18"/>
          <w:szCs w:val="18"/>
        </w:rPr>
        <w:t>Aceptado: 14/12/2025</w:t>
      </w:r>
    </w:p>
  </w:footnote>
  <w:footnote w:id="2">
    <w:p w14:paraId="44AB87E5" w14:textId="32E9D4ED" w:rsidR="007367BF" w:rsidRPr="00345B0F" w:rsidRDefault="007367BF" w:rsidP="00345B0F">
      <w:pPr>
        <w:pStyle w:val="BIOLpie"/>
        <w:rPr>
          <w:rFonts w:ascii="Aptos" w:hAnsi="Aptos"/>
          <w:sz w:val="18"/>
          <w:szCs w:val="18"/>
        </w:rPr>
      </w:pPr>
      <w:r w:rsidRPr="00345B0F">
        <w:rPr>
          <w:rStyle w:val="Refdenotaalpie"/>
          <w:rFonts w:ascii="Aptos" w:hAnsi="Aptos"/>
          <w:sz w:val="18"/>
          <w:szCs w:val="18"/>
        </w:rPr>
        <w:footnoteRef/>
      </w:r>
      <w:r w:rsidRPr="00345B0F">
        <w:rPr>
          <w:rFonts w:ascii="Aptos" w:hAnsi="Aptos"/>
          <w:sz w:val="18"/>
          <w:szCs w:val="18"/>
        </w:rPr>
        <w:t xml:space="preserve"> </w:t>
      </w:r>
      <w:bookmarkStart w:id="1" w:name="OLE_LINK55"/>
      <w:r w:rsidRPr="00345B0F">
        <w:rPr>
          <w:rFonts w:ascii="Aptos" w:hAnsi="Aptos"/>
          <w:sz w:val="18"/>
          <w:szCs w:val="18"/>
        </w:rPr>
        <w:t>Doctora en Derecho por la Universidad Autónoma de Sinaloa, miembro del Sistema Nacional de Investigadores, Nivel Candidato.</w:t>
      </w:r>
      <w:bookmarkEnd w:id="1"/>
      <w:r w:rsidRPr="00345B0F">
        <w:rPr>
          <w:rFonts w:ascii="Aptos" w:hAnsi="Aptos"/>
          <w:sz w:val="18"/>
          <w:szCs w:val="18"/>
        </w:rPr>
        <w:t xml:space="preserve"> </w:t>
      </w:r>
      <w:hyperlink r:id="rId1" w:history="1">
        <w:r w:rsidRPr="00345B0F">
          <w:rPr>
            <w:rStyle w:val="Hipervnculo"/>
            <w:rFonts w:ascii="Aptos" w:hAnsi="Aptos"/>
            <w:sz w:val="18"/>
            <w:szCs w:val="18"/>
          </w:rPr>
          <w:t>karlaortegaflores@hotmail.com</w:t>
        </w:r>
      </w:hyperlink>
    </w:p>
  </w:footnote>
  <w:footnote w:id="3">
    <w:p w14:paraId="14941F72" w14:textId="1C943247" w:rsidR="007367BF" w:rsidRPr="00345B0F" w:rsidRDefault="007367BF" w:rsidP="00345B0F">
      <w:pPr>
        <w:pStyle w:val="BIOLpie"/>
        <w:rPr>
          <w:rFonts w:ascii="Aptos" w:hAnsi="Aptos"/>
          <w:sz w:val="18"/>
          <w:szCs w:val="18"/>
        </w:rPr>
      </w:pPr>
      <w:r w:rsidRPr="00345B0F">
        <w:rPr>
          <w:rStyle w:val="Refdenotaalpie"/>
          <w:rFonts w:ascii="Aptos" w:hAnsi="Aptos"/>
          <w:sz w:val="18"/>
          <w:szCs w:val="18"/>
        </w:rPr>
        <w:footnoteRef/>
      </w:r>
      <w:r w:rsidRPr="00345B0F">
        <w:rPr>
          <w:rFonts w:ascii="Aptos" w:hAnsi="Aptos"/>
          <w:sz w:val="18"/>
          <w:szCs w:val="18"/>
        </w:rPr>
        <w:t xml:space="preserve"> Doctor en Derecho por la Universidad Autónoma de Sinaloa, miembro del Sistema Nacional de Investigadores, Nivel Candidato.</w:t>
      </w:r>
    </w:p>
  </w:footnote>
  <w:footnote w:id="4">
    <w:p w14:paraId="4B020099" w14:textId="495C477E" w:rsidR="00C741D4" w:rsidRPr="00345B0F" w:rsidRDefault="00C741D4" w:rsidP="00345B0F">
      <w:pPr>
        <w:pStyle w:val="BIOLpie"/>
        <w:rPr>
          <w:rFonts w:ascii="Aptos" w:hAnsi="Aptos"/>
          <w:sz w:val="18"/>
          <w:szCs w:val="18"/>
        </w:rPr>
      </w:pPr>
      <w:r w:rsidRPr="00345B0F">
        <w:rPr>
          <w:rStyle w:val="Refdenotaalpie"/>
          <w:rFonts w:ascii="Aptos" w:hAnsi="Aptos"/>
          <w:sz w:val="18"/>
          <w:szCs w:val="18"/>
        </w:rPr>
        <w:footnoteRef/>
      </w:r>
      <w:r w:rsidRPr="00345B0F">
        <w:rPr>
          <w:rFonts w:ascii="Aptos" w:hAnsi="Aptos"/>
          <w:sz w:val="18"/>
          <w:szCs w:val="18"/>
        </w:rPr>
        <w:t xml:space="preserve"> </w:t>
      </w:r>
      <w:r w:rsidR="0023591C" w:rsidRPr="00345B0F">
        <w:rPr>
          <w:rFonts w:ascii="Aptos" w:hAnsi="Aptos"/>
          <w:sz w:val="18"/>
          <w:szCs w:val="18"/>
        </w:rPr>
        <w:t>José Ramon Cossío</w:t>
      </w:r>
      <w:r w:rsidR="0023591C" w:rsidRPr="00345B0F">
        <w:rPr>
          <w:rFonts w:ascii="Aptos" w:hAnsi="Aptos"/>
          <w:i/>
          <w:iCs/>
          <w:sz w:val="18"/>
          <w:szCs w:val="18"/>
        </w:rPr>
        <w:t>. Cambio social y cambio jurídico</w:t>
      </w:r>
      <w:r w:rsidR="0023591C" w:rsidRPr="00345B0F">
        <w:rPr>
          <w:rFonts w:ascii="Aptos" w:hAnsi="Aptos"/>
          <w:sz w:val="18"/>
          <w:szCs w:val="18"/>
        </w:rPr>
        <w:t xml:space="preserve"> (México: Porrúa, 2001), 158.</w:t>
      </w:r>
    </w:p>
  </w:footnote>
  <w:footnote w:id="5">
    <w:p w14:paraId="26DDCAA5" w14:textId="45605F86" w:rsidR="00C741D4" w:rsidRPr="00345B0F" w:rsidRDefault="00C741D4" w:rsidP="00345B0F">
      <w:pPr>
        <w:pStyle w:val="BIOLpie"/>
        <w:jc w:val="left"/>
        <w:rPr>
          <w:rFonts w:ascii="Aptos" w:hAnsi="Aptos"/>
          <w:color w:val="000000"/>
          <w:sz w:val="18"/>
          <w:szCs w:val="18"/>
        </w:rPr>
      </w:pPr>
      <w:bookmarkStart w:id="8" w:name="_Hlk49969854"/>
      <w:r w:rsidRPr="00345B0F">
        <w:rPr>
          <w:rStyle w:val="Refdenotaalpie"/>
          <w:rFonts w:ascii="Aptos" w:hAnsi="Aptos"/>
          <w:color w:val="000000"/>
          <w:sz w:val="18"/>
          <w:szCs w:val="18"/>
        </w:rPr>
        <w:footnoteRef/>
      </w:r>
      <w:bookmarkEnd w:id="8"/>
      <w:r w:rsidR="0023591C" w:rsidRPr="00345B0F">
        <w:rPr>
          <w:rFonts w:ascii="Aptos" w:hAnsi="Aptos"/>
          <w:sz w:val="18"/>
          <w:szCs w:val="18"/>
        </w:rPr>
        <w:t xml:space="preserve">María Marván Laborde y Roberto Corona Copado, “La consolidación institucional del acceso a la información en México: denuncia del avance de un derecho ciudadano”, </w:t>
      </w:r>
      <w:r w:rsidR="0023591C" w:rsidRPr="00345B0F">
        <w:rPr>
          <w:rFonts w:ascii="Aptos" w:hAnsi="Aptos"/>
          <w:i/>
          <w:iCs/>
          <w:sz w:val="18"/>
          <w:szCs w:val="18"/>
        </w:rPr>
        <w:t>Folios</w:t>
      </w:r>
      <w:r w:rsidR="0023591C" w:rsidRPr="00345B0F">
        <w:rPr>
          <w:rFonts w:ascii="Aptos" w:hAnsi="Aptos"/>
          <w:sz w:val="18"/>
          <w:szCs w:val="18"/>
        </w:rPr>
        <w:t xml:space="preserve">, </w:t>
      </w:r>
      <w:proofErr w:type="spellStart"/>
      <w:r w:rsidR="0023591C" w:rsidRPr="00345B0F">
        <w:rPr>
          <w:rFonts w:ascii="Aptos" w:hAnsi="Aptos"/>
          <w:sz w:val="18"/>
          <w:szCs w:val="18"/>
        </w:rPr>
        <w:t>n.o</w:t>
      </w:r>
      <w:proofErr w:type="spellEnd"/>
      <w:r w:rsidR="0023591C" w:rsidRPr="00345B0F">
        <w:rPr>
          <w:rFonts w:ascii="Aptos" w:hAnsi="Aptos"/>
          <w:sz w:val="18"/>
          <w:szCs w:val="18"/>
        </w:rPr>
        <w:t xml:space="preserve"> 5 (2007): 4-11, </w:t>
      </w:r>
      <w:hyperlink r:id="rId2" w:history="1">
        <w:r w:rsidR="0023591C" w:rsidRPr="00345B0F">
          <w:rPr>
            <w:rStyle w:val="Hipervnculo"/>
            <w:rFonts w:ascii="Aptos" w:hAnsi="Aptos"/>
            <w:sz w:val="18"/>
            <w:szCs w:val="18"/>
          </w:rPr>
          <w:t>https://www.calameo.com/revistafolios/read/006533728f662b071415f</w:t>
        </w:r>
      </w:hyperlink>
    </w:p>
  </w:footnote>
  <w:footnote w:id="6">
    <w:p w14:paraId="25B3E659" w14:textId="598916EE" w:rsidR="00C741D4" w:rsidRPr="00345B0F" w:rsidRDefault="00C741D4" w:rsidP="00345B0F">
      <w:pPr>
        <w:pStyle w:val="BIOLpie"/>
        <w:rPr>
          <w:rFonts w:ascii="Aptos" w:hAnsi="Aptos"/>
          <w:sz w:val="18"/>
          <w:szCs w:val="18"/>
        </w:rPr>
      </w:pPr>
      <w:r w:rsidRPr="00345B0F">
        <w:rPr>
          <w:rStyle w:val="Refdenotaalpie"/>
          <w:rFonts w:ascii="Aptos" w:hAnsi="Aptos"/>
          <w:sz w:val="18"/>
          <w:szCs w:val="18"/>
        </w:rPr>
        <w:footnoteRef/>
      </w:r>
      <w:r w:rsidRPr="00345B0F">
        <w:rPr>
          <w:rFonts w:ascii="Aptos" w:hAnsi="Aptos"/>
          <w:sz w:val="18"/>
          <w:szCs w:val="18"/>
        </w:rPr>
        <w:t xml:space="preserve"> </w:t>
      </w:r>
      <w:r w:rsidR="0023591C" w:rsidRPr="00345B0F">
        <w:rPr>
          <w:rFonts w:ascii="Aptos" w:hAnsi="Aptos"/>
          <w:sz w:val="18"/>
          <w:szCs w:val="18"/>
        </w:rPr>
        <w:t xml:space="preserve">Federico </w:t>
      </w:r>
      <w:bookmarkStart w:id="9" w:name="_Hlk29917968"/>
      <w:r w:rsidR="0023591C" w:rsidRPr="00345B0F">
        <w:rPr>
          <w:rFonts w:ascii="Aptos" w:hAnsi="Aptos"/>
          <w:sz w:val="18"/>
          <w:szCs w:val="18"/>
        </w:rPr>
        <w:t xml:space="preserve">Reyes Heroles, </w:t>
      </w:r>
      <w:r w:rsidR="0023591C" w:rsidRPr="00345B0F">
        <w:rPr>
          <w:rFonts w:ascii="Aptos" w:hAnsi="Aptos"/>
          <w:i/>
          <w:iCs/>
          <w:sz w:val="18"/>
          <w:szCs w:val="18"/>
        </w:rPr>
        <w:t>Corrupción: de los ángeles a los índices. Cuadernos de transparencia</w:t>
      </w:r>
      <w:r w:rsidR="0023591C" w:rsidRPr="00345B0F">
        <w:rPr>
          <w:rFonts w:ascii="Aptos" w:hAnsi="Aptos"/>
          <w:sz w:val="18"/>
          <w:szCs w:val="18"/>
        </w:rPr>
        <w:t xml:space="preserve"> (México: IFAI, 2003).</w:t>
      </w:r>
      <w:bookmarkEnd w:id="9"/>
    </w:p>
  </w:footnote>
  <w:footnote w:id="7">
    <w:p w14:paraId="0198A5F9" w14:textId="71A84947" w:rsidR="00C741D4" w:rsidRPr="00345B0F" w:rsidRDefault="00C741D4" w:rsidP="00345B0F">
      <w:pPr>
        <w:pStyle w:val="BIOLpie"/>
        <w:rPr>
          <w:rFonts w:ascii="Aptos" w:hAnsi="Aptos"/>
          <w:sz w:val="18"/>
          <w:szCs w:val="18"/>
        </w:rPr>
      </w:pPr>
      <w:r w:rsidRPr="00345B0F">
        <w:rPr>
          <w:rStyle w:val="Refdenotaalpie"/>
          <w:rFonts w:ascii="Aptos" w:hAnsi="Aptos"/>
          <w:sz w:val="18"/>
          <w:szCs w:val="18"/>
        </w:rPr>
        <w:footnoteRef/>
      </w:r>
      <w:r w:rsidRPr="00345B0F">
        <w:rPr>
          <w:rFonts w:ascii="Aptos" w:hAnsi="Aptos"/>
          <w:sz w:val="18"/>
          <w:szCs w:val="18"/>
        </w:rPr>
        <w:t xml:space="preserve"> </w:t>
      </w:r>
      <w:r w:rsidR="0023591C" w:rsidRPr="00345B0F">
        <w:rPr>
          <w:rFonts w:ascii="Aptos" w:hAnsi="Aptos"/>
          <w:sz w:val="18"/>
          <w:szCs w:val="18"/>
        </w:rPr>
        <w:t xml:space="preserve">Sergio López Ayllón. </w:t>
      </w:r>
      <w:r w:rsidR="0023591C" w:rsidRPr="00345B0F">
        <w:rPr>
          <w:rFonts w:ascii="Aptos" w:hAnsi="Aptos"/>
          <w:i/>
          <w:iCs/>
          <w:sz w:val="18"/>
          <w:szCs w:val="18"/>
        </w:rPr>
        <w:t xml:space="preserve">La creación de la ley de acceso a la información en México: una perspectiva desde el ejecutivo federal. </w:t>
      </w:r>
      <w:r w:rsidR="0023591C" w:rsidRPr="00345B0F">
        <w:rPr>
          <w:rFonts w:ascii="Aptos" w:hAnsi="Aptos"/>
          <w:iCs/>
          <w:sz w:val="18"/>
          <w:szCs w:val="18"/>
        </w:rPr>
        <w:t>Coord. por Hugo A., Sergio L. y Lucy T.</w:t>
      </w:r>
      <w:r w:rsidR="0023591C" w:rsidRPr="00345B0F">
        <w:rPr>
          <w:rFonts w:ascii="Aptos" w:hAnsi="Aptos"/>
          <w:i/>
          <w:iCs/>
          <w:sz w:val="18"/>
          <w:szCs w:val="18"/>
        </w:rPr>
        <w:t xml:space="preserve"> </w:t>
      </w:r>
      <w:r w:rsidR="0023591C" w:rsidRPr="00345B0F">
        <w:rPr>
          <w:rFonts w:ascii="Aptos" w:hAnsi="Aptos"/>
          <w:sz w:val="18"/>
          <w:szCs w:val="18"/>
        </w:rPr>
        <w:t>(México: Instituto de Investigaciones Jurídicas de la Universidad Autónoma de México, 2002), 1-38.</w:t>
      </w:r>
    </w:p>
  </w:footnote>
  <w:footnote w:id="8">
    <w:p w14:paraId="5823F96D" w14:textId="2F45824B" w:rsidR="00C741D4" w:rsidRPr="00345B0F" w:rsidRDefault="00C741D4" w:rsidP="00345B0F">
      <w:pPr>
        <w:pStyle w:val="BIOLpie"/>
        <w:rPr>
          <w:rFonts w:ascii="Aptos" w:hAnsi="Aptos"/>
          <w:sz w:val="18"/>
          <w:szCs w:val="18"/>
        </w:rPr>
      </w:pPr>
      <w:r w:rsidRPr="00345B0F">
        <w:rPr>
          <w:rStyle w:val="Refdenotaalpie"/>
          <w:rFonts w:ascii="Aptos" w:hAnsi="Aptos"/>
          <w:sz w:val="18"/>
          <w:szCs w:val="18"/>
        </w:rPr>
        <w:footnoteRef/>
      </w:r>
      <w:r w:rsidRPr="00345B0F">
        <w:rPr>
          <w:rFonts w:ascii="Aptos" w:hAnsi="Aptos"/>
          <w:sz w:val="18"/>
          <w:szCs w:val="18"/>
        </w:rPr>
        <w:t xml:space="preserve"> </w:t>
      </w:r>
      <w:bookmarkStart w:id="10" w:name="_Hlk39761682"/>
      <w:r w:rsidR="0023591C" w:rsidRPr="00345B0F">
        <w:rPr>
          <w:rFonts w:ascii="Aptos" w:hAnsi="Aptos"/>
          <w:sz w:val="18"/>
          <w:szCs w:val="18"/>
        </w:rPr>
        <w:t xml:space="preserve">Guillermo Tenorio Cueto, </w:t>
      </w:r>
      <w:r w:rsidR="0023591C" w:rsidRPr="00345B0F">
        <w:rPr>
          <w:rFonts w:ascii="Aptos" w:hAnsi="Aptos"/>
          <w:i/>
          <w:iCs/>
          <w:sz w:val="18"/>
          <w:szCs w:val="18"/>
        </w:rPr>
        <w:t>Transparencia y Acceso a la Información: los casos difíciles</w:t>
      </w:r>
      <w:r w:rsidR="0023591C" w:rsidRPr="00345B0F">
        <w:rPr>
          <w:rFonts w:ascii="Aptos" w:hAnsi="Aptos"/>
          <w:sz w:val="18"/>
          <w:szCs w:val="18"/>
        </w:rPr>
        <w:t xml:space="preserve"> (México: Universidad Panamericana, 2014), 34.</w:t>
      </w:r>
      <w:bookmarkEnd w:id="10"/>
    </w:p>
  </w:footnote>
  <w:footnote w:id="9">
    <w:p w14:paraId="7724BEBC" w14:textId="2DA940B0" w:rsidR="00C741D4" w:rsidRPr="00345B0F" w:rsidRDefault="00C741D4" w:rsidP="00345B0F">
      <w:pPr>
        <w:pStyle w:val="BIOLpie"/>
        <w:rPr>
          <w:rFonts w:ascii="Aptos" w:hAnsi="Aptos"/>
          <w:sz w:val="18"/>
          <w:szCs w:val="18"/>
        </w:rPr>
      </w:pPr>
      <w:r w:rsidRPr="00345B0F">
        <w:rPr>
          <w:rStyle w:val="Refdenotaalpie"/>
          <w:rFonts w:ascii="Aptos" w:hAnsi="Aptos"/>
          <w:sz w:val="18"/>
          <w:szCs w:val="18"/>
        </w:rPr>
        <w:footnoteRef/>
      </w:r>
      <w:r w:rsidRPr="00345B0F">
        <w:rPr>
          <w:rFonts w:ascii="Aptos" w:hAnsi="Aptos"/>
          <w:sz w:val="18"/>
          <w:szCs w:val="18"/>
        </w:rPr>
        <w:t xml:space="preserve"> </w:t>
      </w:r>
      <w:r w:rsidR="0023591C" w:rsidRPr="00345B0F">
        <w:rPr>
          <w:rFonts w:ascii="Aptos" w:hAnsi="Aptos"/>
          <w:sz w:val="18"/>
          <w:szCs w:val="18"/>
        </w:rPr>
        <w:t>María Luisa Hernández y Juan Pablo Álvarez</w:t>
      </w:r>
      <w:r w:rsidR="0023591C" w:rsidRPr="00345B0F">
        <w:rPr>
          <w:rFonts w:ascii="Aptos" w:hAnsi="Aptos"/>
          <w:i/>
          <w:iCs/>
          <w:sz w:val="18"/>
          <w:szCs w:val="18"/>
        </w:rPr>
        <w:t>, La transparencia y el acceso a la información en México</w:t>
      </w:r>
      <w:r w:rsidR="0023591C" w:rsidRPr="00345B0F">
        <w:rPr>
          <w:rFonts w:ascii="Aptos" w:hAnsi="Aptos"/>
          <w:sz w:val="18"/>
          <w:szCs w:val="18"/>
        </w:rPr>
        <w:t xml:space="preserve"> (México: Tirant lo Blanch, 2015),12.</w:t>
      </w:r>
    </w:p>
  </w:footnote>
  <w:footnote w:id="10">
    <w:p w14:paraId="57B62C6E" w14:textId="52C3B070" w:rsidR="00C741D4" w:rsidRPr="00345B0F" w:rsidRDefault="00C741D4" w:rsidP="00345B0F">
      <w:pPr>
        <w:pStyle w:val="BIOLpie"/>
        <w:rPr>
          <w:rFonts w:ascii="Aptos" w:hAnsi="Aptos"/>
          <w:sz w:val="18"/>
          <w:szCs w:val="18"/>
        </w:rPr>
      </w:pPr>
      <w:r w:rsidRPr="00345B0F">
        <w:rPr>
          <w:rStyle w:val="Refdenotaalpie"/>
          <w:rFonts w:ascii="Aptos" w:hAnsi="Aptos"/>
          <w:sz w:val="18"/>
          <w:szCs w:val="18"/>
        </w:rPr>
        <w:footnoteRef/>
      </w:r>
      <w:r w:rsidRPr="00345B0F">
        <w:rPr>
          <w:rFonts w:ascii="Aptos" w:hAnsi="Aptos"/>
          <w:sz w:val="18"/>
          <w:szCs w:val="18"/>
        </w:rPr>
        <w:t xml:space="preserve"> </w:t>
      </w:r>
      <w:r w:rsidR="0023591C" w:rsidRPr="00345B0F">
        <w:rPr>
          <w:rFonts w:ascii="Aptos" w:hAnsi="Aptos"/>
          <w:sz w:val="18"/>
          <w:szCs w:val="18"/>
        </w:rPr>
        <w:t xml:space="preserve">Miguel Carbonell Sánchez, </w:t>
      </w:r>
      <w:r w:rsidR="0023591C" w:rsidRPr="00345B0F">
        <w:rPr>
          <w:rFonts w:ascii="Aptos" w:hAnsi="Aptos"/>
          <w:i/>
          <w:iCs/>
          <w:sz w:val="18"/>
          <w:szCs w:val="18"/>
        </w:rPr>
        <w:t>Derecho a la información y derechos humanos</w:t>
      </w:r>
      <w:r w:rsidR="0023591C" w:rsidRPr="00345B0F">
        <w:rPr>
          <w:rFonts w:ascii="Aptos" w:hAnsi="Aptos"/>
          <w:sz w:val="18"/>
          <w:szCs w:val="18"/>
        </w:rPr>
        <w:t xml:space="preserve"> (México: Instituto Investigaciones Jurídicas de la </w:t>
      </w:r>
      <w:bookmarkStart w:id="11" w:name="_Hlk50680957"/>
      <w:r w:rsidR="0023591C" w:rsidRPr="00345B0F">
        <w:rPr>
          <w:rFonts w:ascii="Aptos" w:hAnsi="Aptos"/>
          <w:sz w:val="18"/>
          <w:szCs w:val="18"/>
        </w:rPr>
        <w:t xml:space="preserve">Universidad Autónoma de México, </w:t>
      </w:r>
      <w:bookmarkEnd w:id="11"/>
      <w:r w:rsidR="0023591C" w:rsidRPr="00345B0F">
        <w:rPr>
          <w:rFonts w:ascii="Aptos" w:hAnsi="Aptos"/>
          <w:sz w:val="18"/>
          <w:szCs w:val="18"/>
        </w:rPr>
        <w:t>2000), 187.</w:t>
      </w:r>
    </w:p>
  </w:footnote>
  <w:footnote w:id="11">
    <w:p w14:paraId="02D354CD" w14:textId="184E6D81" w:rsidR="00C741D4" w:rsidRPr="00345B0F" w:rsidRDefault="00C741D4" w:rsidP="00345B0F">
      <w:pPr>
        <w:pStyle w:val="BIOLpie"/>
        <w:jc w:val="left"/>
        <w:rPr>
          <w:rFonts w:ascii="Aptos" w:eastAsia="Times New Roman" w:hAnsi="Aptos"/>
          <w:sz w:val="18"/>
          <w:szCs w:val="18"/>
          <w:lang w:eastAsia="zh-CN"/>
        </w:rPr>
      </w:pPr>
      <w:bookmarkStart w:id="12" w:name="_Hlk50747540"/>
      <w:r w:rsidRPr="00345B0F">
        <w:rPr>
          <w:rStyle w:val="Refdenotaalpie"/>
          <w:rFonts w:ascii="Aptos" w:hAnsi="Aptos"/>
          <w:sz w:val="18"/>
          <w:szCs w:val="18"/>
        </w:rPr>
        <w:footnoteRef/>
      </w:r>
      <w:r w:rsidRPr="00345B0F">
        <w:rPr>
          <w:rFonts w:ascii="Aptos" w:hAnsi="Aptos"/>
          <w:sz w:val="18"/>
          <w:szCs w:val="18"/>
        </w:rPr>
        <w:t xml:space="preserve"> </w:t>
      </w:r>
      <w:bookmarkEnd w:id="12"/>
      <w:r w:rsidR="0023591C" w:rsidRPr="00345B0F">
        <w:rPr>
          <w:rFonts w:ascii="Aptos" w:eastAsia="Times New Roman" w:hAnsi="Aptos"/>
          <w:sz w:val="18"/>
          <w:szCs w:val="18"/>
          <w:lang w:eastAsia="zh-CN"/>
        </w:rPr>
        <w:t xml:space="preserve">“UNODC. Centro de Excelencia UNODC-INEGI,” </w:t>
      </w:r>
      <w:r w:rsidR="0023591C" w:rsidRPr="00345B0F">
        <w:rPr>
          <w:rFonts w:ascii="Aptos" w:eastAsia="Times New Roman" w:hAnsi="Aptos"/>
          <w:i/>
          <w:iCs/>
          <w:sz w:val="18"/>
          <w:szCs w:val="18"/>
          <w:lang w:eastAsia="zh-CN"/>
        </w:rPr>
        <w:t>Centro de Excelencia UNODC-INEGI</w:t>
      </w:r>
      <w:r w:rsidR="0023591C" w:rsidRPr="00345B0F">
        <w:rPr>
          <w:rFonts w:ascii="Aptos" w:eastAsia="Times New Roman" w:hAnsi="Aptos"/>
          <w:sz w:val="18"/>
          <w:szCs w:val="18"/>
          <w:lang w:eastAsia="zh-CN"/>
        </w:rPr>
        <w:t xml:space="preserve">, </w:t>
      </w:r>
      <w:hyperlink r:id="rId3" w:history="1">
        <w:r w:rsidR="0023591C" w:rsidRPr="00345B0F">
          <w:rPr>
            <w:rFonts w:ascii="Aptos" w:eastAsia="Times New Roman" w:hAnsi="Aptos"/>
            <w:color w:val="0000FF"/>
            <w:sz w:val="18"/>
            <w:szCs w:val="18"/>
            <w:u w:val="single"/>
            <w:lang w:eastAsia="zh-CN"/>
          </w:rPr>
          <w:t>https://www.cdeunodc.inegi.org.mx</w:t>
        </w:r>
      </w:hyperlink>
      <w:r w:rsidR="0023591C" w:rsidRPr="00345B0F">
        <w:rPr>
          <w:rFonts w:ascii="Aptos" w:eastAsia="Times New Roman" w:hAnsi="Aptos"/>
          <w:sz w:val="18"/>
          <w:szCs w:val="18"/>
          <w:lang w:eastAsia="zh-CN"/>
        </w:rPr>
        <w:t>.</w:t>
      </w:r>
    </w:p>
  </w:footnote>
  <w:footnote w:id="12">
    <w:p w14:paraId="378D5566" w14:textId="553ED4BF" w:rsidR="00C741D4" w:rsidRPr="00345B0F" w:rsidRDefault="00C741D4" w:rsidP="00345B0F">
      <w:pPr>
        <w:pStyle w:val="BIOLpie"/>
        <w:rPr>
          <w:rFonts w:ascii="Aptos" w:hAnsi="Aptos"/>
          <w:sz w:val="18"/>
          <w:szCs w:val="18"/>
        </w:rPr>
      </w:pPr>
      <w:r w:rsidRPr="00345B0F">
        <w:rPr>
          <w:rStyle w:val="Refdenotaalpie"/>
          <w:rFonts w:ascii="Aptos" w:hAnsi="Aptos"/>
          <w:sz w:val="18"/>
          <w:szCs w:val="18"/>
        </w:rPr>
        <w:footnoteRef/>
      </w:r>
      <w:r w:rsidRPr="00345B0F">
        <w:rPr>
          <w:rFonts w:ascii="Aptos" w:hAnsi="Aptos"/>
          <w:sz w:val="18"/>
          <w:szCs w:val="18"/>
        </w:rPr>
        <w:t xml:space="preserve"> Artículo 34. Son ciudadanos de la República los varones y mujeres que, teniendo la calidad de</w:t>
      </w:r>
      <w:r w:rsidR="00345B0F">
        <w:rPr>
          <w:rFonts w:ascii="Aptos" w:hAnsi="Aptos"/>
          <w:sz w:val="18"/>
          <w:szCs w:val="18"/>
        </w:rPr>
        <w:t xml:space="preserve"> </w:t>
      </w:r>
      <w:r w:rsidRPr="00345B0F">
        <w:rPr>
          <w:rFonts w:ascii="Aptos" w:hAnsi="Aptos"/>
          <w:sz w:val="18"/>
          <w:szCs w:val="18"/>
        </w:rPr>
        <w:t>mexicanos, reúnan, además, los siguientes requisitos:</w:t>
      </w:r>
    </w:p>
    <w:p w14:paraId="4411F91B" w14:textId="77777777" w:rsidR="00C741D4" w:rsidRPr="00345B0F" w:rsidRDefault="00C741D4" w:rsidP="00345B0F">
      <w:pPr>
        <w:pStyle w:val="BIOLpie"/>
        <w:rPr>
          <w:rFonts w:ascii="Aptos" w:hAnsi="Aptos"/>
          <w:sz w:val="18"/>
          <w:szCs w:val="18"/>
        </w:rPr>
      </w:pPr>
      <w:r w:rsidRPr="00345B0F">
        <w:rPr>
          <w:rFonts w:ascii="Aptos" w:hAnsi="Aptos"/>
          <w:sz w:val="18"/>
          <w:szCs w:val="18"/>
        </w:rPr>
        <w:t>I. Haber cumplido 18 años, y</w:t>
      </w:r>
    </w:p>
    <w:p w14:paraId="257E8CAE" w14:textId="008E4C7E" w:rsidR="00C741D4" w:rsidRPr="00345B0F" w:rsidRDefault="00C741D4" w:rsidP="00345B0F">
      <w:pPr>
        <w:pStyle w:val="BIOLpie"/>
        <w:rPr>
          <w:rFonts w:ascii="Aptos" w:hAnsi="Aptos"/>
          <w:sz w:val="18"/>
          <w:szCs w:val="18"/>
        </w:rPr>
      </w:pPr>
      <w:r w:rsidRPr="00345B0F">
        <w:rPr>
          <w:rFonts w:ascii="Aptos" w:hAnsi="Aptos"/>
          <w:sz w:val="18"/>
          <w:szCs w:val="18"/>
        </w:rPr>
        <w:t>II. Tener un modo honesto de vivir</w:t>
      </w:r>
    </w:p>
  </w:footnote>
  <w:footnote w:id="13">
    <w:p w14:paraId="4F3B592D" w14:textId="5216EE23" w:rsidR="00C741D4" w:rsidRPr="00345B0F" w:rsidRDefault="00C741D4" w:rsidP="00345B0F">
      <w:pPr>
        <w:pStyle w:val="BIOLpie"/>
        <w:rPr>
          <w:rFonts w:ascii="Aptos" w:hAnsi="Aptos"/>
          <w:sz w:val="18"/>
          <w:szCs w:val="18"/>
        </w:rPr>
      </w:pPr>
      <w:r w:rsidRPr="00345B0F">
        <w:rPr>
          <w:rStyle w:val="Refdenotaalpie"/>
          <w:rFonts w:ascii="Aptos" w:hAnsi="Aptos"/>
          <w:sz w:val="18"/>
          <w:szCs w:val="18"/>
        </w:rPr>
        <w:footnoteRef/>
      </w:r>
      <w:r w:rsidRPr="00345B0F">
        <w:rPr>
          <w:rFonts w:ascii="Aptos" w:hAnsi="Aptos"/>
          <w:sz w:val="18"/>
          <w:szCs w:val="18"/>
        </w:rPr>
        <w:t xml:space="preserve"> </w:t>
      </w:r>
      <w:r w:rsidR="0083358E" w:rsidRPr="00345B0F">
        <w:rPr>
          <w:rFonts w:ascii="Aptos" w:hAnsi="Aptos"/>
          <w:sz w:val="18"/>
          <w:szCs w:val="18"/>
        </w:rPr>
        <w:t>Azucena Serrano Rodríguez. 2015. “</w:t>
      </w:r>
      <w:r w:rsidR="0083358E" w:rsidRPr="00345B0F">
        <w:rPr>
          <w:rFonts w:ascii="Aptos" w:hAnsi="Aptos"/>
          <w:iCs/>
          <w:sz w:val="18"/>
          <w:szCs w:val="18"/>
        </w:rPr>
        <w:t>La participación ciudadana en México”</w:t>
      </w:r>
      <w:r w:rsidR="0083358E" w:rsidRPr="00345B0F">
        <w:rPr>
          <w:rFonts w:ascii="Aptos" w:hAnsi="Aptos"/>
          <w:sz w:val="18"/>
          <w:szCs w:val="18"/>
        </w:rPr>
        <w:t xml:space="preserve">. </w:t>
      </w:r>
      <w:r w:rsidR="0083358E" w:rsidRPr="00345B0F">
        <w:rPr>
          <w:rFonts w:ascii="Aptos" w:hAnsi="Aptos"/>
          <w:i/>
          <w:sz w:val="18"/>
          <w:szCs w:val="18"/>
        </w:rPr>
        <w:t>Estudios Políticos</w:t>
      </w:r>
      <w:r w:rsidR="0083358E" w:rsidRPr="00345B0F">
        <w:rPr>
          <w:rFonts w:ascii="Aptos" w:hAnsi="Aptos"/>
          <w:sz w:val="18"/>
          <w:szCs w:val="18"/>
        </w:rPr>
        <w:t xml:space="preserve"> 9, </w:t>
      </w:r>
      <w:proofErr w:type="spellStart"/>
      <w:r w:rsidR="0083358E" w:rsidRPr="00345B0F">
        <w:rPr>
          <w:rFonts w:ascii="Aptos" w:hAnsi="Aptos"/>
          <w:sz w:val="18"/>
          <w:szCs w:val="18"/>
        </w:rPr>
        <w:t>n.</w:t>
      </w:r>
      <w:r w:rsidR="0083358E" w:rsidRPr="00345B0F">
        <w:rPr>
          <w:rFonts w:ascii="Aptos" w:hAnsi="Aptos"/>
          <w:sz w:val="18"/>
          <w:szCs w:val="18"/>
          <w:vertAlign w:val="superscript"/>
        </w:rPr>
        <w:t>o</w:t>
      </w:r>
      <w:proofErr w:type="spellEnd"/>
      <w:r w:rsidR="0083358E" w:rsidRPr="00345B0F">
        <w:rPr>
          <w:rFonts w:ascii="Aptos" w:hAnsi="Aptos"/>
          <w:sz w:val="18"/>
          <w:szCs w:val="18"/>
        </w:rPr>
        <w:t xml:space="preserve"> 34: 93-116.</w:t>
      </w:r>
    </w:p>
  </w:footnote>
  <w:footnote w:id="14">
    <w:p w14:paraId="2309E44B" w14:textId="3D9F37AC" w:rsidR="00C741D4" w:rsidRPr="00345B0F" w:rsidRDefault="00C741D4" w:rsidP="00345B0F">
      <w:pPr>
        <w:pStyle w:val="BIOLpie"/>
        <w:rPr>
          <w:rFonts w:ascii="Aptos" w:hAnsi="Aptos"/>
          <w:sz w:val="18"/>
          <w:szCs w:val="18"/>
        </w:rPr>
      </w:pPr>
      <w:r w:rsidRPr="00345B0F">
        <w:rPr>
          <w:rStyle w:val="Refdenotaalpie"/>
          <w:rFonts w:ascii="Aptos" w:hAnsi="Aptos"/>
          <w:sz w:val="18"/>
          <w:szCs w:val="18"/>
        </w:rPr>
        <w:footnoteRef/>
      </w:r>
      <w:r w:rsidRPr="00345B0F">
        <w:rPr>
          <w:rFonts w:ascii="Aptos" w:hAnsi="Aptos"/>
          <w:sz w:val="18"/>
          <w:szCs w:val="18"/>
        </w:rPr>
        <w:t xml:space="preserve"> </w:t>
      </w:r>
      <w:r w:rsidR="0083358E" w:rsidRPr="00345B0F">
        <w:rPr>
          <w:rFonts w:ascii="Aptos" w:hAnsi="Aptos"/>
          <w:sz w:val="18"/>
          <w:szCs w:val="18"/>
        </w:rPr>
        <w:t xml:space="preserve">Miguel Alejandro López Olvera, </w:t>
      </w:r>
      <w:r w:rsidR="0083358E" w:rsidRPr="00345B0F">
        <w:rPr>
          <w:rFonts w:ascii="Aptos" w:hAnsi="Aptos"/>
          <w:i/>
          <w:sz w:val="18"/>
          <w:szCs w:val="18"/>
        </w:rPr>
        <w:t>Participación ciudadana y acceso a la información pública</w:t>
      </w:r>
      <w:r w:rsidR="0083358E" w:rsidRPr="00345B0F">
        <w:rPr>
          <w:rFonts w:ascii="Aptos" w:hAnsi="Aptos"/>
          <w:sz w:val="18"/>
          <w:szCs w:val="18"/>
        </w:rPr>
        <w:t xml:space="preserve">. Coord. por Ernesto Villanueva (México: Instituto de Investigaciones Jurídicas de la Universidad Autónoma de México, 2010), 381-402.  </w:t>
      </w:r>
    </w:p>
  </w:footnote>
  <w:footnote w:id="15">
    <w:p w14:paraId="35068D95" w14:textId="43550398" w:rsidR="00C741D4" w:rsidRPr="00345B0F" w:rsidRDefault="00C741D4" w:rsidP="00345B0F">
      <w:pPr>
        <w:pStyle w:val="BIOLpie"/>
        <w:rPr>
          <w:rFonts w:ascii="Aptos" w:hAnsi="Aptos"/>
          <w:sz w:val="18"/>
          <w:szCs w:val="18"/>
        </w:rPr>
      </w:pPr>
      <w:r w:rsidRPr="00345B0F">
        <w:rPr>
          <w:rStyle w:val="Refdenotaalpie"/>
          <w:rFonts w:ascii="Aptos" w:hAnsi="Aptos"/>
          <w:sz w:val="18"/>
          <w:szCs w:val="18"/>
        </w:rPr>
        <w:footnoteRef/>
      </w:r>
      <w:r w:rsidRPr="00345B0F">
        <w:rPr>
          <w:rFonts w:ascii="Aptos" w:hAnsi="Aptos"/>
          <w:sz w:val="18"/>
          <w:szCs w:val="18"/>
        </w:rPr>
        <w:t xml:space="preserve"> </w:t>
      </w:r>
      <w:r w:rsidR="0083358E" w:rsidRPr="00345B0F">
        <w:rPr>
          <w:rFonts w:ascii="Aptos" w:hAnsi="Aptos"/>
          <w:sz w:val="18"/>
          <w:szCs w:val="18"/>
        </w:rPr>
        <w:t xml:space="preserve">Real Academia Española, </w:t>
      </w:r>
      <w:r w:rsidR="0083358E" w:rsidRPr="00345B0F">
        <w:rPr>
          <w:rFonts w:ascii="Aptos" w:hAnsi="Aptos"/>
          <w:i/>
          <w:sz w:val="18"/>
          <w:szCs w:val="18"/>
        </w:rPr>
        <w:t>Diccionario de la lengua española</w:t>
      </w:r>
      <w:r w:rsidR="0083358E" w:rsidRPr="00345B0F">
        <w:rPr>
          <w:rFonts w:ascii="Aptos" w:hAnsi="Aptos"/>
          <w:sz w:val="18"/>
          <w:szCs w:val="18"/>
        </w:rPr>
        <w:t xml:space="preserve"> (España: Planeta Publishing, 2015).</w:t>
      </w:r>
    </w:p>
  </w:footnote>
  <w:footnote w:id="16">
    <w:p w14:paraId="59C56D6E" w14:textId="4941F99B" w:rsidR="00C741D4" w:rsidRPr="00345B0F" w:rsidRDefault="00C741D4" w:rsidP="00345B0F">
      <w:pPr>
        <w:pStyle w:val="BIOLpie"/>
        <w:rPr>
          <w:rFonts w:ascii="Aptos" w:hAnsi="Aptos"/>
          <w:sz w:val="18"/>
          <w:szCs w:val="18"/>
        </w:rPr>
      </w:pPr>
      <w:r w:rsidRPr="00345B0F">
        <w:rPr>
          <w:rStyle w:val="Refdenotaalpie"/>
          <w:rFonts w:ascii="Aptos" w:hAnsi="Aptos"/>
          <w:sz w:val="18"/>
          <w:szCs w:val="18"/>
        </w:rPr>
        <w:footnoteRef/>
      </w:r>
      <w:r w:rsidRPr="00345B0F">
        <w:rPr>
          <w:rFonts w:ascii="Aptos" w:hAnsi="Aptos"/>
          <w:sz w:val="18"/>
          <w:szCs w:val="18"/>
        </w:rPr>
        <w:t xml:space="preserve"> </w:t>
      </w:r>
      <w:r w:rsidRPr="00345B0F">
        <w:rPr>
          <w:rFonts w:ascii="Aptos" w:hAnsi="Aptos"/>
          <w:i/>
          <w:iCs/>
          <w:sz w:val="18"/>
          <w:szCs w:val="18"/>
        </w:rPr>
        <w:t>Ídem.</w:t>
      </w:r>
      <w:r w:rsidRPr="00345B0F">
        <w:rPr>
          <w:rFonts w:ascii="Aptos" w:hAnsi="Aptos"/>
          <w:sz w:val="18"/>
          <w:szCs w:val="18"/>
        </w:rPr>
        <w:t xml:space="preserve"> </w:t>
      </w:r>
    </w:p>
  </w:footnote>
  <w:footnote w:id="17">
    <w:p w14:paraId="6DB656B1" w14:textId="3C7D2D6D" w:rsidR="00C741D4" w:rsidRPr="00345B0F" w:rsidRDefault="00C741D4" w:rsidP="00345B0F">
      <w:pPr>
        <w:pStyle w:val="BIOLpie"/>
        <w:rPr>
          <w:rFonts w:ascii="Aptos" w:hAnsi="Aptos"/>
          <w:sz w:val="18"/>
          <w:szCs w:val="18"/>
        </w:rPr>
      </w:pPr>
      <w:r w:rsidRPr="00345B0F">
        <w:rPr>
          <w:rStyle w:val="Refdenotaalpie"/>
          <w:rFonts w:ascii="Aptos" w:hAnsi="Aptos"/>
          <w:sz w:val="18"/>
          <w:szCs w:val="18"/>
        </w:rPr>
        <w:footnoteRef/>
      </w:r>
      <w:r w:rsidRPr="00345B0F">
        <w:rPr>
          <w:rFonts w:ascii="Aptos" w:hAnsi="Aptos"/>
          <w:sz w:val="18"/>
          <w:szCs w:val="18"/>
        </w:rPr>
        <w:t xml:space="preserve"> </w:t>
      </w:r>
      <w:r w:rsidR="0083358E" w:rsidRPr="00345B0F">
        <w:rPr>
          <w:rFonts w:ascii="Aptos" w:hAnsi="Aptos"/>
          <w:sz w:val="18"/>
          <w:szCs w:val="18"/>
        </w:rPr>
        <w:t>Miguel Ángel Sánchez Ramos, “</w:t>
      </w:r>
      <w:r w:rsidR="0083358E" w:rsidRPr="00345B0F">
        <w:rPr>
          <w:rFonts w:ascii="Aptos" w:hAnsi="Aptos"/>
          <w:iCs/>
          <w:sz w:val="18"/>
          <w:szCs w:val="18"/>
        </w:rPr>
        <w:t>La participación ciudadana en la esfera de lo público”,</w:t>
      </w:r>
      <w:r w:rsidR="0083358E" w:rsidRPr="00345B0F">
        <w:rPr>
          <w:rFonts w:ascii="Aptos" w:hAnsi="Aptos"/>
          <w:sz w:val="18"/>
          <w:szCs w:val="18"/>
        </w:rPr>
        <w:t xml:space="preserve"> </w:t>
      </w:r>
      <w:r w:rsidR="0083358E" w:rsidRPr="00345B0F">
        <w:rPr>
          <w:rFonts w:ascii="Aptos" w:hAnsi="Aptos"/>
          <w:i/>
          <w:sz w:val="18"/>
          <w:szCs w:val="18"/>
        </w:rPr>
        <w:t>Espacios Públicos</w:t>
      </w:r>
      <w:r w:rsidR="0083358E" w:rsidRPr="00345B0F">
        <w:rPr>
          <w:rFonts w:ascii="Aptos" w:hAnsi="Aptos"/>
          <w:sz w:val="18"/>
          <w:szCs w:val="18"/>
        </w:rPr>
        <w:t xml:space="preserve"> 12, </w:t>
      </w:r>
      <w:proofErr w:type="spellStart"/>
      <w:proofErr w:type="gramStart"/>
      <w:r w:rsidR="0083358E" w:rsidRPr="00345B0F">
        <w:rPr>
          <w:rFonts w:ascii="Aptos" w:hAnsi="Aptos"/>
          <w:sz w:val="18"/>
          <w:szCs w:val="18"/>
        </w:rPr>
        <w:t>n.</w:t>
      </w:r>
      <w:r w:rsidR="0083358E" w:rsidRPr="00345B0F">
        <w:rPr>
          <w:rFonts w:ascii="Aptos" w:hAnsi="Aptos"/>
          <w:sz w:val="18"/>
          <w:szCs w:val="18"/>
          <w:vertAlign w:val="superscript"/>
        </w:rPr>
        <w:t>o</w:t>
      </w:r>
      <w:proofErr w:type="spellEnd"/>
      <w:r w:rsidR="0083358E" w:rsidRPr="00345B0F">
        <w:rPr>
          <w:rFonts w:ascii="Aptos" w:hAnsi="Aptos"/>
          <w:sz w:val="18"/>
          <w:szCs w:val="18"/>
        </w:rPr>
        <w:t xml:space="preserve">  25</w:t>
      </w:r>
      <w:proofErr w:type="gramEnd"/>
      <w:r w:rsidR="0083358E" w:rsidRPr="00345B0F">
        <w:rPr>
          <w:rFonts w:ascii="Aptos" w:hAnsi="Aptos"/>
          <w:sz w:val="18"/>
          <w:szCs w:val="18"/>
        </w:rPr>
        <w:t xml:space="preserve"> (2009), 85-102.</w:t>
      </w:r>
    </w:p>
  </w:footnote>
  <w:footnote w:id="18">
    <w:p w14:paraId="3F74A78A" w14:textId="4DC8C335" w:rsidR="00C741D4" w:rsidRPr="00345B0F" w:rsidRDefault="00C741D4" w:rsidP="00345B0F">
      <w:pPr>
        <w:pStyle w:val="BIOLpie"/>
        <w:rPr>
          <w:rFonts w:ascii="Aptos" w:hAnsi="Aptos"/>
          <w:sz w:val="18"/>
          <w:szCs w:val="18"/>
        </w:rPr>
      </w:pPr>
      <w:r w:rsidRPr="00345B0F">
        <w:rPr>
          <w:rStyle w:val="Refdenotaalpie"/>
          <w:rFonts w:ascii="Aptos" w:hAnsi="Aptos"/>
          <w:sz w:val="18"/>
          <w:szCs w:val="18"/>
        </w:rPr>
        <w:footnoteRef/>
      </w:r>
      <w:r w:rsidRPr="00345B0F">
        <w:rPr>
          <w:rFonts w:ascii="Aptos" w:hAnsi="Aptos"/>
          <w:sz w:val="18"/>
          <w:szCs w:val="18"/>
        </w:rPr>
        <w:t xml:space="preserve"> </w:t>
      </w:r>
      <w:r w:rsidR="0083358E" w:rsidRPr="00345B0F">
        <w:rPr>
          <w:rFonts w:ascii="Aptos" w:hAnsi="Aptos"/>
          <w:sz w:val="18"/>
          <w:szCs w:val="18"/>
        </w:rPr>
        <w:t xml:space="preserve">Néstor Vargas y Manuel Alejandro Galván, </w:t>
      </w:r>
      <w:r w:rsidR="0083358E" w:rsidRPr="00345B0F">
        <w:rPr>
          <w:rFonts w:ascii="Aptos" w:hAnsi="Aptos"/>
          <w:i/>
          <w:sz w:val="18"/>
          <w:szCs w:val="18"/>
        </w:rPr>
        <w:t>La participación ciudadana en la Ciudad de México: panorama, retos y perspectivas</w:t>
      </w:r>
      <w:r w:rsidR="0083358E" w:rsidRPr="00345B0F">
        <w:rPr>
          <w:rFonts w:ascii="Aptos" w:hAnsi="Aptos"/>
          <w:sz w:val="18"/>
          <w:szCs w:val="18"/>
        </w:rPr>
        <w:t>. Coord. por Alfonso Ayala Sánchez (México: Instituto de Investigaciones Jurídicas de la Universidad Autónoma de México, 2014), 433-463.</w:t>
      </w:r>
    </w:p>
  </w:footnote>
  <w:footnote w:id="19">
    <w:p w14:paraId="2800B3C9" w14:textId="6C76957C" w:rsidR="00C741D4" w:rsidRPr="00345B0F" w:rsidRDefault="00C741D4" w:rsidP="00345B0F">
      <w:pPr>
        <w:pStyle w:val="BIOLpie"/>
        <w:jc w:val="left"/>
        <w:rPr>
          <w:rFonts w:ascii="Aptos" w:hAnsi="Aptos"/>
          <w:sz w:val="18"/>
          <w:szCs w:val="18"/>
        </w:rPr>
      </w:pPr>
      <w:r w:rsidRPr="00345B0F">
        <w:rPr>
          <w:rStyle w:val="Refdenotaalpie"/>
          <w:rFonts w:ascii="Aptos" w:hAnsi="Aptos"/>
          <w:sz w:val="18"/>
          <w:szCs w:val="18"/>
        </w:rPr>
        <w:footnoteRef/>
      </w:r>
      <w:r w:rsidRPr="00345B0F">
        <w:rPr>
          <w:rFonts w:ascii="Aptos" w:hAnsi="Aptos"/>
          <w:sz w:val="18"/>
          <w:szCs w:val="18"/>
        </w:rPr>
        <w:t xml:space="preserve"> </w:t>
      </w:r>
      <w:r w:rsidR="0083358E" w:rsidRPr="00345B0F">
        <w:rPr>
          <w:rFonts w:ascii="Aptos" w:hAnsi="Aptos"/>
          <w:sz w:val="18"/>
          <w:szCs w:val="18"/>
        </w:rPr>
        <w:t xml:space="preserve">“Centro de Estudios Sociales y de Opinión Pública (CESOP),” </w:t>
      </w:r>
      <w:r w:rsidR="0083358E" w:rsidRPr="00345B0F">
        <w:rPr>
          <w:rFonts w:ascii="Aptos" w:hAnsi="Aptos"/>
          <w:i/>
          <w:iCs/>
          <w:sz w:val="18"/>
          <w:szCs w:val="18"/>
        </w:rPr>
        <w:t>Cámara de Diputados</w:t>
      </w:r>
      <w:r w:rsidR="0083358E" w:rsidRPr="00345B0F">
        <w:rPr>
          <w:rFonts w:ascii="Aptos" w:hAnsi="Aptos"/>
          <w:sz w:val="18"/>
          <w:szCs w:val="18"/>
        </w:rPr>
        <w:t xml:space="preserve">, </w:t>
      </w:r>
      <w:hyperlink r:id="rId4" w:tgtFrame="_new" w:history="1">
        <w:r w:rsidR="0083358E" w:rsidRPr="00345B0F">
          <w:rPr>
            <w:rFonts w:ascii="Aptos" w:hAnsi="Aptos"/>
            <w:color w:val="0000FF"/>
            <w:sz w:val="18"/>
            <w:szCs w:val="18"/>
            <w:u w:val="single"/>
          </w:rPr>
          <w:t>https://www.diputados.gob.mx/Centros_Estudio/Cesop</w:t>
        </w:r>
      </w:hyperlink>
      <w:r w:rsidR="0083358E" w:rsidRPr="00345B0F">
        <w:rPr>
          <w:rFonts w:ascii="Aptos" w:hAnsi="Aptos"/>
          <w:sz w:val="18"/>
          <w:szCs w:val="18"/>
        </w:rPr>
        <w:t>.</w:t>
      </w:r>
    </w:p>
  </w:footnote>
  <w:footnote w:id="20">
    <w:p w14:paraId="0FB54B89" w14:textId="4C00DF6E" w:rsidR="006F5628" w:rsidRPr="00345B0F" w:rsidRDefault="006F5628" w:rsidP="00345B0F">
      <w:pPr>
        <w:pStyle w:val="BIOLpie"/>
        <w:rPr>
          <w:rFonts w:ascii="Aptos" w:hAnsi="Aptos"/>
          <w:sz w:val="18"/>
          <w:szCs w:val="18"/>
        </w:rPr>
      </w:pPr>
      <w:r w:rsidRPr="00345B0F">
        <w:rPr>
          <w:rStyle w:val="Refdenotaalpie"/>
          <w:rFonts w:ascii="Aptos" w:hAnsi="Aptos"/>
          <w:sz w:val="18"/>
          <w:szCs w:val="18"/>
        </w:rPr>
        <w:footnoteRef/>
      </w:r>
      <w:r w:rsidRPr="00345B0F">
        <w:rPr>
          <w:rFonts w:ascii="Aptos" w:hAnsi="Aptos"/>
          <w:sz w:val="18"/>
          <w:szCs w:val="18"/>
        </w:rPr>
        <w:t xml:space="preserve"> </w:t>
      </w:r>
      <w:r w:rsidRPr="00345B0F">
        <w:rPr>
          <w:rFonts w:ascii="Aptos" w:hAnsi="Aptos"/>
          <w:i/>
          <w:iCs/>
          <w:sz w:val="18"/>
          <w:szCs w:val="18"/>
        </w:rPr>
        <w:t>Ídem</w:t>
      </w:r>
      <w:r w:rsidRPr="00345B0F">
        <w:rPr>
          <w:rFonts w:ascii="Aptos" w:hAnsi="Aptos"/>
          <w:sz w:val="18"/>
          <w:szCs w:val="18"/>
        </w:rPr>
        <w:t>.</w:t>
      </w:r>
    </w:p>
  </w:footnote>
  <w:footnote w:id="21">
    <w:p w14:paraId="292E540E" w14:textId="66747FC5" w:rsidR="00C741D4" w:rsidRPr="00345B0F" w:rsidRDefault="00C741D4" w:rsidP="00345B0F">
      <w:pPr>
        <w:pStyle w:val="BIOLpie"/>
        <w:jc w:val="left"/>
        <w:rPr>
          <w:rFonts w:ascii="Aptos" w:eastAsia="Times New Roman" w:hAnsi="Aptos"/>
          <w:sz w:val="18"/>
          <w:szCs w:val="18"/>
          <w:lang w:eastAsia="zh-CN"/>
        </w:rPr>
      </w:pPr>
      <w:r w:rsidRPr="00345B0F">
        <w:rPr>
          <w:rStyle w:val="Refdenotaalpie"/>
          <w:rFonts w:ascii="Aptos" w:hAnsi="Aptos"/>
          <w:sz w:val="18"/>
          <w:szCs w:val="18"/>
        </w:rPr>
        <w:footnoteRef/>
      </w:r>
      <w:r w:rsidRPr="00345B0F">
        <w:rPr>
          <w:rFonts w:ascii="Aptos" w:hAnsi="Aptos"/>
          <w:sz w:val="18"/>
          <w:szCs w:val="18"/>
        </w:rPr>
        <w:t xml:space="preserve"> </w:t>
      </w:r>
      <w:r w:rsidR="0083358E" w:rsidRPr="00345B0F">
        <w:rPr>
          <w:rFonts w:ascii="Aptos" w:eastAsia="Times New Roman" w:hAnsi="Aptos"/>
          <w:sz w:val="18"/>
          <w:szCs w:val="18"/>
          <w:lang w:eastAsia="zh-CN"/>
        </w:rPr>
        <w:t>“</w:t>
      </w:r>
      <w:r w:rsidR="0083358E" w:rsidRPr="00345B0F">
        <w:rPr>
          <w:rFonts w:ascii="Aptos" w:eastAsia="Times New Roman" w:hAnsi="Aptos"/>
          <w:i/>
          <w:iCs/>
          <w:sz w:val="18"/>
          <w:szCs w:val="18"/>
          <w:lang w:eastAsia="zh-CN"/>
        </w:rPr>
        <w:t>El acceso a la información como derecho fundamental</w:t>
      </w:r>
      <w:r w:rsidR="0083358E" w:rsidRPr="00345B0F">
        <w:rPr>
          <w:rFonts w:ascii="Aptos" w:eastAsia="Times New Roman" w:hAnsi="Aptos"/>
          <w:sz w:val="18"/>
          <w:szCs w:val="18"/>
          <w:lang w:eastAsia="zh-CN"/>
        </w:rPr>
        <w:t xml:space="preserve">,” </w:t>
      </w:r>
      <w:proofErr w:type="spellStart"/>
      <w:r w:rsidR="0083358E" w:rsidRPr="00345B0F">
        <w:rPr>
          <w:rFonts w:ascii="Aptos" w:eastAsia="Times New Roman" w:hAnsi="Aptos"/>
          <w:sz w:val="18"/>
          <w:szCs w:val="18"/>
          <w:lang w:eastAsia="zh-CN"/>
        </w:rPr>
        <w:t>Ichitaip</w:t>
      </w:r>
      <w:proofErr w:type="spellEnd"/>
      <w:r w:rsidR="0083358E" w:rsidRPr="00345B0F">
        <w:rPr>
          <w:rFonts w:ascii="Aptos" w:eastAsia="Times New Roman" w:hAnsi="Aptos"/>
          <w:sz w:val="18"/>
          <w:szCs w:val="18"/>
          <w:lang w:eastAsia="zh-CN"/>
        </w:rPr>
        <w:t xml:space="preserve">, </w:t>
      </w:r>
      <w:hyperlink r:id="rId5" w:history="1">
        <w:r w:rsidR="0083358E" w:rsidRPr="00345B0F">
          <w:rPr>
            <w:rFonts w:ascii="Aptos" w:eastAsia="Times New Roman" w:hAnsi="Aptos"/>
            <w:color w:val="0000FF"/>
            <w:sz w:val="18"/>
            <w:szCs w:val="18"/>
            <w:u w:val="single"/>
            <w:lang w:eastAsia="zh-CN"/>
          </w:rPr>
          <w:t>http://www.ichitaip.org/infoweb/archivos/ensayos/ai_derecho_fundamental.pdf</w:t>
        </w:r>
      </w:hyperlink>
      <w:r w:rsidR="0083358E" w:rsidRPr="00345B0F">
        <w:rPr>
          <w:rFonts w:ascii="Aptos" w:eastAsia="Times New Roman" w:hAnsi="Aptos"/>
          <w:sz w:val="18"/>
          <w:szCs w:val="18"/>
          <w:lang w:eastAsia="zh-CN"/>
        </w:rPr>
        <w:t>. (</w:t>
      </w:r>
      <w:hyperlink r:id="rId6" w:tooltip="El Acceso a la Información como Derecho Fundamental" w:history="1">
        <w:r w:rsidR="0083358E" w:rsidRPr="00345B0F">
          <w:rPr>
            <w:rFonts w:ascii="Aptos" w:eastAsia="Times New Roman" w:hAnsi="Aptos"/>
            <w:color w:val="0000FF"/>
            <w:sz w:val="18"/>
            <w:szCs w:val="18"/>
            <w:u w:val="single"/>
            <w:lang w:eastAsia="zh-CN"/>
          </w:rPr>
          <w:t>ichitaip.org</w:t>
        </w:r>
      </w:hyperlink>
      <w:r w:rsidR="0083358E" w:rsidRPr="00345B0F">
        <w:rPr>
          <w:rFonts w:ascii="Aptos" w:eastAsia="Times New Roman" w:hAnsi="Aptos"/>
          <w:sz w:val="18"/>
          <w:szCs w:val="18"/>
          <w:lang w:eastAsia="zh-CN"/>
        </w:rPr>
        <w:t>)</w:t>
      </w:r>
    </w:p>
  </w:footnote>
  <w:footnote w:id="22">
    <w:p w14:paraId="3AF807CE" w14:textId="31AE5C5B" w:rsidR="00CC07D8" w:rsidRPr="00345B0F" w:rsidRDefault="00CC07D8" w:rsidP="00345B0F">
      <w:pPr>
        <w:pStyle w:val="BIOLpie"/>
        <w:rPr>
          <w:rFonts w:ascii="Aptos" w:hAnsi="Aptos"/>
          <w:sz w:val="18"/>
          <w:szCs w:val="18"/>
        </w:rPr>
      </w:pPr>
      <w:r w:rsidRPr="00345B0F">
        <w:rPr>
          <w:rStyle w:val="Refdenotaalpie"/>
          <w:rFonts w:ascii="Aptos" w:hAnsi="Aptos"/>
          <w:sz w:val="18"/>
          <w:szCs w:val="18"/>
        </w:rPr>
        <w:footnoteRef/>
      </w:r>
      <w:r w:rsidRPr="00345B0F">
        <w:rPr>
          <w:rFonts w:ascii="Aptos" w:hAnsi="Aptos"/>
          <w:sz w:val="18"/>
          <w:szCs w:val="18"/>
        </w:rPr>
        <w:t xml:space="preserve"> </w:t>
      </w:r>
      <w:r w:rsidR="0083358E" w:rsidRPr="00345B0F">
        <w:rPr>
          <w:rFonts w:ascii="Aptos" w:hAnsi="Aptos"/>
          <w:sz w:val="18"/>
          <w:szCs w:val="18"/>
        </w:rPr>
        <w:t xml:space="preserve">Sergio López Ayllón, </w:t>
      </w:r>
      <w:r w:rsidR="0083358E" w:rsidRPr="00345B0F">
        <w:rPr>
          <w:rFonts w:ascii="Aptos" w:hAnsi="Aptos"/>
          <w:i/>
          <w:sz w:val="18"/>
          <w:szCs w:val="18"/>
        </w:rPr>
        <w:t xml:space="preserve">El derecho a la información como derecho fundamental. </w:t>
      </w:r>
      <w:r w:rsidR="0083358E" w:rsidRPr="00345B0F">
        <w:rPr>
          <w:rFonts w:ascii="Aptos" w:hAnsi="Aptos"/>
          <w:sz w:val="18"/>
          <w:szCs w:val="18"/>
        </w:rPr>
        <w:t>Coord. por</w:t>
      </w:r>
      <w:r w:rsidR="0083358E" w:rsidRPr="00345B0F">
        <w:rPr>
          <w:rFonts w:ascii="Aptos" w:hAnsi="Aptos"/>
          <w:i/>
          <w:sz w:val="18"/>
          <w:szCs w:val="18"/>
        </w:rPr>
        <w:t xml:space="preserve"> </w:t>
      </w:r>
      <w:r w:rsidR="0083358E" w:rsidRPr="00345B0F">
        <w:rPr>
          <w:rFonts w:ascii="Aptos" w:hAnsi="Aptos"/>
          <w:sz w:val="18"/>
          <w:szCs w:val="18"/>
        </w:rPr>
        <w:t xml:space="preserve">Jorge Carpizo y Miguel Carbonell (México: Instituto Investigaciones Jurídicas de la de la Universidad Autónoma de México, 2009), 157-181.  </w:t>
      </w:r>
    </w:p>
  </w:footnote>
  <w:footnote w:id="23">
    <w:p w14:paraId="69D2693A" w14:textId="2423C107" w:rsidR="0083358E" w:rsidRPr="00345B0F" w:rsidRDefault="00C741D4" w:rsidP="00345B0F">
      <w:pPr>
        <w:pStyle w:val="BIOLpie"/>
        <w:jc w:val="left"/>
        <w:rPr>
          <w:rFonts w:ascii="Aptos" w:eastAsia="Times New Roman" w:hAnsi="Aptos" w:cs="Times New Roman"/>
          <w:sz w:val="18"/>
          <w:szCs w:val="18"/>
          <w:lang w:eastAsia="zh-CN"/>
        </w:rPr>
      </w:pPr>
      <w:r w:rsidRPr="00345B0F">
        <w:rPr>
          <w:rStyle w:val="Refdenotaalpie"/>
          <w:rFonts w:ascii="Aptos" w:hAnsi="Aptos"/>
          <w:sz w:val="18"/>
          <w:szCs w:val="18"/>
        </w:rPr>
        <w:footnoteRef/>
      </w:r>
      <w:r w:rsidRPr="00345B0F">
        <w:rPr>
          <w:rFonts w:ascii="Aptos" w:hAnsi="Aptos"/>
          <w:sz w:val="18"/>
          <w:szCs w:val="18"/>
        </w:rPr>
        <w:t xml:space="preserve"> </w:t>
      </w:r>
      <w:r w:rsidR="0083358E" w:rsidRPr="00345B0F">
        <w:rPr>
          <w:rFonts w:ascii="Aptos" w:eastAsia="Times New Roman" w:hAnsi="Aptos" w:cs="Times New Roman"/>
          <w:sz w:val="18"/>
          <w:szCs w:val="18"/>
          <w:lang w:eastAsia="zh-CN"/>
        </w:rPr>
        <w:t xml:space="preserve">“Estadísticas Lista Nominal y Padrón Electoral,” </w:t>
      </w:r>
      <w:r w:rsidR="0083358E" w:rsidRPr="00345B0F">
        <w:rPr>
          <w:rFonts w:ascii="Aptos" w:eastAsia="Times New Roman" w:hAnsi="Aptos" w:cs="Times New Roman"/>
          <w:i/>
          <w:iCs/>
          <w:sz w:val="18"/>
          <w:szCs w:val="18"/>
          <w:lang w:eastAsia="zh-CN"/>
        </w:rPr>
        <w:t>Instituto Nacional Electoral</w:t>
      </w:r>
      <w:r w:rsidR="0083358E" w:rsidRPr="00345B0F">
        <w:rPr>
          <w:rFonts w:ascii="Aptos" w:eastAsia="Times New Roman" w:hAnsi="Aptos" w:cs="Times New Roman"/>
          <w:sz w:val="18"/>
          <w:szCs w:val="18"/>
          <w:lang w:eastAsia="zh-CN"/>
        </w:rPr>
        <w:t xml:space="preserve">, </w:t>
      </w:r>
      <w:hyperlink r:id="rId7" w:history="1">
        <w:r w:rsidR="0083358E" w:rsidRPr="00345B0F">
          <w:rPr>
            <w:rFonts w:ascii="Aptos" w:eastAsia="Times New Roman" w:hAnsi="Aptos" w:cs="Times New Roman"/>
            <w:color w:val="0000FF"/>
            <w:sz w:val="18"/>
            <w:szCs w:val="18"/>
            <w:u w:val="single"/>
            <w:lang w:eastAsia="zh-CN"/>
          </w:rPr>
          <w:t>https://www.ine.mx/credencial/estadisticas-lista-nominal-padron-electoral/</w:t>
        </w:r>
      </w:hyperlink>
      <w:r w:rsidR="0083358E" w:rsidRPr="00345B0F">
        <w:rPr>
          <w:rFonts w:ascii="Aptos" w:eastAsia="Times New Roman" w:hAnsi="Aptos" w:cs="Times New Roman"/>
          <w:sz w:val="18"/>
          <w:szCs w:val="18"/>
          <w:lang w:eastAsia="zh-CN"/>
        </w:rPr>
        <w:t>.</w:t>
      </w:r>
    </w:p>
    <w:p w14:paraId="6F54D57F" w14:textId="481BBE72" w:rsidR="00C741D4" w:rsidRPr="00345B0F" w:rsidRDefault="00C741D4" w:rsidP="00345B0F">
      <w:pPr>
        <w:pStyle w:val="BIOLpie"/>
        <w:rPr>
          <w:rFonts w:ascii="Aptos" w:hAnsi="Aptos"/>
          <w:sz w:val="18"/>
          <w:szCs w:val="18"/>
        </w:rPr>
      </w:pPr>
    </w:p>
  </w:footnote>
  <w:footnote w:id="24">
    <w:p w14:paraId="137F7F42" w14:textId="6C91ED40" w:rsidR="00C741D4" w:rsidRPr="00345B0F" w:rsidRDefault="00C741D4" w:rsidP="00345B0F">
      <w:pPr>
        <w:pStyle w:val="BIOLpie"/>
        <w:rPr>
          <w:rFonts w:ascii="Aptos" w:hAnsi="Aptos"/>
          <w:sz w:val="18"/>
          <w:szCs w:val="18"/>
        </w:rPr>
      </w:pPr>
      <w:bookmarkStart w:id="13" w:name="_Hlk50747611"/>
      <w:bookmarkStart w:id="14" w:name="_Hlk50747612"/>
      <w:bookmarkStart w:id="15" w:name="_Hlk50747613"/>
      <w:bookmarkStart w:id="16" w:name="_Hlk50747614"/>
      <w:r w:rsidRPr="00345B0F">
        <w:rPr>
          <w:rStyle w:val="Refdenotaalpie"/>
          <w:rFonts w:ascii="Aptos" w:hAnsi="Aptos"/>
          <w:sz w:val="18"/>
          <w:szCs w:val="18"/>
        </w:rPr>
        <w:footnoteRef/>
      </w:r>
      <w:r w:rsidRPr="00345B0F">
        <w:rPr>
          <w:rFonts w:ascii="Aptos" w:hAnsi="Aptos"/>
          <w:sz w:val="18"/>
          <w:szCs w:val="18"/>
        </w:rPr>
        <w:t xml:space="preserve"> </w:t>
      </w:r>
      <w:bookmarkEnd w:id="13"/>
      <w:bookmarkEnd w:id="14"/>
      <w:bookmarkEnd w:id="15"/>
      <w:bookmarkEnd w:id="16"/>
      <w:r w:rsidR="0083358E" w:rsidRPr="00345B0F">
        <w:rPr>
          <w:rFonts w:ascii="Aptos" w:hAnsi="Aptos"/>
          <w:sz w:val="18"/>
          <w:szCs w:val="18"/>
        </w:rPr>
        <w:t xml:space="preserve">Miguel Alejandro López Olvera, </w:t>
      </w:r>
      <w:r w:rsidR="0083358E" w:rsidRPr="00345B0F">
        <w:rPr>
          <w:rFonts w:ascii="Aptos" w:hAnsi="Aptos"/>
          <w:i/>
          <w:sz w:val="18"/>
          <w:szCs w:val="18"/>
        </w:rPr>
        <w:t>Participación ciudadana</w:t>
      </w:r>
      <w:r w:rsidR="0083358E" w:rsidRPr="00345B0F">
        <w:rPr>
          <w:rFonts w:ascii="Aptos" w:hAnsi="Aptos"/>
          <w:sz w:val="18"/>
          <w:szCs w:val="18"/>
        </w:rPr>
        <w:t>…,</w:t>
      </w:r>
      <w:r w:rsidR="0083358E" w:rsidRPr="00345B0F">
        <w:rPr>
          <w:rFonts w:ascii="Aptos" w:hAnsi="Aptos"/>
          <w:i/>
          <w:sz w:val="18"/>
          <w:szCs w:val="18"/>
        </w:rPr>
        <w:t xml:space="preserve"> </w:t>
      </w:r>
      <w:r w:rsidR="0083358E" w:rsidRPr="00345B0F">
        <w:rPr>
          <w:rFonts w:ascii="Aptos" w:hAnsi="Aptos"/>
          <w:sz w:val="18"/>
          <w:szCs w:val="18"/>
        </w:rPr>
        <w:t xml:space="preserve">381-402.  </w:t>
      </w:r>
    </w:p>
  </w:footnote>
  <w:footnote w:id="25">
    <w:p w14:paraId="1B1FDBA2" w14:textId="2EFED51D" w:rsidR="00C741D4" w:rsidRPr="00345B0F" w:rsidRDefault="00C741D4" w:rsidP="00345B0F">
      <w:pPr>
        <w:pStyle w:val="BIOLpie"/>
        <w:rPr>
          <w:rFonts w:ascii="Aptos" w:hAnsi="Aptos"/>
          <w:sz w:val="18"/>
          <w:szCs w:val="18"/>
        </w:rPr>
      </w:pPr>
      <w:r w:rsidRPr="00345B0F">
        <w:rPr>
          <w:rStyle w:val="Refdenotaalpie"/>
          <w:rFonts w:ascii="Aptos" w:hAnsi="Aptos"/>
          <w:sz w:val="18"/>
          <w:szCs w:val="18"/>
        </w:rPr>
        <w:footnoteRef/>
      </w:r>
      <w:r w:rsidRPr="00345B0F">
        <w:rPr>
          <w:rFonts w:ascii="Aptos" w:hAnsi="Aptos"/>
          <w:sz w:val="18"/>
          <w:szCs w:val="18"/>
        </w:rPr>
        <w:t xml:space="preserve"> </w:t>
      </w:r>
      <w:r w:rsidR="0083358E" w:rsidRPr="00345B0F">
        <w:rPr>
          <w:rFonts w:ascii="Aptos" w:hAnsi="Aptos"/>
          <w:sz w:val="18"/>
          <w:szCs w:val="18"/>
        </w:rPr>
        <w:t xml:space="preserve">Hernández y Álvarez, </w:t>
      </w:r>
      <w:r w:rsidR="0083358E" w:rsidRPr="00345B0F">
        <w:rPr>
          <w:rFonts w:ascii="Aptos" w:hAnsi="Aptos"/>
          <w:i/>
          <w:sz w:val="18"/>
          <w:szCs w:val="18"/>
        </w:rPr>
        <w:t>La transparencia</w:t>
      </w:r>
      <w:r w:rsidR="0083358E" w:rsidRPr="00345B0F">
        <w:rPr>
          <w:rFonts w:ascii="Aptos" w:hAnsi="Aptos"/>
          <w:sz w:val="18"/>
          <w:szCs w:val="18"/>
        </w:rPr>
        <w:t>…</w:t>
      </w:r>
      <w:r w:rsidR="0083358E" w:rsidRPr="00345B0F">
        <w:rPr>
          <w:rFonts w:ascii="Aptos" w:hAnsi="Aptos"/>
          <w:iCs/>
          <w:sz w:val="18"/>
          <w:szCs w:val="18"/>
        </w:rPr>
        <w:t>, 22.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B585E" w14:textId="4DC98360" w:rsidR="00345B0F" w:rsidRPr="0015704F" w:rsidRDefault="00345B0F" w:rsidP="0015704F">
    <w:pPr>
      <w:tabs>
        <w:tab w:val="center" w:pos="4252"/>
        <w:tab w:val="right" w:pos="8504"/>
      </w:tabs>
      <w:spacing w:after="0" w:line="240" w:lineRule="auto"/>
      <w:contextualSpacing/>
      <w:rPr>
        <w:rFonts w:ascii="Aptos" w:eastAsia="Times New Roman" w:hAnsi="Aptos" w:cs="Times New Roman"/>
        <w:sz w:val="18"/>
        <w:szCs w:val="18"/>
        <w:lang w:eastAsia="es-MX"/>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65CCE" w14:textId="45C5EE00" w:rsidR="00345B0F" w:rsidRPr="0015704F" w:rsidRDefault="00345B0F" w:rsidP="0015704F">
    <w:pPr>
      <w:tabs>
        <w:tab w:val="center" w:pos="4419"/>
        <w:tab w:val="right" w:pos="8838"/>
      </w:tabs>
      <w:spacing w:after="0" w:line="240" w:lineRule="auto"/>
      <w:rPr>
        <w:rFonts w:ascii="Calibri" w:eastAsia="Calibri" w:hAnsi="Calibri" w:cs="Times New Roman"/>
        <w:kern w:val="2"/>
        <w14:ligatures w14:val="standardContextua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DA9F0" w14:textId="7ADB1386" w:rsidR="00345B0F" w:rsidRPr="0015704F" w:rsidRDefault="00345B0F" w:rsidP="0015704F">
    <w:pPr>
      <w:tabs>
        <w:tab w:val="center" w:pos="4419"/>
        <w:tab w:val="right" w:pos="8838"/>
      </w:tabs>
      <w:spacing w:after="0" w:line="240" w:lineRule="auto"/>
      <w:rPr>
        <w:rFonts w:ascii="Aptos" w:eastAsia="Aptos" w:hAnsi="Aptos" w:cs="Times New Roman"/>
        <w:b/>
        <w:kern w:val="2"/>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1D0ACE"/>
    <w:multiLevelType w:val="hybridMultilevel"/>
    <w:tmpl w:val="F3D25FE6"/>
    <w:lvl w:ilvl="0" w:tplc="A8A8CCA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46CD6839"/>
    <w:multiLevelType w:val="hybridMultilevel"/>
    <w:tmpl w:val="29589BBA"/>
    <w:lvl w:ilvl="0" w:tplc="080A000F">
      <w:start w:val="1"/>
      <w:numFmt w:val="decimal"/>
      <w:lvlText w:val="%1."/>
      <w:lvlJc w:val="left"/>
      <w:pPr>
        <w:ind w:left="1428" w:hanging="360"/>
      </w:p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2" w15:restartNumberingAfterBreak="0">
    <w:nsid w:val="4C9E09B8"/>
    <w:multiLevelType w:val="hybridMultilevel"/>
    <w:tmpl w:val="D9E60C88"/>
    <w:lvl w:ilvl="0" w:tplc="07E05BD8">
      <w:start w:val="1"/>
      <w:numFmt w:val="lowerLetter"/>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 w15:restartNumberingAfterBreak="0">
    <w:nsid w:val="55167AB5"/>
    <w:multiLevelType w:val="hybridMultilevel"/>
    <w:tmpl w:val="A1388CA8"/>
    <w:lvl w:ilvl="0" w:tplc="7E620180">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4" w15:restartNumberingAfterBreak="0">
    <w:nsid w:val="676727C2"/>
    <w:multiLevelType w:val="hybridMultilevel"/>
    <w:tmpl w:val="8BB88316"/>
    <w:lvl w:ilvl="0" w:tplc="0E7AAC10">
      <w:start w:val="1"/>
      <w:numFmt w:val="lowerLetter"/>
      <w:lvlText w:val="%1."/>
      <w:lvlJc w:val="left"/>
      <w:pPr>
        <w:ind w:left="1065" w:hanging="360"/>
      </w:pPr>
      <w:rPr>
        <w:rFonts w:hint="default"/>
      </w:rPr>
    </w:lvl>
    <w:lvl w:ilvl="1" w:tplc="080A0019" w:tentative="1">
      <w:start w:val="1"/>
      <w:numFmt w:val="lowerLetter"/>
      <w:lvlText w:val="%2."/>
      <w:lvlJc w:val="left"/>
      <w:pPr>
        <w:ind w:left="1785" w:hanging="360"/>
      </w:pPr>
    </w:lvl>
    <w:lvl w:ilvl="2" w:tplc="080A001B" w:tentative="1">
      <w:start w:val="1"/>
      <w:numFmt w:val="lowerRoman"/>
      <w:lvlText w:val="%3."/>
      <w:lvlJc w:val="right"/>
      <w:pPr>
        <w:ind w:left="2505" w:hanging="180"/>
      </w:pPr>
    </w:lvl>
    <w:lvl w:ilvl="3" w:tplc="080A000F" w:tentative="1">
      <w:start w:val="1"/>
      <w:numFmt w:val="decimal"/>
      <w:lvlText w:val="%4."/>
      <w:lvlJc w:val="left"/>
      <w:pPr>
        <w:ind w:left="3225" w:hanging="360"/>
      </w:pPr>
    </w:lvl>
    <w:lvl w:ilvl="4" w:tplc="080A0019" w:tentative="1">
      <w:start w:val="1"/>
      <w:numFmt w:val="lowerLetter"/>
      <w:lvlText w:val="%5."/>
      <w:lvlJc w:val="left"/>
      <w:pPr>
        <w:ind w:left="3945" w:hanging="360"/>
      </w:pPr>
    </w:lvl>
    <w:lvl w:ilvl="5" w:tplc="080A001B" w:tentative="1">
      <w:start w:val="1"/>
      <w:numFmt w:val="lowerRoman"/>
      <w:lvlText w:val="%6."/>
      <w:lvlJc w:val="right"/>
      <w:pPr>
        <w:ind w:left="4665" w:hanging="180"/>
      </w:pPr>
    </w:lvl>
    <w:lvl w:ilvl="6" w:tplc="080A000F" w:tentative="1">
      <w:start w:val="1"/>
      <w:numFmt w:val="decimal"/>
      <w:lvlText w:val="%7."/>
      <w:lvlJc w:val="left"/>
      <w:pPr>
        <w:ind w:left="5385" w:hanging="360"/>
      </w:pPr>
    </w:lvl>
    <w:lvl w:ilvl="7" w:tplc="080A0019" w:tentative="1">
      <w:start w:val="1"/>
      <w:numFmt w:val="lowerLetter"/>
      <w:lvlText w:val="%8."/>
      <w:lvlJc w:val="left"/>
      <w:pPr>
        <w:ind w:left="6105" w:hanging="360"/>
      </w:pPr>
    </w:lvl>
    <w:lvl w:ilvl="8" w:tplc="080A001B" w:tentative="1">
      <w:start w:val="1"/>
      <w:numFmt w:val="lowerRoman"/>
      <w:lvlText w:val="%9."/>
      <w:lvlJc w:val="right"/>
      <w:pPr>
        <w:ind w:left="6825" w:hanging="180"/>
      </w:pPr>
    </w:lvl>
  </w:abstractNum>
  <w:abstractNum w:abstractNumId="5" w15:restartNumberingAfterBreak="0">
    <w:nsid w:val="76DC3810"/>
    <w:multiLevelType w:val="hybridMultilevel"/>
    <w:tmpl w:val="FFFAC03C"/>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 w15:restartNumberingAfterBreak="0">
    <w:nsid w:val="77500031"/>
    <w:multiLevelType w:val="hybridMultilevel"/>
    <w:tmpl w:val="1CAA0C26"/>
    <w:lvl w:ilvl="0" w:tplc="BEB4B88A">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7DB67A7B"/>
    <w:multiLevelType w:val="hybridMultilevel"/>
    <w:tmpl w:val="39FA7A42"/>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num w:numId="1" w16cid:durableId="66349079">
    <w:abstractNumId w:val="0"/>
  </w:num>
  <w:num w:numId="2" w16cid:durableId="377897950">
    <w:abstractNumId w:val="1"/>
  </w:num>
  <w:num w:numId="3" w16cid:durableId="985550483">
    <w:abstractNumId w:val="3"/>
  </w:num>
  <w:num w:numId="4" w16cid:durableId="1991249773">
    <w:abstractNumId w:val="2"/>
  </w:num>
  <w:num w:numId="5" w16cid:durableId="2021658348">
    <w:abstractNumId w:val="4"/>
  </w:num>
  <w:num w:numId="6" w16cid:durableId="1369800486">
    <w:abstractNumId w:val="6"/>
  </w:num>
  <w:num w:numId="7" w16cid:durableId="922883032">
    <w:abstractNumId w:val="7"/>
  </w:num>
  <w:num w:numId="8" w16cid:durableId="16207982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characterSpacingControl w:val="doNotCompress"/>
  <w:footnotePr>
    <w:footnote w:id="-1"/>
    <w:footnote w:id="0"/>
  </w:footnotePr>
  <w:endnotePr>
    <w:numFmt w:val="chicago"/>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B39"/>
    <w:rsid w:val="0000137B"/>
    <w:rsid w:val="000037DA"/>
    <w:rsid w:val="00006F6A"/>
    <w:rsid w:val="0000795E"/>
    <w:rsid w:val="00007B19"/>
    <w:rsid w:val="00013F6F"/>
    <w:rsid w:val="00024A85"/>
    <w:rsid w:val="0002728E"/>
    <w:rsid w:val="0003502B"/>
    <w:rsid w:val="000358F9"/>
    <w:rsid w:val="00037FF4"/>
    <w:rsid w:val="00052818"/>
    <w:rsid w:val="000636F9"/>
    <w:rsid w:val="00076529"/>
    <w:rsid w:val="00084FA2"/>
    <w:rsid w:val="00091425"/>
    <w:rsid w:val="000A1C97"/>
    <w:rsid w:val="000B1340"/>
    <w:rsid w:val="000B659D"/>
    <w:rsid w:val="000E09AC"/>
    <w:rsid w:val="000F5254"/>
    <w:rsid w:val="001026CE"/>
    <w:rsid w:val="001041C2"/>
    <w:rsid w:val="00110BA2"/>
    <w:rsid w:val="00112BB3"/>
    <w:rsid w:val="00123E5A"/>
    <w:rsid w:val="00126BD1"/>
    <w:rsid w:val="001524A5"/>
    <w:rsid w:val="0015267A"/>
    <w:rsid w:val="00152C89"/>
    <w:rsid w:val="0015704F"/>
    <w:rsid w:val="00174B5D"/>
    <w:rsid w:val="001757E6"/>
    <w:rsid w:val="00184D56"/>
    <w:rsid w:val="00185C65"/>
    <w:rsid w:val="00187EC1"/>
    <w:rsid w:val="00191D1F"/>
    <w:rsid w:val="00196BA9"/>
    <w:rsid w:val="001B3197"/>
    <w:rsid w:val="001B4C3A"/>
    <w:rsid w:val="001C5525"/>
    <w:rsid w:val="001C5EE0"/>
    <w:rsid w:val="001D3D9E"/>
    <w:rsid w:val="001F352E"/>
    <w:rsid w:val="001F48BF"/>
    <w:rsid w:val="00201BCB"/>
    <w:rsid w:val="00204F33"/>
    <w:rsid w:val="00206CC1"/>
    <w:rsid w:val="0021068A"/>
    <w:rsid w:val="00216744"/>
    <w:rsid w:val="00226025"/>
    <w:rsid w:val="00226FDF"/>
    <w:rsid w:val="0023591C"/>
    <w:rsid w:val="00251578"/>
    <w:rsid w:val="002604F8"/>
    <w:rsid w:val="00260F4E"/>
    <w:rsid w:val="00262B7E"/>
    <w:rsid w:val="00274851"/>
    <w:rsid w:val="002B005A"/>
    <w:rsid w:val="002B198A"/>
    <w:rsid w:val="002D5344"/>
    <w:rsid w:val="002E0487"/>
    <w:rsid w:val="002F52D5"/>
    <w:rsid w:val="002F7B3A"/>
    <w:rsid w:val="0033018B"/>
    <w:rsid w:val="0034482B"/>
    <w:rsid w:val="00344A8D"/>
    <w:rsid w:val="00345B0F"/>
    <w:rsid w:val="00362C87"/>
    <w:rsid w:val="003A12AD"/>
    <w:rsid w:val="003C3E82"/>
    <w:rsid w:val="003F6953"/>
    <w:rsid w:val="003F698A"/>
    <w:rsid w:val="0040064A"/>
    <w:rsid w:val="004214C2"/>
    <w:rsid w:val="00433D8C"/>
    <w:rsid w:val="0045127B"/>
    <w:rsid w:val="004523DB"/>
    <w:rsid w:val="0045433B"/>
    <w:rsid w:val="0046747F"/>
    <w:rsid w:val="00476BF8"/>
    <w:rsid w:val="004A10A2"/>
    <w:rsid w:val="004A2755"/>
    <w:rsid w:val="004B4114"/>
    <w:rsid w:val="004C27E3"/>
    <w:rsid w:val="004C7D89"/>
    <w:rsid w:val="004C7F01"/>
    <w:rsid w:val="004D12B5"/>
    <w:rsid w:val="004D1F50"/>
    <w:rsid w:val="004E03F7"/>
    <w:rsid w:val="004E246E"/>
    <w:rsid w:val="004E4866"/>
    <w:rsid w:val="0051006E"/>
    <w:rsid w:val="00515A14"/>
    <w:rsid w:val="005205B1"/>
    <w:rsid w:val="00541D52"/>
    <w:rsid w:val="00556452"/>
    <w:rsid w:val="005600BE"/>
    <w:rsid w:val="0056760F"/>
    <w:rsid w:val="005909CC"/>
    <w:rsid w:val="00596AF6"/>
    <w:rsid w:val="005A0D0C"/>
    <w:rsid w:val="005A604C"/>
    <w:rsid w:val="005A6329"/>
    <w:rsid w:val="005C0E85"/>
    <w:rsid w:val="005C1D52"/>
    <w:rsid w:val="005C324A"/>
    <w:rsid w:val="005C5798"/>
    <w:rsid w:val="005C5974"/>
    <w:rsid w:val="005D15F2"/>
    <w:rsid w:val="005D1A5A"/>
    <w:rsid w:val="005D46B4"/>
    <w:rsid w:val="005E2AD9"/>
    <w:rsid w:val="005E2DFC"/>
    <w:rsid w:val="005E6DF2"/>
    <w:rsid w:val="005F0324"/>
    <w:rsid w:val="005F3DCD"/>
    <w:rsid w:val="00606024"/>
    <w:rsid w:val="006225E3"/>
    <w:rsid w:val="00622E0E"/>
    <w:rsid w:val="0063013D"/>
    <w:rsid w:val="006555CE"/>
    <w:rsid w:val="00656EF5"/>
    <w:rsid w:val="00664313"/>
    <w:rsid w:val="006701AF"/>
    <w:rsid w:val="006722B3"/>
    <w:rsid w:val="00673465"/>
    <w:rsid w:val="00677ABD"/>
    <w:rsid w:val="006877E5"/>
    <w:rsid w:val="006C0163"/>
    <w:rsid w:val="006C074D"/>
    <w:rsid w:val="006C3810"/>
    <w:rsid w:val="006D2BD0"/>
    <w:rsid w:val="006E0186"/>
    <w:rsid w:val="006E37EB"/>
    <w:rsid w:val="006E526E"/>
    <w:rsid w:val="006F12C5"/>
    <w:rsid w:val="006F5628"/>
    <w:rsid w:val="006F7C68"/>
    <w:rsid w:val="00712A48"/>
    <w:rsid w:val="007179C8"/>
    <w:rsid w:val="0072730F"/>
    <w:rsid w:val="007325FB"/>
    <w:rsid w:val="007367BF"/>
    <w:rsid w:val="00744761"/>
    <w:rsid w:val="00745CC0"/>
    <w:rsid w:val="00746126"/>
    <w:rsid w:val="00756701"/>
    <w:rsid w:val="00757733"/>
    <w:rsid w:val="007747CB"/>
    <w:rsid w:val="007A38E4"/>
    <w:rsid w:val="007B59D1"/>
    <w:rsid w:val="007B7C0E"/>
    <w:rsid w:val="007C4601"/>
    <w:rsid w:val="007E7F08"/>
    <w:rsid w:val="007F4D92"/>
    <w:rsid w:val="00814EEB"/>
    <w:rsid w:val="0083358E"/>
    <w:rsid w:val="00836E6E"/>
    <w:rsid w:val="00846907"/>
    <w:rsid w:val="00846E4A"/>
    <w:rsid w:val="00847703"/>
    <w:rsid w:val="00852415"/>
    <w:rsid w:val="008745A1"/>
    <w:rsid w:val="00886A36"/>
    <w:rsid w:val="00896855"/>
    <w:rsid w:val="008A0E85"/>
    <w:rsid w:val="008A3D29"/>
    <w:rsid w:val="008A69D5"/>
    <w:rsid w:val="008A77B0"/>
    <w:rsid w:val="008C75B1"/>
    <w:rsid w:val="008D016D"/>
    <w:rsid w:val="008D27DB"/>
    <w:rsid w:val="008E30A0"/>
    <w:rsid w:val="008E7394"/>
    <w:rsid w:val="00905FF3"/>
    <w:rsid w:val="00923DC5"/>
    <w:rsid w:val="009250AB"/>
    <w:rsid w:val="00936766"/>
    <w:rsid w:val="00941624"/>
    <w:rsid w:val="00962B92"/>
    <w:rsid w:val="00971ECE"/>
    <w:rsid w:val="00977522"/>
    <w:rsid w:val="0098084D"/>
    <w:rsid w:val="0098107C"/>
    <w:rsid w:val="00986472"/>
    <w:rsid w:val="009A6BA8"/>
    <w:rsid w:val="009B11BC"/>
    <w:rsid w:val="009C1DB6"/>
    <w:rsid w:val="009C26FE"/>
    <w:rsid w:val="009C48D2"/>
    <w:rsid w:val="009D3662"/>
    <w:rsid w:val="009D7C9A"/>
    <w:rsid w:val="009E4082"/>
    <w:rsid w:val="00A15209"/>
    <w:rsid w:val="00A16219"/>
    <w:rsid w:val="00A20DA3"/>
    <w:rsid w:val="00A2506B"/>
    <w:rsid w:val="00A3104B"/>
    <w:rsid w:val="00A44149"/>
    <w:rsid w:val="00A521D4"/>
    <w:rsid w:val="00A61031"/>
    <w:rsid w:val="00A677CB"/>
    <w:rsid w:val="00A721BE"/>
    <w:rsid w:val="00A7406E"/>
    <w:rsid w:val="00A85718"/>
    <w:rsid w:val="00A859E7"/>
    <w:rsid w:val="00AA2949"/>
    <w:rsid w:val="00AB0EA1"/>
    <w:rsid w:val="00AB2415"/>
    <w:rsid w:val="00AB73D9"/>
    <w:rsid w:val="00AE66A9"/>
    <w:rsid w:val="00AF2002"/>
    <w:rsid w:val="00AF6BBD"/>
    <w:rsid w:val="00B17735"/>
    <w:rsid w:val="00B22231"/>
    <w:rsid w:val="00B3009D"/>
    <w:rsid w:val="00B32B97"/>
    <w:rsid w:val="00B637B2"/>
    <w:rsid w:val="00B658E3"/>
    <w:rsid w:val="00B73E72"/>
    <w:rsid w:val="00B84E1B"/>
    <w:rsid w:val="00B920CA"/>
    <w:rsid w:val="00B951A7"/>
    <w:rsid w:val="00BA424C"/>
    <w:rsid w:val="00BB01DD"/>
    <w:rsid w:val="00BB2B59"/>
    <w:rsid w:val="00BC1575"/>
    <w:rsid w:val="00BC2717"/>
    <w:rsid w:val="00BE1185"/>
    <w:rsid w:val="00BE6258"/>
    <w:rsid w:val="00BF0801"/>
    <w:rsid w:val="00BF5F9D"/>
    <w:rsid w:val="00BF6F9C"/>
    <w:rsid w:val="00C114A4"/>
    <w:rsid w:val="00C35502"/>
    <w:rsid w:val="00C359B5"/>
    <w:rsid w:val="00C37BA9"/>
    <w:rsid w:val="00C46273"/>
    <w:rsid w:val="00C62FAB"/>
    <w:rsid w:val="00C63FE5"/>
    <w:rsid w:val="00C7241B"/>
    <w:rsid w:val="00C741D4"/>
    <w:rsid w:val="00C91CA5"/>
    <w:rsid w:val="00CA435C"/>
    <w:rsid w:val="00CA4C56"/>
    <w:rsid w:val="00CA542C"/>
    <w:rsid w:val="00CB248E"/>
    <w:rsid w:val="00CB70B2"/>
    <w:rsid w:val="00CC07D8"/>
    <w:rsid w:val="00CC280A"/>
    <w:rsid w:val="00CD11E7"/>
    <w:rsid w:val="00CF0070"/>
    <w:rsid w:val="00D007FC"/>
    <w:rsid w:val="00D07AC3"/>
    <w:rsid w:val="00D11049"/>
    <w:rsid w:val="00D1768E"/>
    <w:rsid w:val="00D26341"/>
    <w:rsid w:val="00D3734D"/>
    <w:rsid w:val="00D40D07"/>
    <w:rsid w:val="00D43E05"/>
    <w:rsid w:val="00D462C4"/>
    <w:rsid w:val="00D46995"/>
    <w:rsid w:val="00D53077"/>
    <w:rsid w:val="00D636CB"/>
    <w:rsid w:val="00D66F8C"/>
    <w:rsid w:val="00D70625"/>
    <w:rsid w:val="00D70DC8"/>
    <w:rsid w:val="00D8230D"/>
    <w:rsid w:val="00D83DC9"/>
    <w:rsid w:val="00D9043A"/>
    <w:rsid w:val="00DB4E41"/>
    <w:rsid w:val="00DB7B39"/>
    <w:rsid w:val="00DC3914"/>
    <w:rsid w:val="00DC42CE"/>
    <w:rsid w:val="00DE4111"/>
    <w:rsid w:val="00DF6319"/>
    <w:rsid w:val="00DF7411"/>
    <w:rsid w:val="00DF7950"/>
    <w:rsid w:val="00E16D7B"/>
    <w:rsid w:val="00E22BE9"/>
    <w:rsid w:val="00E35308"/>
    <w:rsid w:val="00E37E5E"/>
    <w:rsid w:val="00E76964"/>
    <w:rsid w:val="00EA04FC"/>
    <w:rsid w:val="00EA4F0B"/>
    <w:rsid w:val="00EB06E2"/>
    <w:rsid w:val="00EB5839"/>
    <w:rsid w:val="00EB63B7"/>
    <w:rsid w:val="00EB6A8B"/>
    <w:rsid w:val="00EC3F14"/>
    <w:rsid w:val="00ED312E"/>
    <w:rsid w:val="00ED4543"/>
    <w:rsid w:val="00ED6AE8"/>
    <w:rsid w:val="00EE3405"/>
    <w:rsid w:val="00EF1A3A"/>
    <w:rsid w:val="00EF4D4F"/>
    <w:rsid w:val="00EF6DA8"/>
    <w:rsid w:val="00EF73E1"/>
    <w:rsid w:val="00F02124"/>
    <w:rsid w:val="00F04FD0"/>
    <w:rsid w:val="00F05E4F"/>
    <w:rsid w:val="00F1700B"/>
    <w:rsid w:val="00F31407"/>
    <w:rsid w:val="00F43F22"/>
    <w:rsid w:val="00F5131B"/>
    <w:rsid w:val="00F5441E"/>
    <w:rsid w:val="00F56382"/>
    <w:rsid w:val="00F61619"/>
    <w:rsid w:val="00F76D4A"/>
    <w:rsid w:val="00F82C40"/>
    <w:rsid w:val="00F83E0E"/>
    <w:rsid w:val="00F86227"/>
    <w:rsid w:val="00F945CA"/>
    <w:rsid w:val="00F970EC"/>
    <w:rsid w:val="00FA1635"/>
    <w:rsid w:val="00FB1308"/>
    <w:rsid w:val="00FC06F8"/>
    <w:rsid w:val="00FD61BC"/>
    <w:rsid w:val="00FE4B0E"/>
    <w:rsid w:val="00FF44CF"/>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3CC42"/>
  <w15:chartTrackingRefBased/>
  <w15:docId w15:val="{1F3783E6-884F-4F8D-82C5-8DA65E140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C4601"/>
    <w:pPr>
      <w:keepNext/>
      <w:keepLines/>
      <w:spacing w:before="240" w:after="0"/>
      <w:outlineLvl w:val="0"/>
    </w:pPr>
    <w:rPr>
      <w:rFonts w:asciiTheme="majorHAnsi" w:eastAsiaTheme="majorEastAsia" w:hAnsiTheme="majorHAnsi" w:cstheme="majorBidi"/>
      <w:color w:val="2F5496" w:themeColor="accent1" w:themeShade="BF"/>
      <w:sz w:val="32"/>
      <w:szCs w:val="32"/>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basedOn w:val="Normal"/>
    <w:link w:val="TextonotapieCar"/>
    <w:uiPriority w:val="99"/>
    <w:unhideWhenUsed/>
    <w:rsid w:val="00DB7B39"/>
    <w:pPr>
      <w:spacing w:after="0" w:line="240" w:lineRule="auto"/>
    </w:pPr>
    <w:rPr>
      <w:sz w:val="20"/>
      <w:szCs w:val="20"/>
    </w:rPr>
  </w:style>
  <w:style w:type="character" w:customStyle="1" w:styleId="TextonotapieCar">
    <w:name w:val="Texto nota pie Car"/>
    <w:basedOn w:val="Fuentedeprrafopredeter"/>
    <w:link w:val="Textonotapie"/>
    <w:uiPriority w:val="99"/>
    <w:rsid w:val="00DB7B39"/>
    <w:rPr>
      <w:sz w:val="20"/>
      <w:szCs w:val="20"/>
    </w:rPr>
  </w:style>
  <w:style w:type="character" w:styleId="Refdenotaalpie">
    <w:name w:val="footnote reference"/>
    <w:basedOn w:val="Fuentedeprrafopredeter"/>
    <w:uiPriority w:val="99"/>
    <w:semiHidden/>
    <w:unhideWhenUsed/>
    <w:rsid w:val="00DB7B39"/>
    <w:rPr>
      <w:vertAlign w:val="superscript"/>
    </w:rPr>
  </w:style>
  <w:style w:type="paragraph" w:styleId="Textonotaalfinal">
    <w:name w:val="endnote text"/>
    <w:basedOn w:val="Normal"/>
    <w:link w:val="TextonotaalfinalCar"/>
    <w:uiPriority w:val="99"/>
    <w:semiHidden/>
    <w:unhideWhenUsed/>
    <w:rsid w:val="00DB7B39"/>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DB7B39"/>
    <w:rPr>
      <w:sz w:val="20"/>
      <w:szCs w:val="20"/>
    </w:rPr>
  </w:style>
  <w:style w:type="character" w:styleId="Refdenotaalfinal">
    <w:name w:val="endnote reference"/>
    <w:basedOn w:val="Fuentedeprrafopredeter"/>
    <w:uiPriority w:val="99"/>
    <w:semiHidden/>
    <w:unhideWhenUsed/>
    <w:rsid w:val="00DB7B39"/>
    <w:rPr>
      <w:vertAlign w:val="superscript"/>
    </w:rPr>
  </w:style>
  <w:style w:type="paragraph" w:styleId="Prrafodelista">
    <w:name w:val="List Paragraph"/>
    <w:basedOn w:val="Normal"/>
    <w:uiPriority w:val="34"/>
    <w:qFormat/>
    <w:rsid w:val="00757733"/>
    <w:pPr>
      <w:ind w:left="720"/>
      <w:contextualSpacing/>
    </w:pPr>
  </w:style>
  <w:style w:type="character" w:styleId="Hipervnculo">
    <w:name w:val="Hyperlink"/>
    <w:basedOn w:val="Fuentedeprrafopredeter"/>
    <w:uiPriority w:val="99"/>
    <w:unhideWhenUsed/>
    <w:rsid w:val="008A3D29"/>
    <w:rPr>
      <w:color w:val="0563C1" w:themeColor="hyperlink"/>
      <w:u w:val="single"/>
    </w:rPr>
  </w:style>
  <w:style w:type="character" w:styleId="Mencinsinresolver">
    <w:name w:val="Unresolved Mention"/>
    <w:basedOn w:val="Fuentedeprrafopredeter"/>
    <w:uiPriority w:val="99"/>
    <w:semiHidden/>
    <w:unhideWhenUsed/>
    <w:rsid w:val="008A3D29"/>
    <w:rPr>
      <w:color w:val="605E5C"/>
      <w:shd w:val="clear" w:color="auto" w:fill="E1DFDD"/>
    </w:rPr>
  </w:style>
  <w:style w:type="paragraph" w:styleId="Encabezado">
    <w:name w:val="header"/>
    <w:basedOn w:val="Normal"/>
    <w:link w:val="EncabezadoCar"/>
    <w:uiPriority w:val="99"/>
    <w:unhideWhenUsed/>
    <w:rsid w:val="002E048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E0487"/>
  </w:style>
  <w:style w:type="paragraph" w:styleId="Piedepgina">
    <w:name w:val="footer"/>
    <w:basedOn w:val="Normal"/>
    <w:link w:val="PiedepginaCar"/>
    <w:uiPriority w:val="99"/>
    <w:unhideWhenUsed/>
    <w:rsid w:val="002E048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E0487"/>
  </w:style>
  <w:style w:type="character" w:customStyle="1" w:styleId="Ttulo1Car">
    <w:name w:val="Título 1 Car"/>
    <w:basedOn w:val="Fuentedeprrafopredeter"/>
    <w:link w:val="Ttulo1"/>
    <w:uiPriority w:val="9"/>
    <w:rsid w:val="007C4601"/>
    <w:rPr>
      <w:rFonts w:asciiTheme="majorHAnsi" w:eastAsiaTheme="majorEastAsia" w:hAnsiTheme="majorHAnsi" w:cstheme="majorBidi"/>
      <w:color w:val="2F5496" w:themeColor="accent1" w:themeShade="BF"/>
      <w:sz w:val="32"/>
      <w:szCs w:val="32"/>
      <w:lang w:eastAsia="es-MX"/>
    </w:rPr>
  </w:style>
  <w:style w:type="paragraph" w:customStyle="1" w:styleId="Texto">
    <w:name w:val="Texto"/>
    <w:basedOn w:val="Normal"/>
    <w:rsid w:val="00AE66A9"/>
    <w:pPr>
      <w:spacing w:after="101" w:line="216" w:lineRule="exact"/>
      <w:ind w:firstLine="288"/>
      <w:jc w:val="both"/>
    </w:pPr>
    <w:rPr>
      <w:rFonts w:ascii="Arial" w:eastAsia="Times New Roman" w:hAnsi="Arial" w:cs="Arial"/>
      <w:sz w:val="18"/>
      <w:szCs w:val="18"/>
      <w:lang w:eastAsia="es-ES"/>
    </w:rPr>
  </w:style>
  <w:style w:type="paragraph" w:styleId="NormalWeb">
    <w:name w:val="Normal (Web)"/>
    <w:basedOn w:val="Normal"/>
    <w:uiPriority w:val="99"/>
    <w:unhideWhenUsed/>
    <w:rsid w:val="004C27E3"/>
    <w:rPr>
      <w:rFonts w:ascii="Times New Roman" w:hAnsi="Times New Roman" w:cs="Times New Roman"/>
      <w:sz w:val="24"/>
      <w:szCs w:val="24"/>
    </w:rPr>
  </w:style>
  <w:style w:type="paragraph" w:styleId="HTMLconformatoprevio">
    <w:name w:val="HTML Preformatted"/>
    <w:basedOn w:val="Normal"/>
    <w:link w:val="HTMLconformatoprevioCar"/>
    <w:uiPriority w:val="99"/>
    <w:semiHidden/>
    <w:unhideWhenUsed/>
    <w:rsid w:val="007367BF"/>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7367BF"/>
    <w:rPr>
      <w:rFonts w:ascii="Consolas" w:hAnsi="Consolas"/>
      <w:sz w:val="20"/>
      <w:szCs w:val="20"/>
    </w:rPr>
  </w:style>
  <w:style w:type="paragraph" w:customStyle="1" w:styleId="BIOLpie">
    <w:name w:val="BIOLpie"/>
    <w:basedOn w:val="Normal"/>
    <w:link w:val="BIOLpieCar"/>
    <w:qFormat/>
    <w:rsid w:val="00345B0F"/>
    <w:pPr>
      <w:spacing w:after="40" w:line="240" w:lineRule="auto"/>
      <w:contextualSpacing/>
      <w:jc w:val="both"/>
    </w:pPr>
    <w:rPr>
      <w:rFonts w:ascii="Source Sans 3" w:hAnsi="Source Sans 3" w:cs="Arial"/>
      <w:kern w:val="2"/>
      <w:sz w:val="20"/>
      <w:szCs w:val="20"/>
      <w14:ligatures w14:val="standardContextual"/>
    </w:rPr>
  </w:style>
  <w:style w:type="character" w:customStyle="1" w:styleId="BIOLpieCar">
    <w:name w:val="BIOLpie Car"/>
    <w:basedOn w:val="Fuentedeprrafopredeter"/>
    <w:link w:val="BIOLpie"/>
    <w:rsid w:val="00345B0F"/>
    <w:rPr>
      <w:rFonts w:ascii="Source Sans 3" w:hAnsi="Source Sans 3" w:cs="Arial"/>
      <w:kern w:val="2"/>
      <w:sz w:val="20"/>
      <w:szCs w:val="20"/>
      <w14:ligatures w14:val="standardContextual"/>
    </w:rPr>
  </w:style>
  <w:style w:type="paragraph" w:customStyle="1" w:styleId="BIOLRefer">
    <w:name w:val="BIOLRefer"/>
    <w:basedOn w:val="Sinespaciado"/>
    <w:link w:val="BIOLReferCar"/>
    <w:qFormat/>
    <w:rsid w:val="00345B0F"/>
    <w:pPr>
      <w:spacing w:line="276" w:lineRule="auto"/>
      <w:ind w:left="567" w:hanging="567"/>
      <w:contextualSpacing/>
      <w:jc w:val="both"/>
    </w:pPr>
    <w:rPr>
      <w:rFonts w:ascii="Unna" w:hAnsi="Unna" w:cs="Arial"/>
      <w:color w:val="000000" w:themeColor="text1"/>
      <w:kern w:val="2"/>
      <w:sz w:val="24"/>
      <w:szCs w:val="24"/>
      <w14:ligatures w14:val="standardContextual"/>
    </w:rPr>
  </w:style>
  <w:style w:type="character" w:customStyle="1" w:styleId="BIOLReferCar">
    <w:name w:val="BIOLRefer Car"/>
    <w:basedOn w:val="Fuentedeprrafopredeter"/>
    <w:link w:val="BIOLRefer"/>
    <w:rsid w:val="00345B0F"/>
    <w:rPr>
      <w:rFonts w:ascii="Unna" w:hAnsi="Unna" w:cs="Arial"/>
      <w:color w:val="000000" w:themeColor="text1"/>
      <w:kern w:val="2"/>
      <w:sz w:val="24"/>
      <w:szCs w:val="24"/>
      <w14:ligatures w14:val="standardContextual"/>
    </w:rPr>
  </w:style>
  <w:style w:type="paragraph" w:styleId="Sinespaciado">
    <w:name w:val="No Spacing"/>
    <w:uiPriority w:val="1"/>
    <w:qFormat/>
    <w:rsid w:val="00345B0F"/>
    <w:pPr>
      <w:spacing w:after="0" w:line="240" w:lineRule="auto"/>
    </w:pPr>
  </w:style>
  <w:style w:type="paragraph" w:customStyle="1" w:styleId="Citalarga">
    <w:name w:val="Cita larga"/>
    <w:basedOn w:val="Normal"/>
    <w:link w:val="CitalargaCar"/>
    <w:autoRedefine/>
    <w:qFormat/>
    <w:rsid w:val="00345B0F"/>
    <w:pPr>
      <w:spacing w:before="120" w:after="120" w:line="240" w:lineRule="auto"/>
      <w:ind w:left="1418"/>
      <w:jc w:val="both"/>
    </w:pPr>
    <w:rPr>
      <w:rFonts w:ascii="Aptos" w:hAnsi="Aptos" w:cs="Arial"/>
      <w:kern w:val="2"/>
      <w:sz w:val="20"/>
      <w:szCs w:val="20"/>
      <w14:ligatures w14:val="standardContextual"/>
    </w:rPr>
  </w:style>
  <w:style w:type="character" w:customStyle="1" w:styleId="CitalargaCar">
    <w:name w:val="Cita larga Car"/>
    <w:basedOn w:val="Fuentedeprrafopredeter"/>
    <w:link w:val="Citalarga"/>
    <w:rsid w:val="00345B0F"/>
    <w:rPr>
      <w:rFonts w:ascii="Aptos" w:hAnsi="Aptos" w:cs="Arial"/>
      <w:kern w:val="2"/>
      <w:sz w:val="20"/>
      <w:szCs w:val="20"/>
      <w14:ligatures w14:val="standardContextual"/>
    </w:rPr>
  </w:style>
  <w:style w:type="paragraph" w:customStyle="1" w:styleId="Nivel1BIOL">
    <w:name w:val="Nivel1BIOL"/>
    <w:basedOn w:val="Normal"/>
    <w:link w:val="Nivel1BIOLCar"/>
    <w:qFormat/>
    <w:rsid w:val="00345B0F"/>
    <w:pPr>
      <w:spacing w:before="120" w:after="120" w:line="240" w:lineRule="auto"/>
      <w:jc w:val="both"/>
    </w:pPr>
    <w:rPr>
      <w:rFonts w:ascii="Unna" w:hAnsi="Unna" w:cs="Arial"/>
      <w:b/>
      <w:bCs/>
      <w:kern w:val="2"/>
      <w:sz w:val="24"/>
      <w:szCs w:val="24"/>
      <w:lang w:val="en-US"/>
      <w14:ligatures w14:val="standardContextual"/>
    </w:rPr>
  </w:style>
  <w:style w:type="character" w:customStyle="1" w:styleId="Nivel1BIOLCar">
    <w:name w:val="Nivel1BIOL Car"/>
    <w:basedOn w:val="Fuentedeprrafopredeter"/>
    <w:link w:val="Nivel1BIOL"/>
    <w:rsid w:val="00345B0F"/>
    <w:rPr>
      <w:rFonts w:ascii="Unna" w:hAnsi="Unna" w:cs="Arial"/>
      <w:b/>
      <w:bCs/>
      <w:kern w:val="2"/>
      <w:sz w:val="24"/>
      <w:szCs w:val="24"/>
      <w:lang w:val="en-US"/>
      <w14:ligatures w14:val="standardContextual"/>
    </w:rPr>
  </w:style>
  <w:style w:type="paragraph" w:customStyle="1" w:styleId="parrafonormalbiolex">
    <w:name w:val="parrafonormalbiolex"/>
    <w:basedOn w:val="Normal"/>
    <w:link w:val="parrafonormalbiolexCar"/>
    <w:qFormat/>
    <w:rsid w:val="00345B0F"/>
    <w:pPr>
      <w:spacing w:after="0" w:line="276" w:lineRule="auto"/>
      <w:ind w:firstLine="567"/>
      <w:contextualSpacing/>
      <w:jc w:val="both"/>
    </w:pPr>
    <w:rPr>
      <w:rFonts w:ascii="Unna" w:hAnsi="Unna" w:cs="Arial"/>
      <w:kern w:val="2"/>
      <w:sz w:val="24"/>
      <w:szCs w:val="24"/>
      <w14:ligatures w14:val="standardContextual"/>
    </w:rPr>
  </w:style>
  <w:style w:type="character" w:customStyle="1" w:styleId="parrafonormalbiolexCar">
    <w:name w:val="parrafonormalbiolex Car"/>
    <w:basedOn w:val="Fuentedeprrafopredeter"/>
    <w:link w:val="parrafonormalbiolex"/>
    <w:rsid w:val="00345B0F"/>
    <w:rPr>
      <w:rFonts w:ascii="Unna" w:hAnsi="Unna" w:cs="Arial"/>
      <w:kern w:val="2"/>
      <w:sz w:val="24"/>
      <w:szCs w:val="24"/>
      <w14:ligatures w14:val="standardContextual"/>
    </w:rPr>
  </w:style>
  <w:style w:type="paragraph" w:customStyle="1" w:styleId="vietas">
    <w:name w:val="viñetas"/>
    <w:basedOn w:val="Prrafodelista"/>
    <w:link w:val="vietasCar"/>
    <w:qFormat/>
    <w:rsid w:val="00345B0F"/>
    <w:pPr>
      <w:spacing w:after="0" w:line="276" w:lineRule="auto"/>
      <w:ind w:left="1049" w:hanging="340"/>
      <w:jc w:val="both"/>
    </w:pPr>
    <w:rPr>
      <w:rFonts w:ascii="Unna" w:eastAsia="Times New Roman" w:hAnsi="Unna" w:cs="Arial"/>
      <w:kern w:val="2"/>
      <w:lang w:eastAsia="es-MX"/>
      <w14:ligatures w14:val="standardContextual"/>
    </w:rPr>
  </w:style>
  <w:style w:type="character" w:customStyle="1" w:styleId="vietasCar">
    <w:name w:val="viñetas Car"/>
    <w:basedOn w:val="Fuentedeprrafopredeter"/>
    <w:link w:val="vietas"/>
    <w:rsid w:val="00345B0F"/>
    <w:rPr>
      <w:rFonts w:ascii="Unna" w:eastAsia="Times New Roman" w:hAnsi="Unna" w:cs="Arial"/>
      <w:kern w:val="2"/>
      <w:lang w:eastAsia="es-MX"/>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9433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iputados.gob.mx/Centros_Estudio/Cesop" TargetMode="External"/><Relationship Id="rId13" Type="http://schemas.openxmlformats.org/officeDocument/2006/relationships/hyperlink" Target="https://dle.rae.es/"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calameo.com/revistafolios/read/006533728f662b071415f"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ne.mx/credencial/estadisticas-lista-nominal-padron-electoral/?utm_source=chatgpt.com"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www.ichitaip.org/infoweb/archivos/ensayos/ai_derecho_fundamental.pdf"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www.cdeunodc.inegi.org.mx?utm_source=chatgpt.com" TargetMode="External"/><Relationship Id="rId14" Type="http://schemas.openxmlformats.org/officeDocument/2006/relationships/header" Target="header1.xml"/></Relationships>
</file>

<file path=word/_rels/footnotes.xml.rels><?xml version="1.0" encoding="UTF-8" standalone="yes"?>
<Relationships xmlns="http://schemas.openxmlformats.org/package/2006/relationships"><Relationship Id="rId3" Type="http://schemas.openxmlformats.org/officeDocument/2006/relationships/hyperlink" Target="https://www.cdeunodc.inegi.org.mx" TargetMode="External"/><Relationship Id="rId7" Type="http://schemas.openxmlformats.org/officeDocument/2006/relationships/hyperlink" Target="https://www.ine.mx/credencial/estadisticas-lista-nominal-padron-electoral/" TargetMode="External"/><Relationship Id="rId2" Type="http://schemas.openxmlformats.org/officeDocument/2006/relationships/hyperlink" Target="https://www.calameo.com/revistafolios/read/006533728f662b071415f" TargetMode="External"/><Relationship Id="rId1" Type="http://schemas.openxmlformats.org/officeDocument/2006/relationships/hyperlink" Target="file:///C:\Users\bug\Downloads\karlaortegaflores@hotmail.com" TargetMode="External"/><Relationship Id="rId6" Type="http://schemas.openxmlformats.org/officeDocument/2006/relationships/hyperlink" Target="https://www.ichitaip.org/infoweb/archivos/ensayos/ai_derecho_fundamental.pdf?utm_source=chatgpt.com" TargetMode="External"/><Relationship Id="rId5" Type="http://schemas.openxmlformats.org/officeDocument/2006/relationships/hyperlink" Target="http://www.ichitaip.org/infoweb/archivos/ensayos/ai_derecho_fundamental.pdf" TargetMode="External"/><Relationship Id="rId4" Type="http://schemas.openxmlformats.org/officeDocument/2006/relationships/hyperlink" Target="https://www.diputados.gob.mx/Centros_Estudio/Cesop"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60CB01A0-6C1A-4014-8794-B256085758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4317</Words>
  <Characters>24608</Characters>
  <Application>Microsoft Office Word</Application>
  <DocSecurity>0</DocSecurity>
  <Lines>205</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 KARLA ORTEGA FLORES</dc:creator>
  <cp:keywords/>
  <dc:description/>
  <cp:lastModifiedBy>MISAEL ALEJANDRO BARRIENTOS ROMERO</cp:lastModifiedBy>
  <cp:revision>2</cp:revision>
  <dcterms:created xsi:type="dcterms:W3CDTF">2026-06-03T21:54:00Z</dcterms:created>
  <dcterms:modified xsi:type="dcterms:W3CDTF">2026-06-03T21:54:00Z</dcterms:modified>
</cp:coreProperties>
</file>