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B089D1" w14:textId="6C3EA166" w:rsidR="000A359E" w:rsidRPr="00DB1274" w:rsidRDefault="000A359E" w:rsidP="00DB1274">
      <w:pPr>
        <w:widowControl w:val="0"/>
        <w:shd w:val="clear" w:color="auto" w:fill="FFFFFF"/>
        <w:spacing w:before="300" w:after="300" w:line="240" w:lineRule="auto"/>
        <w:jc w:val="center"/>
        <w:rPr>
          <w:rFonts w:ascii="Times New Roman" w:eastAsia="Times New Roman" w:hAnsi="Times New Roman" w:cs="Times New Roman"/>
          <w:b/>
          <w:bCs/>
          <w:color w:val="0D0D0D"/>
          <w:sz w:val="28"/>
          <w:szCs w:val="24"/>
          <w:lang w:eastAsia="es-MX"/>
        </w:rPr>
      </w:pPr>
      <w:r w:rsidRPr="00DB1274">
        <w:rPr>
          <w:rFonts w:ascii="Times New Roman" w:eastAsia="Times New Roman" w:hAnsi="Times New Roman" w:cs="Times New Roman"/>
          <w:b/>
          <w:bCs/>
          <w:color w:val="0D0D0D"/>
          <w:sz w:val="28"/>
          <w:szCs w:val="24"/>
          <w:lang w:eastAsia="es-MX"/>
        </w:rPr>
        <w:t xml:space="preserve">Eficiencia y </w:t>
      </w:r>
      <w:r w:rsidR="0068011B">
        <w:rPr>
          <w:rFonts w:ascii="Times New Roman" w:eastAsia="Times New Roman" w:hAnsi="Times New Roman" w:cs="Times New Roman"/>
          <w:b/>
          <w:bCs/>
          <w:color w:val="0D0D0D"/>
          <w:sz w:val="28"/>
          <w:szCs w:val="24"/>
          <w:lang w:eastAsia="es-MX"/>
        </w:rPr>
        <w:t>r</w:t>
      </w:r>
      <w:r w:rsidRPr="00DB1274">
        <w:rPr>
          <w:rFonts w:ascii="Times New Roman" w:eastAsia="Times New Roman" w:hAnsi="Times New Roman" w:cs="Times New Roman"/>
          <w:b/>
          <w:bCs/>
          <w:color w:val="0D0D0D"/>
          <w:sz w:val="28"/>
          <w:szCs w:val="24"/>
          <w:lang w:eastAsia="es-MX"/>
        </w:rPr>
        <w:t xml:space="preserve">endición de </w:t>
      </w:r>
      <w:r w:rsidR="0068011B">
        <w:rPr>
          <w:rFonts w:ascii="Times New Roman" w:eastAsia="Times New Roman" w:hAnsi="Times New Roman" w:cs="Times New Roman"/>
          <w:b/>
          <w:bCs/>
          <w:color w:val="0D0D0D"/>
          <w:sz w:val="28"/>
          <w:szCs w:val="24"/>
          <w:lang w:eastAsia="es-MX"/>
        </w:rPr>
        <w:t>c</w:t>
      </w:r>
      <w:r w:rsidRPr="00DB1274">
        <w:rPr>
          <w:rFonts w:ascii="Times New Roman" w:eastAsia="Times New Roman" w:hAnsi="Times New Roman" w:cs="Times New Roman"/>
          <w:b/>
          <w:bCs/>
          <w:color w:val="0D0D0D"/>
          <w:sz w:val="28"/>
          <w:szCs w:val="24"/>
          <w:lang w:eastAsia="es-MX"/>
        </w:rPr>
        <w:t xml:space="preserve">uentas en la </w:t>
      </w:r>
      <w:r w:rsidR="0068011B">
        <w:rPr>
          <w:rFonts w:ascii="Times New Roman" w:eastAsia="Times New Roman" w:hAnsi="Times New Roman" w:cs="Times New Roman"/>
          <w:b/>
          <w:bCs/>
          <w:color w:val="0D0D0D"/>
          <w:sz w:val="28"/>
          <w:szCs w:val="24"/>
          <w:lang w:eastAsia="es-MX"/>
        </w:rPr>
        <w:t>g</w:t>
      </w:r>
      <w:r w:rsidRPr="00DB1274">
        <w:rPr>
          <w:rFonts w:ascii="Times New Roman" w:eastAsia="Times New Roman" w:hAnsi="Times New Roman" w:cs="Times New Roman"/>
          <w:b/>
          <w:bCs/>
          <w:color w:val="0D0D0D"/>
          <w:sz w:val="28"/>
          <w:szCs w:val="24"/>
          <w:lang w:eastAsia="es-MX"/>
        </w:rPr>
        <w:t xml:space="preserve">estión </w:t>
      </w:r>
      <w:r w:rsidR="0068011B">
        <w:rPr>
          <w:rFonts w:ascii="Times New Roman" w:eastAsia="Times New Roman" w:hAnsi="Times New Roman" w:cs="Times New Roman"/>
          <w:b/>
          <w:bCs/>
          <w:color w:val="0D0D0D"/>
          <w:sz w:val="28"/>
          <w:szCs w:val="24"/>
          <w:lang w:eastAsia="es-MX"/>
        </w:rPr>
        <w:t>p</w:t>
      </w:r>
      <w:r w:rsidRPr="00DB1274">
        <w:rPr>
          <w:rFonts w:ascii="Times New Roman" w:eastAsia="Times New Roman" w:hAnsi="Times New Roman" w:cs="Times New Roman"/>
          <w:b/>
          <w:bCs/>
          <w:color w:val="0D0D0D"/>
          <w:sz w:val="28"/>
          <w:szCs w:val="24"/>
          <w:lang w:eastAsia="es-MX"/>
        </w:rPr>
        <w:t xml:space="preserve">ública: Reformas en la </w:t>
      </w:r>
      <w:r w:rsidR="0068011B">
        <w:rPr>
          <w:rFonts w:ascii="Times New Roman" w:eastAsia="Times New Roman" w:hAnsi="Times New Roman" w:cs="Times New Roman"/>
          <w:b/>
          <w:bCs/>
          <w:color w:val="0D0D0D"/>
          <w:sz w:val="28"/>
          <w:szCs w:val="24"/>
          <w:lang w:eastAsia="es-MX"/>
        </w:rPr>
        <w:t>c</w:t>
      </w:r>
      <w:r w:rsidRPr="00DB1274">
        <w:rPr>
          <w:rFonts w:ascii="Times New Roman" w:eastAsia="Times New Roman" w:hAnsi="Times New Roman" w:cs="Times New Roman"/>
          <w:b/>
          <w:bCs/>
          <w:color w:val="0D0D0D"/>
          <w:sz w:val="28"/>
          <w:szCs w:val="24"/>
          <w:lang w:eastAsia="es-MX"/>
        </w:rPr>
        <w:t xml:space="preserve">adena de </w:t>
      </w:r>
      <w:r w:rsidR="0068011B">
        <w:rPr>
          <w:rFonts w:ascii="Times New Roman" w:eastAsia="Times New Roman" w:hAnsi="Times New Roman" w:cs="Times New Roman"/>
          <w:b/>
          <w:bCs/>
          <w:color w:val="0D0D0D"/>
          <w:sz w:val="28"/>
          <w:szCs w:val="24"/>
          <w:lang w:eastAsia="es-MX"/>
        </w:rPr>
        <w:t>s</w:t>
      </w:r>
      <w:r w:rsidRPr="00DB1274">
        <w:rPr>
          <w:rFonts w:ascii="Times New Roman" w:eastAsia="Times New Roman" w:hAnsi="Times New Roman" w:cs="Times New Roman"/>
          <w:b/>
          <w:bCs/>
          <w:color w:val="0D0D0D"/>
          <w:sz w:val="28"/>
          <w:szCs w:val="24"/>
          <w:lang w:eastAsia="es-MX"/>
        </w:rPr>
        <w:t>uministro desde la NGP y las NIF</w:t>
      </w:r>
    </w:p>
    <w:p w14:paraId="3FBCEE48" w14:textId="77777777" w:rsidR="007766BF" w:rsidRPr="00A76E20" w:rsidRDefault="004F3B96" w:rsidP="00046729">
      <w:pPr>
        <w:jc w:val="center"/>
        <w:rPr>
          <w:rFonts w:ascii="Times New Roman" w:eastAsia="Times New Roman" w:hAnsi="Times New Roman" w:cs="Times New Roman"/>
          <w:b/>
          <w:bCs/>
          <w:sz w:val="28"/>
          <w:szCs w:val="28"/>
          <w:lang w:val="en-US" w:eastAsia="es-MX"/>
        </w:rPr>
      </w:pPr>
      <w:r w:rsidRPr="00A76E20">
        <w:rPr>
          <w:rFonts w:ascii="Times New Roman" w:eastAsia="Times New Roman" w:hAnsi="Times New Roman" w:cs="Times New Roman"/>
          <w:b/>
          <w:bCs/>
          <w:sz w:val="28"/>
          <w:szCs w:val="28"/>
          <w:lang w:val="en-US" w:eastAsia="es-MX"/>
        </w:rPr>
        <w:t>Efficiency and Accountability in Public Management: Supply Chain Reforms through NPM and Financial Reporting Standards</w:t>
      </w:r>
    </w:p>
    <w:p w14:paraId="2502B2F2" w14:textId="739895EF" w:rsidR="00046729" w:rsidRPr="00A732C8" w:rsidRDefault="00046729" w:rsidP="00046729">
      <w:pPr>
        <w:jc w:val="center"/>
        <w:rPr>
          <w:rFonts w:ascii="Times New Roman" w:eastAsia="Times New Roman" w:hAnsi="Times New Roman" w:cs="Times New Roman"/>
          <w:b/>
          <w:sz w:val="24"/>
          <w:szCs w:val="24"/>
        </w:rPr>
      </w:pPr>
      <w:r w:rsidRPr="00DB1274">
        <w:rPr>
          <w:rFonts w:ascii="Times New Roman" w:eastAsia="Times New Roman" w:hAnsi="Times New Roman" w:cs="Times New Roman"/>
          <w:b/>
          <w:sz w:val="24"/>
          <w:szCs w:val="24"/>
          <w:lang w:val="en-US"/>
        </w:rPr>
        <w:t xml:space="preserve"> </w:t>
      </w:r>
      <w:r w:rsidRPr="00A732C8">
        <w:rPr>
          <w:rFonts w:ascii="Times New Roman" w:eastAsia="Times New Roman" w:hAnsi="Times New Roman" w:cs="Times New Roman"/>
          <w:b/>
          <w:sz w:val="24"/>
          <w:szCs w:val="24"/>
        </w:rPr>
        <w:t>INVESTIGACIÓN</w:t>
      </w:r>
    </w:p>
    <w:p w14:paraId="7397AD00" w14:textId="692EB199" w:rsidR="00046729" w:rsidRPr="000F0759" w:rsidRDefault="00B07D80" w:rsidP="00046729">
      <w:pPr>
        <w:tabs>
          <w:tab w:val="center" w:pos="4419"/>
          <w:tab w:val="right" w:pos="8838"/>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Juan Carlos Martínez Verdugo</w:t>
      </w:r>
      <w:r w:rsidR="00046729" w:rsidRPr="000F0759">
        <w:rPr>
          <w:rFonts w:ascii="Times New Roman" w:eastAsia="Times New Roman" w:hAnsi="Times New Roman" w:cs="Times New Roman"/>
          <w:b/>
          <w:bCs/>
          <w:vertAlign w:val="superscript"/>
          <w:lang w:val="en-GB"/>
        </w:rPr>
        <w:footnoteReference w:id="1"/>
      </w:r>
    </w:p>
    <w:p w14:paraId="2C473585" w14:textId="311E2D03" w:rsidR="00046729" w:rsidRPr="000F0759" w:rsidRDefault="00B07D80">
      <w:pPr>
        <w:tabs>
          <w:tab w:val="center" w:pos="4419"/>
          <w:tab w:val="right" w:pos="8838"/>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Edgar Alfredo Nande Vázquez</w:t>
      </w:r>
      <w:r w:rsidRPr="000F0759">
        <w:rPr>
          <w:rFonts w:ascii="Times New Roman" w:eastAsia="Times New Roman" w:hAnsi="Times New Roman" w:cs="Times New Roman"/>
          <w:b/>
          <w:bCs/>
          <w:vertAlign w:val="superscript"/>
          <w:lang w:val="en-GB"/>
        </w:rPr>
        <w:footnoteReference w:id="2"/>
      </w:r>
    </w:p>
    <w:p w14:paraId="42DCF1DA" w14:textId="6592807B" w:rsidR="00046729" w:rsidRDefault="00ED3BA9" w:rsidP="00046729">
      <w:pPr>
        <w:tabs>
          <w:tab w:val="center" w:pos="4419"/>
          <w:tab w:val="right" w:pos="8838"/>
        </w:tabs>
        <w:spacing w:after="0" w:line="240" w:lineRule="auto"/>
        <w:jc w:val="center"/>
        <w:rPr>
          <w:rFonts w:ascii="Times New Roman" w:eastAsia="Times New Roman" w:hAnsi="Times New Roman"/>
          <w:shd w:val="clear" w:color="auto" w:fill="FFFFFF"/>
        </w:rPr>
      </w:pPr>
      <w:hyperlink r:id="rId8" w:history="1">
        <w:r w:rsidR="00B07D80" w:rsidRPr="00813F7A">
          <w:rPr>
            <w:rStyle w:val="Hipervnculo"/>
            <w:rFonts w:ascii="Times New Roman" w:eastAsia="Times New Roman" w:hAnsi="Times New Roman"/>
            <w:shd w:val="clear" w:color="auto" w:fill="FFFFFF"/>
          </w:rPr>
          <w:t>https://doi.org/10.36792/rvu.v28i97.509</w:t>
        </w:r>
      </w:hyperlink>
    </w:p>
    <w:p w14:paraId="2A70A149" w14:textId="77777777" w:rsidR="00046729" w:rsidRPr="000F0759" w:rsidRDefault="00046729" w:rsidP="00DB1274">
      <w:pPr>
        <w:tabs>
          <w:tab w:val="center" w:pos="4419"/>
          <w:tab w:val="right" w:pos="8838"/>
        </w:tabs>
        <w:spacing w:after="0" w:line="240" w:lineRule="auto"/>
        <w:rPr>
          <w:rFonts w:ascii="Times New Roman" w:eastAsia="Times New Roman" w:hAnsi="Times New Roman"/>
          <w:color w:val="0000FF"/>
          <w:u w:val="single"/>
          <w:shd w:val="clear" w:color="auto" w:fill="FFFFFF"/>
        </w:rPr>
      </w:pPr>
    </w:p>
    <w:p w14:paraId="61C3A88D" w14:textId="532858AA" w:rsidR="004F3B96" w:rsidRPr="00DB1274" w:rsidRDefault="00046729" w:rsidP="00DB1274">
      <w:pPr>
        <w:pBdr>
          <w:top w:val="nil"/>
          <w:left w:val="nil"/>
          <w:bottom w:val="nil"/>
          <w:right w:val="nil"/>
          <w:between w:val="nil"/>
        </w:pBdr>
        <w:spacing w:after="120" w:line="360" w:lineRule="auto"/>
        <w:mirrorIndents/>
        <w:rPr>
          <w:rFonts w:ascii="Times New Roman" w:eastAsia="Baskerville Old Face" w:hAnsi="Times New Roman" w:cs="Times New Roman"/>
        </w:rPr>
      </w:pPr>
      <w:r w:rsidRPr="000F0759">
        <w:rPr>
          <w:rFonts w:ascii="Times New Roman" w:eastAsia="Baskerville Old Face" w:hAnsi="Times New Roman" w:cs="Times New Roman"/>
        </w:rPr>
        <w:t>Fecha de recepción: 1</w:t>
      </w:r>
      <w:r w:rsidR="007766BF">
        <w:rPr>
          <w:rFonts w:ascii="Times New Roman" w:eastAsia="Baskerville Old Face" w:hAnsi="Times New Roman" w:cs="Times New Roman"/>
        </w:rPr>
        <w:t>5 octu</w:t>
      </w:r>
      <w:r w:rsidRPr="000F0759">
        <w:rPr>
          <w:rFonts w:ascii="Times New Roman" w:eastAsia="Baskerville Old Face" w:hAnsi="Times New Roman" w:cs="Times New Roman"/>
        </w:rPr>
        <w:t xml:space="preserve">bre 2025    </w:t>
      </w:r>
      <w:r w:rsidR="00984059">
        <w:rPr>
          <w:rFonts w:ascii="Times New Roman" w:eastAsia="Baskerville Old Face" w:hAnsi="Times New Roman" w:cs="Times New Roman"/>
        </w:rPr>
        <w:t xml:space="preserve">                              </w:t>
      </w:r>
      <w:r w:rsidRPr="000F0759">
        <w:rPr>
          <w:rFonts w:ascii="Times New Roman" w:eastAsia="Baskerville Old Face" w:hAnsi="Times New Roman" w:cs="Times New Roman"/>
        </w:rPr>
        <w:t xml:space="preserve"> Fecha de aprobación: </w:t>
      </w:r>
      <w:r w:rsidR="00B07D80">
        <w:rPr>
          <w:rFonts w:ascii="Times New Roman" w:eastAsia="Baskerville Old Face" w:hAnsi="Times New Roman" w:cs="Times New Roman"/>
        </w:rPr>
        <w:t>06 feb</w:t>
      </w:r>
      <w:r w:rsidR="00984059">
        <w:rPr>
          <w:rFonts w:ascii="Times New Roman" w:eastAsia="Baskerville Old Face" w:hAnsi="Times New Roman" w:cs="Times New Roman"/>
        </w:rPr>
        <w:t>r</w:t>
      </w:r>
      <w:r w:rsidRPr="000F0759">
        <w:rPr>
          <w:rFonts w:ascii="Times New Roman" w:eastAsia="Baskerville Old Face" w:hAnsi="Times New Roman" w:cs="Times New Roman"/>
        </w:rPr>
        <w:t>ero 2026</w:t>
      </w:r>
    </w:p>
    <w:p w14:paraId="2743F760" w14:textId="4D28FE07" w:rsidR="00B8558D" w:rsidRPr="00A76E20" w:rsidRDefault="00B8558D" w:rsidP="00DB1274">
      <w:pPr>
        <w:widowControl w:val="0"/>
        <w:shd w:val="clear" w:color="auto" w:fill="FFFFFF"/>
        <w:spacing w:before="300" w:after="300" w:line="240" w:lineRule="auto"/>
        <w:jc w:val="center"/>
        <w:rPr>
          <w:rFonts w:ascii="Times New Roman" w:eastAsia="Times New Roman" w:hAnsi="Times New Roman" w:cs="Times New Roman"/>
          <w:b/>
          <w:bCs/>
          <w:color w:val="0D0D0D"/>
          <w:lang w:eastAsia="es-MX"/>
        </w:rPr>
      </w:pPr>
      <w:r w:rsidRPr="00A76E20">
        <w:rPr>
          <w:rFonts w:ascii="Times New Roman" w:eastAsia="Times New Roman" w:hAnsi="Times New Roman" w:cs="Times New Roman"/>
          <w:b/>
          <w:bCs/>
          <w:color w:val="0D0D0D"/>
          <w:lang w:eastAsia="es-MX"/>
        </w:rPr>
        <w:t>Resumen</w:t>
      </w:r>
    </w:p>
    <w:p w14:paraId="77088038" w14:textId="0FDAB157" w:rsidR="00D91749" w:rsidRPr="00D91749" w:rsidRDefault="00D91749" w:rsidP="00D91749">
      <w:pPr>
        <w:spacing w:before="120" w:after="120" w:line="360" w:lineRule="auto"/>
        <w:jc w:val="both"/>
        <w:rPr>
          <w:rFonts w:ascii="Times New Roman" w:eastAsia="Times New Roman" w:hAnsi="Times New Roman" w:cs="Times New Roman"/>
          <w:color w:val="000000"/>
          <w:lang w:eastAsia="es-MX"/>
        </w:rPr>
      </w:pPr>
      <w:r w:rsidRPr="00D91749">
        <w:rPr>
          <w:rFonts w:ascii="Times New Roman" w:eastAsia="Times New Roman" w:hAnsi="Times New Roman" w:cs="Times New Roman"/>
          <w:color w:val="000000"/>
          <w:lang w:eastAsia="es-MX"/>
        </w:rPr>
        <w:t>Este artículo analiza la gestión de la cadena de suministro en el sector público mexicano desde la perspectiva de la Nueva Gestión Pública (NGP). Examina la incorporación de prácticas del sector privado —especialmente el costo total de propiedad (CTP) y la gestión de relaciones con proveedores (SRM)— como mecanismos para modernizar la administración pública.</w:t>
      </w:r>
      <w:r w:rsidR="00DB1274">
        <w:rPr>
          <w:rFonts w:ascii="Times New Roman" w:eastAsia="Times New Roman" w:hAnsi="Times New Roman" w:cs="Times New Roman"/>
          <w:color w:val="000000"/>
          <w:lang w:eastAsia="es-MX"/>
        </w:rPr>
        <w:t xml:space="preserve"> </w:t>
      </w:r>
      <w:r w:rsidRPr="00D91749">
        <w:rPr>
          <w:rFonts w:ascii="Times New Roman" w:eastAsia="Times New Roman" w:hAnsi="Times New Roman" w:cs="Times New Roman"/>
          <w:color w:val="000000"/>
          <w:lang w:eastAsia="es-MX"/>
        </w:rPr>
        <w:t>El estudio revisa cuatro dimensiones analíticas: compras públicas y CTP; logística de entrada y SRM; almacenamiento y eficiencia operativa; y satisfacción ciudadana. A través de un enfoque conceptual respaldado por evidencia empírica reciente, se sostiene que la integración de prácticas logísticas con los principios de la NGP y las Normas de Información Financiera (NIF) puede fortalecer la eficiencia operativa, la transparencia y la rendición de cuentas.</w:t>
      </w:r>
      <w:r w:rsidR="00DB1274">
        <w:rPr>
          <w:rFonts w:ascii="Times New Roman" w:eastAsia="Times New Roman" w:hAnsi="Times New Roman" w:cs="Times New Roman"/>
          <w:color w:val="000000"/>
          <w:lang w:eastAsia="es-MX"/>
        </w:rPr>
        <w:t xml:space="preserve"> </w:t>
      </w:r>
      <w:r w:rsidRPr="00D91749">
        <w:rPr>
          <w:rFonts w:ascii="Times New Roman" w:eastAsia="Times New Roman" w:hAnsi="Times New Roman" w:cs="Times New Roman"/>
          <w:color w:val="000000"/>
          <w:lang w:eastAsia="es-MX"/>
        </w:rPr>
        <w:t>No obstante, persisten limitaciones institucionales, entre ellas la escasa interoperabilidad de los sistemas administrativos y la limitada aplicación de metodologías de CTP en auditorías de gestión pública. Los resultados proponen líneas futuras de investigación centradas en estudios de caso locales, evaluación cuantitativa de impactos e integración digital. El trabajo aporta un marco teórico-normativo para el rediseño institucional y la mejora continua de los servicios públicos.</w:t>
      </w:r>
    </w:p>
    <w:p w14:paraId="532DB89B" w14:textId="030B18AF" w:rsidR="003B6E4F" w:rsidRDefault="003B6E4F" w:rsidP="00A76E20">
      <w:pPr>
        <w:widowControl w:val="0"/>
        <w:spacing w:after="0" w:line="240" w:lineRule="auto"/>
        <w:jc w:val="both"/>
        <w:rPr>
          <w:rFonts w:ascii="Times New Roman" w:eastAsia="Times New Roman" w:hAnsi="Times New Roman" w:cs="Times New Roman"/>
          <w:color w:val="0D0D0D"/>
          <w:lang w:eastAsia="es-MX"/>
        </w:rPr>
      </w:pPr>
      <w:r w:rsidRPr="00DB1274">
        <w:rPr>
          <w:rFonts w:ascii="Times New Roman" w:eastAsia="Times New Roman" w:hAnsi="Times New Roman" w:cs="Times New Roman"/>
          <w:b/>
          <w:color w:val="0D0D0D"/>
          <w:lang w:eastAsia="es-MX"/>
        </w:rPr>
        <w:t>Palabras clave</w:t>
      </w:r>
      <w:r w:rsidRPr="00A76E20">
        <w:rPr>
          <w:rFonts w:ascii="Times New Roman" w:eastAsia="Times New Roman" w:hAnsi="Times New Roman" w:cs="Times New Roman"/>
          <w:color w:val="0D0D0D"/>
          <w:lang w:eastAsia="es-MX"/>
        </w:rPr>
        <w:t>: Nueva Gestión Pública</w:t>
      </w:r>
      <w:r w:rsidR="004D7D40">
        <w:rPr>
          <w:rFonts w:ascii="Times New Roman" w:eastAsia="Times New Roman" w:hAnsi="Times New Roman" w:cs="Times New Roman"/>
          <w:color w:val="0D0D0D"/>
          <w:lang w:eastAsia="es-MX"/>
        </w:rPr>
        <w:t xml:space="preserve">; </w:t>
      </w:r>
      <w:r w:rsidRPr="00A76E20">
        <w:rPr>
          <w:rFonts w:ascii="Times New Roman" w:eastAsia="Times New Roman" w:hAnsi="Times New Roman" w:cs="Times New Roman"/>
          <w:color w:val="0D0D0D"/>
          <w:lang w:eastAsia="es-MX"/>
        </w:rPr>
        <w:t>Gestión de la Cadena de Suministro</w:t>
      </w:r>
      <w:r w:rsidR="004D7D40">
        <w:rPr>
          <w:rFonts w:ascii="Times New Roman" w:eastAsia="Times New Roman" w:hAnsi="Times New Roman" w:cs="Times New Roman"/>
          <w:color w:val="0D0D0D"/>
          <w:lang w:eastAsia="es-MX"/>
        </w:rPr>
        <w:t>;</w:t>
      </w:r>
      <w:r w:rsidRPr="00A76E20">
        <w:rPr>
          <w:rFonts w:ascii="Times New Roman" w:eastAsia="Times New Roman" w:hAnsi="Times New Roman" w:cs="Times New Roman"/>
          <w:color w:val="0D0D0D"/>
          <w:lang w:eastAsia="es-MX"/>
        </w:rPr>
        <w:t xml:space="preserve"> Normas de Información Financiera</w:t>
      </w:r>
      <w:r w:rsidR="004D7D40">
        <w:rPr>
          <w:rFonts w:ascii="Times New Roman" w:eastAsia="Times New Roman" w:hAnsi="Times New Roman" w:cs="Times New Roman"/>
          <w:color w:val="0D0D0D"/>
          <w:lang w:eastAsia="es-MX"/>
        </w:rPr>
        <w:t xml:space="preserve">. </w:t>
      </w:r>
    </w:p>
    <w:p w14:paraId="5C84943A" w14:textId="77777777" w:rsidR="00A76E20" w:rsidRPr="00A76E20" w:rsidRDefault="00A76E20" w:rsidP="00A76E20">
      <w:pPr>
        <w:widowControl w:val="0"/>
        <w:spacing w:after="0" w:line="240" w:lineRule="auto"/>
        <w:jc w:val="both"/>
        <w:rPr>
          <w:rFonts w:ascii="Times New Roman" w:eastAsia="Times New Roman" w:hAnsi="Times New Roman" w:cs="Times New Roman"/>
          <w:color w:val="0D0D0D"/>
          <w:lang w:eastAsia="es-MX"/>
        </w:rPr>
      </w:pPr>
    </w:p>
    <w:p w14:paraId="3877C41A" w14:textId="15D44657" w:rsidR="00046729" w:rsidRPr="003C6FA4" w:rsidRDefault="00046729" w:rsidP="00A76E20">
      <w:pPr>
        <w:widowControl w:val="0"/>
        <w:spacing w:after="0" w:line="240" w:lineRule="auto"/>
        <w:jc w:val="both"/>
        <w:rPr>
          <w:rFonts w:ascii="Times New Roman" w:eastAsia="Times New Roman" w:hAnsi="Times New Roman" w:cs="Times New Roman"/>
          <w:color w:val="0D0D0D"/>
          <w:lang w:eastAsia="es-MX"/>
        </w:rPr>
      </w:pPr>
      <w:r w:rsidRPr="003C6FA4">
        <w:rPr>
          <w:rFonts w:ascii="Times New Roman" w:eastAsia="Times New Roman" w:hAnsi="Times New Roman" w:cs="Times New Roman"/>
          <w:b/>
          <w:color w:val="0D0D0D"/>
          <w:lang w:eastAsia="es-MX"/>
        </w:rPr>
        <w:t>Códigos JEL</w:t>
      </w:r>
      <w:r w:rsidRPr="003C6FA4">
        <w:rPr>
          <w:rFonts w:ascii="Times New Roman" w:eastAsia="Times New Roman" w:hAnsi="Times New Roman" w:cs="Times New Roman"/>
          <w:color w:val="0D0D0D"/>
          <w:lang w:eastAsia="es-MX"/>
        </w:rPr>
        <w:t>:</w:t>
      </w:r>
      <w:r w:rsidR="00A738EC" w:rsidRPr="003C6FA4">
        <w:rPr>
          <w:rFonts w:ascii="Times New Roman" w:hAnsi="Times New Roman" w:cs="Times New Roman"/>
          <w:color w:val="000000"/>
        </w:rPr>
        <w:t xml:space="preserve"> H83, M11, M41</w:t>
      </w:r>
    </w:p>
    <w:p w14:paraId="6277AA72" w14:textId="77777777" w:rsidR="00807E3E" w:rsidRDefault="00807E3E" w:rsidP="00A76E20">
      <w:pPr>
        <w:widowControl w:val="0"/>
        <w:spacing w:after="0" w:line="240" w:lineRule="auto"/>
        <w:jc w:val="center"/>
        <w:rPr>
          <w:rFonts w:ascii="Times New Roman" w:eastAsia="Times New Roman" w:hAnsi="Times New Roman" w:cs="Times New Roman"/>
          <w:b/>
          <w:color w:val="0D0D0D"/>
          <w:lang w:val="en-US" w:eastAsia="es-MX"/>
        </w:rPr>
      </w:pPr>
    </w:p>
    <w:p w14:paraId="34B0578A" w14:textId="18E69F3D" w:rsidR="007758F2" w:rsidRPr="00807E3E" w:rsidRDefault="007758F2" w:rsidP="00A76E20">
      <w:pPr>
        <w:widowControl w:val="0"/>
        <w:spacing w:after="0" w:line="240" w:lineRule="auto"/>
        <w:jc w:val="center"/>
        <w:rPr>
          <w:rFonts w:ascii="Times New Roman" w:eastAsia="Times New Roman" w:hAnsi="Times New Roman" w:cs="Times New Roman"/>
          <w:b/>
          <w:color w:val="0D0D0D"/>
          <w:lang w:val="en-US" w:eastAsia="es-MX"/>
        </w:rPr>
      </w:pPr>
      <w:r w:rsidRPr="00807E3E">
        <w:rPr>
          <w:rFonts w:ascii="Times New Roman" w:eastAsia="Times New Roman" w:hAnsi="Times New Roman" w:cs="Times New Roman"/>
          <w:b/>
          <w:color w:val="0D0D0D"/>
          <w:lang w:val="en-US" w:eastAsia="es-MX"/>
        </w:rPr>
        <w:lastRenderedPageBreak/>
        <w:t>Abstract</w:t>
      </w:r>
    </w:p>
    <w:p w14:paraId="597766DA" w14:textId="77777777" w:rsidR="00A76E20" w:rsidRPr="00807E3E" w:rsidRDefault="00A76E20" w:rsidP="00A76E20">
      <w:pPr>
        <w:widowControl w:val="0"/>
        <w:spacing w:after="0" w:line="240" w:lineRule="auto"/>
        <w:jc w:val="center"/>
        <w:rPr>
          <w:rFonts w:ascii="Times New Roman" w:eastAsia="Times New Roman" w:hAnsi="Times New Roman" w:cs="Times New Roman"/>
          <w:b/>
          <w:color w:val="0D0D0D"/>
          <w:lang w:val="en-US" w:eastAsia="es-MX"/>
        </w:rPr>
      </w:pPr>
    </w:p>
    <w:p w14:paraId="27FAB6B7" w14:textId="1EB13D84" w:rsidR="00D91749" w:rsidRPr="00A732C8" w:rsidRDefault="00D91749" w:rsidP="00D91749">
      <w:pPr>
        <w:spacing w:before="100" w:beforeAutospacing="1" w:after="100" w:afterAutospacing="1" w:line="360" w:lineRule="auto"/>
        <w:jc w:val="both"/>
        <w:rPr>
          <w:rFonts w:ascii="Times New Roman" w:eastAsia="Times New Roman" w:hAnsi="Times New Roman" w:cs="Times New Roman"/>
          <w:color w:val="000000"/>
          <w:lang w:val="en-US" w:eastAsia="es-MX"/>
        </w:rPr>
      </w:pPr>
      <w:r w:rsidRPr="00A732C8">
        <w:rPr>
          <w:rFonts w:ascii="Times New Roman" w:eastAsia="Times New Roman" w:hAnsi="Times New Roman" w:cs="Times New Roman"/>
          <w:color w:val="000000"/>
          <w:lang w:val="en-US" w:eastAsia="es-MX"/>
        </w:rPr>
        <w:t xml:space="preserve">This paper analyzes supply chain management in the Mexican public sector from the perspective of New Public Management (NPM). It examines the incorporation of private-sector practices—particularly total cost of ownership (TCO) and supplier relationship management (SRM)—as mechanisms for modernizing public </w:t>
      </w:r>
      <w:proofErr w:type="spellStart"/>
      <w:proofErr w:type="gramStart"/>
      <w:r w:rsidRPr="00A732C8">
        <w:rPr>
          <w:rFonts w:ascii="Times New Roman" w:eastAsia="Times New Roman" w:hAnsi="Times New Roman" w:cs="Times New Roman"/>
          <w:color w:val="000000"/>
          <w:lang w:val="en-US" w:eastAsia="es-MX"/>
        </w:rPr>
        <w:t>administration.The</w:t>
      </w:r>
      <w:proofErr w:type="spellEnd"/>
      <w:proofErr w:type="gramEnd"/>
      <w:r w:rsidRPr="00A732C8">
        <w:rPr>
          <w:rFonts w:ascii="Times New Roman" w:eastAsia="Times New Roman" w:hAnsi="Times New Roman" w:cs="Times New Roman"/>
          <w:color w:val="000000"/>
          <w:lang w:val="en-US" w:eastAsia="es-MX"/>
        </w:rPr>
        <w:t xml:space="preserve"> study reviews four analytical dimensions: public procurement and TCO; inbound logistics and SRM; storage and operational efficiency; and citizen satisfaction. Through a conceptual approach supported by recent empirical evidence, the paper argues that integrating logistics practices with NPM principles and Financial Reporting Standards (FRS) can enhance operational efficiency, transparency, and </w:t>
      </w:r>
      <w:proofErr w:type="spellStart"/>
      <w:proofErr w:type="gramStart"/>
      <w:r w:rsidRPr="00A732C8">
        <w:rPr>
          <w:rFonts w:ascii="Times New Roman" w:eastAsia="Times New Roman" w:hAnsi="Times New Roman" w:cs="Times New Roman"/>
          <w:color w:val="000000"/>
          <w:lang w:val="en-US" w:eastAsia="es-MX"/>
        </w:rPr>
        <w:t>accountability.However</w:t>
      </w:r>
      <w:proofErr w:type="spellEnd"/>
      <w:proofErr w:type="gramEnd"/>
      <w:r w:rsidRPr="00A732C8">
        <w:rPr>
          <w:rFonts w:ascii="Times New Roman" w:eastAsia="Times New Roman" w:hAnsi="Times New Roman" w:cs="Times New Roman"/>
          <w:color w:val="000000"/>
          <w:lang w:val="en-US" w:eastAsia="es-MX"/>
        </w:rPr>
        <w:t>, institutional constraints persist, including limited interoperability of administrative systems and weak implementation of TCO methodologies in public management audits. The findings suggest future research lines focused on local case studies, quantitative impact assessment, and digital integration strategies. The study contributes a theoretical-normative framework for institutional redesign and continuous improvement of public services.</w:t>
      </w:r>
    </w:p>
    <w:p w14:paraId="1185C679" w14:textId="77777777" w:rsidR="00A76E20" w:rsidRPr="00A76E20" w:rsidRDefault="00A76E20" w:rsidP="00A76E20">
      <w:pPr>
        <w:widowControl w:val="0"/>
        <w:spacing w:after="0" w:line="240" w:lineRule="auto"/>
        <w:jc w:val="both"/>
        <w:rPr>
          <w:rFonts w:ascii="Times New Roman" w:eastAsia="Times New Roman" w:hAnsi="Times New Roman" w:cs="Times New Roman"/>
          <w:color w:val="0D0D0D"/>
          <w:lang w:val="en-US" w:eastAsia="es-MX"/>
        </w:rPr>
      </w:pPr>
    </w:p>
    <w:p w14:paraId="50612588" w14:textId="77777777" w:rsidR="004D7D40" w:rsidRPr="00436B45" w:rsidRDefault="007758F2" w:rsidP="00A76E20">
      <w:pPr>
        <w:widowControl w:val="0"/>
        <w:spacing w:after="0" w:line="240" w:lineRule="auto"/>
        <w:jc w:val="both"/>
        <w:rPr>
          <w:rFonts w:ascii="Times New Roman" w:eastAsia="Times New Roman" w:hAnsi="Times New Roman" w:cs="Times New Roman"/>
          <w:b/>
          <w:color w:val="0D0D0D"/>
          <w:lang w:val="en-US" w:eastAsia="es-MX"/>
        </w:rPr>
      </w:pPr>
      <w:bookmarkStart w:id="0" w:name="_GoBack"/>
      <w:r w:rsidRPr="00436B45">
        <w:rPr>
          <w:rFonts w:ascii="Times New Roman" w:eastAsia="Times New Roman" w:hAnsi="Times New Roman" w:cs="Times New Roman"/>
          <w:b/>
          <w:color w:val="0D0D0D"/>
          <w:lang w:val="en-US" w:eastAsia="es-MX"/>
        </w:rPr>
        <w:t>Keywords</w:t>
      </w:r>
      <w:r w:rsidRPr="00436B45">
        <w:rPr>
          <w:rFonts w:ascii="Times New Roman" w:eastAsia="Times New Roman" w:hAnsi="Times New Roman" w:cs="Times New Roman"/>
          <w:color w:val="0D0D0D"/>
          <w:lang w:val="en-US" w:eastAsia="es-MX"/>
        </w:rPr>
        <w:t xml:space="preserve">: </w:t>
      </w:r>
      <w:r w:rsidR="004D7D40" w:rsidRPr="00436B45">
        <w:rPr>
          <w:rFonts w:ascii="Times New Roman" w:hAnsi="Times New Roman" w:cs="Times New Roman"/>
          <w:color w:val="000000"/>
          <w:lang w:val="en-US"/>
        </w:rPr>
        <w:t>New Public Management; Supply Chain Management; Financial Reporting Standards.</w:t>
      </w:r>
      <w:r w:rsidR="004D7D40" w:rsidRPr="00436B45">
        <w:rPr>
          <w:rFonts w:ascii="Times New Roman" w:eastAsia="Times New Roman" w:hAnsi="Times New Roman" w:cs="Times New Roman"/>
          <w:b/>
          <w:color w:val="0D0D0D"/>
          <w:lang w:val="en-US" w:eastAsia="es-MX"/>
        </w:rPr>
        <w:t xml:space="preserve"> </w:t>
      </w:r>
    </w:p>
    <w:p w14:paraId="7A03F4FF" w14:textId="169795F9" w:rsidR="00046729" w:rsidRPr="00436B45" w:rsidRDefault="00046729" w:rsidP="00A76E20">
      <w:pPr>
        <w:widowControl w:val="0"/>
        <w:spacing w:after="0" w:line="240" w:lineRule="auto"/>
        <w:jc w:val="both"/>
        <w:rPr>
          <w:rFonts w:ascii="Times New Roman" w:eastAsia="Times New Roman" w:hAnsi="Times New Roman" w:cs="Times New Roman"/>
          <w:color w:val="0D0D0D"/>
          <w:sz w:val="24"/>
          <w:szCs w:val="24"/>
          <w:lang w:eastAsia="es-MX"/>
        </w:rPr>
      </w:pPr>
      <w:r w:rsidRPr="00436B45">
        <w:rPr>
          <w:rFonts w:ascii="Times New Roman" w:eastAsia="Times New Roman" w:hAnsi="Times New Roman" w:cs="Times New Roman"/>
          <w:b/>
          <w:color w:val="0D0D0D"/>
          <w:sz w:val="24"/>
          <w:szCs w:val="24"/>
          <w:lang w:eastAsia="es-MX"/>
        </w:rPr>
        <w:t xml:space="preserve">JEL </w:t>
      </w:r>
      <w:proofErr w:type="spellStart"/>
      <w:r w:rsidRPr="00436B45">
        <w:rPr>
          <w:rFonts w:ascii="Times New Roman" w:eastAsia="Times New Roman" w:hAnsi="Times New Roman" w:cs="Times New Roman"/>
          <w:b/>
          <w:color w:val="0D0D0D"/>
          <w:sz w:val="24"/>
          <w:szCs w:val="24"/>
          <w:lang w:eastAsia="es-MX"/>
        </w:rPr>
        <w:t>Codes</w:t>
      </w:r>
      <w:proofErr w:type="spellEnd"/>
      <w:r w:rsidRPr="00436B45">
        <w:rPr>
          <w:rFonts w:ascii="Times New Roman" w:eastAsia="Times New Roman" w:hAnsi="Times New Roman" w:cs="Times New Roman"/>
          <w:color w:val="0D0D0D"/>
          <w:sz w:val="24"/>
          <w:szCs w:val="24"/>
          <w:lang w:eastAsia="es-MX"/>
        </w:rPr>
        <w:t>:</w:t>
      </w:r>
      <w:r w:rsidR="00A738EC" w:rsidRPr="00436B45">
        <w:rPr>
          <w:rFonts w:ascii="Times New Roman" w:hAnsi="Times New Roman" w:cs="Times New Roman"/>
          <w:color w:val="000000"/>
          <w:sz w:val="21"/>
          <w:szCs w:val="21"/>
        </w:rPr>
        <w:t xml:space="preserve"> </w:t>
      </w:r>
      <w:r w:rsidR="00A738EC" w:rsidRPr="00436B45">
        <w:rPr>
          <w:rFonts w:ascii="Times New Roman" w:hAnsi="Times New Roman" w:cs="Times New Roman"/>
          <w:color w:val="000000"/>
          <w:szCs w:val="21"/>
        </w:rPr>
        <w:t>H83, M11, M41</w:t>
      </w:r>
    </w:p>
    <w:bookmarkEnd w:id="0"/>
    <w:p w14:paraId="7414F1EC" w14:textId="6291CDA3" w:rsidR="00561382" w:rsidRPr="00A732C8" w:rsidRDefault="00561382" w:rsidP="00A76E20">
      <w:pPr>
        <w:widowControl w:val="0"/>
        <w:spacing w:after="0" w:line="360" w:lineRule="auto"/>
        <w:jc w:val="both"/>
        <w:rPr>
          <w:rFonts w:ascii="Times New Roman" w:eastAsia="Times New Roman" w:hAnsi="Times New Roman" w:cs="Times New Roman"/>
          <w:color w:val="0D0D0D"/>
          <w:sz w:val="24"/>
          <w:szCs w:val="24"/>
          <w:lang w:eastAsia="es-MX"/>
        </w:rPr>
      </w:pPr>
    </w:p>
    <w:p w14:paraId="4098D979" w14:textId="53D21206" w:rsidR="00B8558D" w:rsidRDefault="00444C78"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1.</w:t>
      </w:r>
      <w:r w:rsidR="00DB1274">
        <w:rPr>
          <w:rFonts w:ascii="Times New Roman" w:eastAsia="Times New Roman" w:hAnsi="Times New Roman" w:cs="Times New Roman"/>
          <w:b/>
          <w:bCs/>
          <w:color w:val="0D0D0D"/>
          <w:sz w:val="24"/>
          <w:szCs w:val="24"/>
          <w:lang w:eastAsia="es-MX"/>
        </w:rPr>
        <w:t xml:space="preserve"> </w:t>
      </w:r>
      <w:r w:rsidR="00B8558D" w:rsidRPr="0000740E">
        <w:rPr>
          <w:rFonts w:ascii="Times New Roman" w:eastAsia="Times New Roman" w:hAnsi="Times New Roman" w:cs="Times New Roman"/>
          <w:b/>
          <w:bCs/>
          <w:color w:val="0D0D0D"/>
          <w:sz w:val="24"/>
          <w:szCs w:val="24"/>
          <w:lang w:eastAsia="es-MX"/>
        </w:rPr>
        <w:t>Introducción</w:t>
      </w:r>
    </w:p>
    <w:p w14:paraId="3F305C78" w14:textId="77777777" w:rsidR="000F5BE7" w:rsidRPr="0000740E" w:rsidRDefault="000F5BE7" w:rsidP="000F5BE7">
      <w:pPr>
        <w:widowControl w:val="0"/>
        <w:spacing w:after="0" w:line="360" w:lineRule="auto"/>
        <w:jc w:val="both"/>
        <w:rPr>
          <w:rFonts w:ascii="Times New Roman" w:eastAsia="Times New Roman" w:hAnsi="Times New Roman" w:cs="Times New Roman"/>
          <w:b/>
          <w:bCs/>
          <w:color w:val="0D0D0D"/>
          <w:sz w:val="24"/>
          <w:szCs w:val="24"/>
          <w:lang w:eastAsia="es-MX"/>
        </w:rPr>
      </w:pPr>
    </w:p>
    <w:p w14:paraId="77B7E6C8" w14:textId="5E5AC5D9" w:rsidR="006355CC" w:rsidRPr="0000740E" w:rsidRDefault="006355CC" w:rsidP="000F5BE7">
      <w:pPr>
        <w:spacing w:after="0" w:line="360" w:lineRule="auto"/>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En el escenario contemporáneo de la administración pública mexicana, caracterizado por limitaciones presupuestarias, creciente demanda ciudadana y exigencias de transparencia, la adopción de modelos de gestión más eficientes se ha vuelto imperativa, como ha sido señalado en la literatura sobre administración pública. En este contexto, la Nueva Gestión Pública (NGP) ha cobrado relevancia como una corriente reformista que busca trasladar principios y prácticas del sector privado a la esfera pública, con énfasis en la orientación al desempeño, la eficiencia organizacional, la rendición de cuentas y la mejora continua en la provisión de bienes y servicios públicos (Pollitt y Bouckaert, 20</w:t>
      </w:r>
      <w:r w:rsidR="00B76B0B">
        <w:rPr>
          <w:rFonts w:ascii="Times New Roman" w:eastAsia="Times New Roman" w:hAnsi="Times New Roman" w:cs="Times New Roman"/>
          <w:sz w:val="24"/>
          <w:szCs w:val="24"/>
          <w:lang w:eastAsia="es-MX"/>
        </w:rPr>
        <w:t>23</w:t>
      </w:r>
      <w:r w:rsidRPr="0000740E">
        <w:rPr>
          <w:rFonts w:ascii="Times New Roman" w:eastAsia="Times New Roman" w:hAnsi="Times New Roman" w:cs="Times New Roman"/>
          <w:sz w:val="24"/>
          <w:szCs w:val="24"/>
          <w:lang w:eastAsia="es-MX"/>
        </w:rPr>
        <w:t xml:space="preserve">; Osborne, 2010). </w:t>
      </w:r>
    </w:p>
    <w:p w14:paraId="23688E88" w14:textId="5B64EBD9" w:rsidR="00CE4380" w:rsidRPr="0000740E" w:rsidRDefault="00CE4380" w:rsidP="000F5BE7">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Una de las áreas más relevantes para la materialización de los principios de la NGP es la gestión de la cadena de suministro, entendida como el conjunto de procesos que permiten llevar a cabo esas actividades de adquisición, recepción, almacenamiento y distribución de los bienes y servicios necesarios para que el aparato público funcione. La literatura especializada ha señalado que prácticas como la evaluación del Costo Total de Propiedad (Ellram y Siferd, 1993; Elram, </w:t>
      </w:r>
      <w:r w:rsidRPr="0000740E">
        <w:rPr>
          <w:rFonts w:ascii="Times New Roman" w:eastAsia="Times New Roman" w:hAnsi="Times New Roman" w:cs="Times New Roman"/>
          <w:sz w:val="24"/>
          <w:szCs w:val="24"/>
          <w:lang w:eastAsia="es-MX"/>
        </w:rPr>
        <w:lastRenderedPageBreak/>
        <w:t>2009), La implementación de Sistemas de Gestión de Relaciones con Proveedores efectivos ha sido asociada en la literatura con la optimización de estos procesos, incluyendo reducciones en los tiempos de entrega y de los costos del inventario (Bowersox</w:t>
      </w:r>
      <w:r w:rsidR="0002054C">
        <w:rPr>
          <w:rFonts w:ascii="Times New Roman" w:eastAsia="Times New Roman" w:hAnsi="Times New Roman" w:cs="Times New Roman"/>
          <w:sz w:val="24"/>
          <w:szCs w:val="24"/>
          <w:lang w:eastAsia="es-MX"/>
        </w:rPr>
        <w:t xml:space="preserve"> </w:t>
      </w:r>
      <w:r w:rsidR="0002054C" w:rsidRPr="0000740E">
        <w:rPr>
          <w:rFonts w:ascii="Times New Roman" w:eastAsia="Times New Roman" w:hAnsi="Times New Roman" w:cs="Times New Roman"/>
          <w:color w:val="0D0D0D"/>
          <w:sz w:val="24"/>
          <w:szCs w:val="24"/>
          <w:lang w:eastAsia="es-MX"/>
        </w:rPr>
        <w:t>et al.,</w:t>
      </w:r>
      <w:r w:rsidRPr="0000740E">
        <w:rPr>
          <w:rFonts w:ascii="Times New Roman" w:eastAsia="Times New Roman" w:hAnsi="Times New Roman" w:cs="Times New Roman"/>
          <w:sz w:val="24"/>
          <w:szCs w:val="24"/>
          <w:lang w:eastAsia="es-MX"/>
        </w:rPr>
        <w:t>, 2012; Chen y Paulraj, 2004). En el ámbito público, esta gestión se ha vinculado a una gestión más eficiente de recursos básicos, como medicamentos o material educativo, para favorecer una respuesta más rápida y efectiva a la necesidad de los ciudadanos (Peters, 2010;</w:t>
      </w:r>
      <w:r w:rsidR="00324612">
        <w:rPr>
          <w:rFonts w:ascii="Times New Roman" w:eastAsia="Times New Roman" w:hAnsi="Times New Roman" w:cs="Times New Roman"/>
          <w:sz w:val="24"/>
          <w:szCs w:val="24"/>
          <w:lang w:eastAsia="es-MX"/>
        </w:rPr>
        <w:t>)</w:t>
      </w:r>
      <w:r w:rsidRPr="0000740E">
        <w:rPr>
          <w:rFonts w:ascii="Times New Roman" w:eastAsia="Times New Roman" w:hAnsi="Times New Roman" w:cs="Times New Roman"/>
          <w:sz w:val="24"/>
          <w:szCs w:val="24"/>
          <w:lang w:eastAsia="es-MX"/>
        </w:rPr>
        <w:t>.</w:t>
      </w:r>
    </w:p>
    <w:p w14:paraId="29496DFF" w14:textId="77777777" w:rsidR="00CE4380" w:rsidRPr="0000740E" w:rsidRDefault="00CE4380" w:rsidP="000F5BE7">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De forma paralela, las Normas de Información Financiera (NIF), emitidas por el Consejo Mexicano para la Investigación y Desarrollo de Normas de Información Financiera (CINIF), establecieron un marco contable que estableció la obligación de las entidades gubernamentales de adoptar prácticas de registro y reporte que fueran más comprensibles, sostenidas y comprobables, las cuales fortalecen la transparencia y la trazabilidad del gasto público (CINIF, 2018a, 2018b, 2018c). La convergencia que hacen los principios de NGP y el cumplimiento de las NIF constituye una oportunidad competitiva para armonizar eficiencia administrativa con rendición de cuentas financiera.</w:t>
      </w:r>
    </w:p>
    <w:p w14:paraId="614AEB99" w14:textId="77777777" w:rsidR="00CE4380" w:rsidRPr="0000740E" w:rsidRDefault="00CE4380" w:rsidP="000F5BE7">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Este trabajo busca evidenciar el potencial de mejora en la administración pública de México al poderlo cruzar con las consecuencias prácticas de la relación entre la Nueva Gestión Pública (NGP), la NIIF y el modelo de gestión moderno de la cadena de suministro. En un sentido teórico-analítico, se revisan los supuestos conceptuales y normativos de las mencionadas herramientas, se obtienen las mejores prácticas de la cadena de suministro en el sector público y se analiza el posible impacto de las mismas en la eficiencia, la transparencia y la satisfacción ciudadana</w:t>
      </w:r>
      <w:r w:rsidR="00404D7A" w:rsidRPr="0000740E">
        <w:rPr>
          <w:rFonts w:ascii="Times New Roman" w:eastAsia="Times New Roman" w:hAnsi="Times New Roman" w:cs="Times New Roman"/>
          <w:sz w:val="24"/>
          <w:szCs w:val="24"/>
          <w:lang w:eastAsia="es-MX"/>
        </w:rPr>
        <w:t xml:space="preserve">. </w:t>
      </w:r>
      <w:r w:rsidRPr="0000740E">
        <w:rPr>
          <w:rFonts w:ascii="Times New Roman" w:eastAsia="Times New Roman" w:hAnsi="Times New Roman" w:cs="Times New Roman"/>
          <w:sz w:val="24"/>
          <w:szCs w:val="24"/>
          <w:lang w:eastAsia="es-MX"/>
        </w:rPr>
        <w:t xml:space="preserve">Del mismo modo, se incluyen los datos más recientes de los informes de la Auditoría Superior a la Federación, en particular el Informe del Resultado de la Fiscalización Superior de la Cuenta Pública 2021 (ASF, 2022), los diagnósticos proporcionados por el Instituto Nacional de Transparencia, Acceso a la Información y Protección de Datos Personales (INAI, 2022), así como los estudios de caso de interés. </w:t>
      </w:r>
    </w:p>
    <w:p w14:paraId="72C25E19" w14:textId="28568944" w:rsidR="000F5BE7" w:rsidRPr="0000740E" w:rsidRDefault="00CE4380" w:rsidP="00807E3E">
      <w:pPr>
        <w:widowControl w:val="0"/>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De este modo, la intención es contribuir al debate de cómo transformar las operaciones públicas con base en herramientas modernas de gestión, entendido esto como ir más allá de la simple adopción formal de normas y avanzar hacia su implementación real y estratégica. Para ello, la presente propuesta contribuye también a ofrecer recomendaciones para futuras investigaciones con el fin de generar evidencia sobre las virtudes y limitaciones justamente de estas reformas en los diferentes órdenes de gobierno.</w:t>
      </w:r>
    </w:p>
    <w:p w14:paraId="06FE1F75" w14:textId="3A4C23E5" w:rsidR="00992681" w:rsidRPr="0000740E" w:rsidRDefault="00444C78"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lastRenderedPageBreak/>
        <w:t>2.</w:t>
      </w:r>
      <w:r w:rsidR="00DB1274">
        <w:rPr>
          <w:rFonts w:ascii="Times New Roman" w:eastAsia="Times New Roman" w:hAnsi="Times New Roman" w:cs="Times New Roman"/>
          <w:b/>
          <w:bCs/>
          <w:color w:val="0D0D0D"/>
          <w:sz w:val="24"/>
          <w:szCs w:val="24"/>
          <w:lang w:eastAsia="es-MX"/>
        </w:rPr>
        <w:t xml:space="preserve"> </w:t>
      </w:r>
      <w:r w:rsidR="00B82429">
        <w:rPr>
          <w:rFonts w:ascii="Times New Roman" w:eastAsia="Times New Roman" w:hAnsi="Times New Roman" w:cs="Times New Roman"/>
          <w:b/>
          <w:bCs/>
          <w:color w:val="0D0D0D"/>
          <w:sz w:val="24"/>
          <w:szCs w:val="24"/>
          <w:lang w:eastAsia="es-MX"/>
        </w:rPr>
        <w:t xml:space="preserve">Revisión de la </w:t>
      </w:r>
      <w:r w:rsidR="00FA70E3">
        <w:rPr>
          <w:rFonts w:ascii="Times New Roman" w:eastAsia="Times New Roman" w:hAnsi="Times New Roman" w:cs="Times New Roman"/>
          <w:b/>
          <w:bCs/>
          <w:color w:val="0D0D0D"/>
          <w:sz w:val="24"/>
          <w:szCs w:val="24"/>
          <w:lang w:eastAsia="es-MX"/>
        </w:rPr>
        <w:t>l</w:t>
      </w:r>
      <w:r w:rsidR="00B82429">
        <w:rPr>
          <w:rFonts w:ascii="Times New Roman" w:eastAsia="Times New Roman" w:hAnsi="Times New Roman" w:cs="Times New Roman"/>
          <w:b/>
          <w:bCs/>
          <w:color w:val="0D0D0D"/>
          <w:sz w:val="24"/>
          <w:szCs w:val="24"/>
          <w:lang w:eastAsia="es-MX"/>
        </w:rPr>
        <w:t>iteratura</w:t>
      </w:r>
    </w:p>
    <w:p w14:paraId="018593DE" w14:textId="77777777" w:rsidR="000F5BE7" w:rsidRDefault="000F5BE7" w:rsidP="000F5BE7">
      <w:pPr>
        <w:pStyle w:val="Descripcin"/>
        <w:keepNext/>
        <w:spacing w:after="0" w:line="360" w:lineRule="auto"/>
        <w:jc w:val="both"/>
        <w:rPr>
          <w:rFonts w:ascii="Times New Roman" w:eastAsia="Times New Roman" w:hAnsi="Times New Roman" w:cs="Times New Roman"/>
          <w:i w:val="0"/>
          <w:iCs w:val="0"/>
          <w:color w:val="0D0D0D"/>
          <w:sz w:val="24"/>
          <w:szCs w:val="24"/>
          <w:lang w:eastAsia="es-MX"/>
        </w:rPr>
      </w:pPr>
    </w:p>
    <w:p w14:paraId="12173EB1" w14:textId="30031691" w:rsidR="00B8076E" w:rsidRPr="0000740E" w:rsidRDefault="00B8076E" w:rsidP="000F5BE7">
      <w:pPr>
        <w:pStyle w:val="Descripcin"/>
        <w:keepNext/>
        <w:spacing w:after="0" w:line="360" w:lineRule="auto"/>
        <w:jc w:val="both"/>
        <w:rPr>
          <w:rFonts w:ascii="Times New Roman" w:eastAsia="Times New Roman" w:hAnsi="Times New Roman" w:cs="Times New Roman"/>
          <w:i w:val="0"/>
          <w:iCs w:val="0"/>
          <w:color w:val="0D0D0D"/>
          <w:sz w:val="24"/>
          <w:szCs w:val="24"/>
          <w:lang w:eastAsia="es-MX"/>
        </w:rPr>
      </w:pPr>
      <w:r w:rsidRPr="0000740E">
        <w:rPr>
          <w:rFonts w:ascii="Times New Roman" w:eastAsia="Times New Roman" w:hAnsi="Times New Roman" w:cs="Times New Roman"/>
          <w:i w:val="0"/>
          <w:iCs w:val="0"/>
          <w:color w:val="0D0D0D"/>
          <w:sz w:val="24"/>
          <w:szCs w:val="24"/>
          <w:lang w:eastAsia="es-MX"/>
        </w:rPr>
        <w:t>La gestión de la cadena de suministro constituye un aspecto fundamental para el rendimiento organizacional, tanto en el sector privado como en el sector público, debido a la incorporación de procesos de negocio importantes como, por ejemplo, las compras, la logística de entrada o el almacenaje de productos o materiales (Chopra y Meindl, 2016). Desde una visión global y holística, la distribución de cada eslabón de la cadena de suministro directa e indirectamente puede permitir una mejora en el rendimiento organizacional, la disminución de los costos y la mejor satisfacción del cliente/ciudadano.</w:t>
      </w:r>
    </w:p>
    <w:p w14:paraId="4AB22D11" w14:textId="4058D303" w:rsidR="00A05712" w:rsidRPr="0000740E" w:rsidRDefault="00B8076E" w:rsidP="000F5BE7">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eastAsia="es-MX"/>
        </w:rPr>
      </w:pPr>
      <w:r w:rsidRPr="0000740E">
        <w:rPr>
          <w:rFonts w:ascii="Times New Roman" w:eastAsia="Times New Roman" w:hAnsi="Times New Roman" w:cs="Times New Roman"/>
          <w:i w:val="0"/>
          <w:iCs w:val="0"/>
          <w:color w:val="0D0D0D"/>
          <w:sz w:val="24"/>
          <w:szCs w:val="24"/>
          <w:lang w:eastAsia="es-MX"/>
        </w:rPr>
        <w:t>Es en este sentido, queda de manifiesto, que la eficiencia en la óptima administración de las compras, fundamentada en la Teoría del Total Cost of Ownership, hace referencia a que estos también deben incluir los costos a lo largo del ciclo de vida de los bienes y los servicios, más que por el precio de adquisición, lo cual resulta en una mejor decisión, más sostenible y compatible con los intereses de la organización</w:t>
      </w:r>
      <w:r w:rsidRPr="0000740E">
        <w:rPr>
          <w:rFonts w:ascii="Times New Roman" w:eastAsia="Times New Roman" w:hAnsi="Times New Roman" w:cs="Times New Roman"/>
          <w:color w:val="0D0D0D"/>
          <w:sz w:val="24"/>
          <w:szCs w:val="24"/>
          <w:lang w:eastAsia="es-MX"/>
        </w:rPr>
        <w:t xml:space="preserve"> </w:t>
      </w:r>
      <w:r w:rsidR="00A05712" w:rsidRPr="0000740E">
        <w:rPr>
          <w:rFonts w:ascii="Times New Roman" w:eastAsia="Times New Roman" w:hAnsi="Times New Roman" w:cs="Times New Roman"/>
          <w:i w:val="0"/>
          <w:iCs w:val="0"/>
          <w:color w:val="0D0D0D"/>
          <w:sz w:val="24"/>
          <w:szCs w:val="24"/>
          <w:lang w:eastAsia="es-MX"/>
        </w:rPr>
        <w:t xml:space="preserve">(Ellram </w:t>
      </w:r>
      <w:r w:rsidR="00480B56" w:rsidRPr="0000740E">
        <w:rPr>
          <w:rFonts w:ascii="Times New Roman" w:eastAsia="Times New Roman" w:hAnsi="Times New Roman" w:cs="Times New Roman"/>
          <w:i w:val="0"/>
          <w:iCs w:val="0"/>
          <w:color w:val="0D0D0D"/>
          <w:sz w:val="24"/>
          <w:szCs w:val="24"/>
          <w:lang w:eastAsia="es-MX"/>
        </w:rPr>
        <w:t>y</w:t>
      </w:r>
      <w:r w:rsidR="00A05712" w:rsidRPr="0000740E">
        <w:rPr>
          <w:rFonts w:ascii="Times New Roman" w:eastAsia="Times New Roman" w:hAnsi="Times New Roman" w:cs="Times New Roman"/>
          <w:i w:val="0"/>
          <w:iCs w:val="0"/>
          <w:color w:val="0D0D0D"/>
          <w:sz w:val="24"/>
          <w:szCs w:val="24"/>
          <w:lang w:eastAsia="es-MX"/>
        </w:rPr>
        <w:t xml:space="preserve"> Siferd, 1993; Monczka</w:t>
      </w:r>
      <w:r w:rsidR="00A17609">
        <w:rPr>
          <w:rFonts w:ascii="Times New Roman" w:eastAsia="Times New Roman" w:hAnsi="Times New Roman" w:cs="Times New Roman"/>
          <w:i w:val="0"/>
          <w:iCs w:val="0"/>
          <w:color w:val="0D0D0D"/>
          <w:sz w:val="24"/>
          <w:szCs w:val="24"/>
          <w:lang w:eastAsia="es-MX"/>
        </w:rPr>
        <w:t xml:space="preserve"> et al</w:t>
      </w:r>
      <w:r w:rsidR="00A05712" w:rsidRPr="0000740E">
        <w:rPr>
          <w:rFonts w:ascii="Times New Roman" w:eastAsia="Times New Roman" w:hAnsi="Times New Roman" w:cs="Times New Roman"/>
          <w:i w:val="0"/>
          <w:iCs w:val="0"/>
          <w:color w:val="0D0D0D"/>
          <w:sz w:val="24"/>
          <w:szCs w:val="24"/>
          <w:lang w:eastAsia="es-MX"/>
        </w:rPr>
        <w:t>, 2015).</w:t>
      </w:r>
    </w:p>
    <w:p w14:paraId="00182967" w14:textId="4D4F41CC" w:rsidR="00A05712" w:rsidRPr="0000740E" w:rsidRDefault="00B8076E" w:rsidP="000F5BE7">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eastAsia="es-MX"/>
        </w:rPr>
      </w:pPr>
      <w:r w:rsidRPr="0000740E">
        <w:rPr>
          <w:rFonts w:ascii="Times New Roman" w:eastAsia="Times New Roman" w:hAnsi="Times New Roman" w:cs="Times New Roman"/>
          <w:i w:val="0"/>
          <w:iCs w:val="0"/>
          <w:color w:val="0D0D0D"/>
          <w:sz w:val="24"/>
          <w:szCs w:val="24"/>
          <w:lang w:eastAsia="es-MX"/>
        </w:rPr>
        <w:t>La logística de entrada tiene un papel importante para la eficiencia operativa, dado que cuando no se lleva a cabo de una forma coordinada, la diferencia entre el éxito o el fracaso en la entrega de los productos o los servicios finales puede ser radical. La implantación de los Sistemas de Gestión de Relaciones con Proveedores permite su optimización</w:t>
      </w:r>
      <w:r w:rsidR="00A05712" w:rsidRPr="0000740E">
        <w:rPr>
          <w:rFonts w:ascii="Times New Roman" w:eastAsia="Times New Roman" w:hAnsi="Times New Roman" w:cs="Times New Roman"/>
          <w:i w:val="0"/>
          <w:iCs w:val="0"/>
          <w:color w:val="0D0D0D"/>
          <w:sz w:val="24"/>
          <w:szCs w:val="24"/>
          <w:lang w:eastAsia="es-MX"/>
        </w:rPr>
        <w:t xml:space="preserve">, </w:t>
      </w:r>
      <w:r w:rsidR="00BB083B" w:rsidRPr="0000740E">
        <w:rPr>
          <w:rFonts w:ascii="Times New Roman" w:eastAsia="Times New Roman" w:hAnsi="Times New Roman" w:cs="Times New Roman"/>
          <w:i w:val="0"/>
          <w:iCs w:val="0"/>
          <w:color w:val="0D0D0D"/>
          <w:sz w:val="24"/>
          <w:szCs w:val="24"/>
          <w:lang w:eastAsia="es-MX"/>
        </w:rPr>
        <w:t xml:space="preserve">lo que </w:t>
      </w:r>
      <w:r w:rsidR="008B1038" w:rsidRPr="0000740E">
        <w:rPr>
          <w:rFonts w:ascii="Times New Roman" w:eastAsia="Times New Roman" w:hAnsi="Times New Roman" w:cs="Times New Roman"/>
          <w:i w:val="0"/>
          <w:iCs w:val="0"/>
          <w:color w:val="0D0D0D"/>
          <w:sz w:val="24"/>
          <w:szCs w:val="24"/>
          <w:lang w:eastAsia="es-MX"/>
        </w:rPr>
        <w:t>reduce significativamente</w:t>
      </w:r>
      <w:r w:rsidR="00A05712" w:rsidRPr="0000740E">
        <w:rPr>
          <w:rFonts w:ascii="Times New Roman" w:eastAsia="Times New Roman" w:hAnsi="Times New Roman" w:cs="Times New Roman"/>
          <w:i w:val="0"/>
          <w:iCs w:val="0"/>
          <w:color w:val="0D0D0D"/>
          <w:sz w:val="24"/>
          <w:szCs w:val="24"/>
          <w:lang w:eastAsia="es-MX"/>
        </w:rPr>
        <w:t xml:space="preserve"> los tiempos de entrega y los costos asociados al inventario (Bowersox</w:t>
      </w:r>
      <w:r w:rsidR="0002054C">
        <w:rPr>
          <w:rFonts w:ascii="Times New Roman" w:eastAsia="Times New Roman" w:hAnsi="Times New Roman" w:cs="Times New Roman"/>
          <w:i w:val="0"/>
          <w:iCs w:val="0"/>
          <w:color w:val="0D0D0D"/>
          <w:sz w:val="24"/>
          <w:szCs w:val="24"/>
          <w:lang w:eastAsia="es-MX"/>
        </w:rPr>
        <w:t xml:space="preserve"> </w:t>
      </w:r>
      <w:r w:rsidR="0002054C" w:rsidRPr="00DB1274">
        <w:rPr>
          <w:rFonts w:ascii="Times New Roman" w:eastAsia="Times New Roman" w:hAnsi="Times New Roman" w:cs="Times New Roman"/>
          <w:i w:val="0"/>
          <w:iCs w:val="0"/>
          <w:color w:val="0D0D0D"/>
          <w:sz w:val="24"/>
          <w:szCs w:val="24"/>
          <w:lang w:eastAsia="es-MX"/>
        </w:rPr>
        <w:t>et al.,</w:t>
      </w:r>
      <w:r w:rsidR="00A05712" w:rsidRPr="0000740E">
        <w:rPr>
          <w:rFonts w:ascii="Times New Roman" w:eastAsia="Times New Roman" w:hAnsi="Times New Roman" w:cs="Times New Roman"/>
          <w:i w:val="0"/>
          <w:iCs w:val="0"/>
          <w:color w:val="0D0D0D"/>
          <w:sz w:val="24"/>
          <w:szCs w:val="24"/>
          <w:lang w:eastAsia="es-MX"/>
        </w:rPr>
        <w:t xml:space="preserve"> 2012; Chen </w:t>
      </w:r>
      <w:r w:rsidR="00480B56" w:rsidRPr="0000740E">
        <w:rPr>
          <w:rFonts w:ascii="Times New Roman" w:eastAsia="Times New Roman" w:hAnsi="Times New Roman" w:cs="Times New Roman"/>
          <w:i w:val="0"/>
          <w:iCs w:val="0"/>
          <w:color w:val="0D0D0D"/>
          <w:sz w:val="24"/>
          <w:szCs w:val="24"/>
          <w:lang w:eastAsia="es-MX"/>
        </w:rPr>
        <w:t>y</w:t>
      </w:r>
      <w:r w:rsidR="00A05712" w:rsidRPr="0000740E">
        <w:rPr>
          <w:rFonts w:ascii="Times New Roman" w:eastAsia="Times New Roman" w:hAnsi="Times New Roman" w:cs="Times New Roman"/>
          <w:i w:val="0"/>
          <w:iCs w:val="0"/>
          <w:color w:val="0D0D0D"/>
          <w:sz w:val="24"/>
          <w:szCs w:val="24"/>
          <w:lang w:eastAsia="es-MX"/>
        </w:rPr>
        <w:t xml:space="preserve"> Paulraj, 2004). En el ámbito público, esto se traduce en una administración más eficiente de recursos esenciales, desde medicamentos hasta material educativo,</w:t>
      </w:r>
      <w:r w:rsidR="00BB083B" w:rsidRPr="0000740E">
        <w:rPr>
          <w:rFonts w:ascii="Times New Roman" w:eastAsia="Times New Roman" w:hAnsi="Times New Roman" w:cs="Times New Roman"/>
          <w:i w:val="0"/>
          <w:iCs w:val="0"/>
          <w:color w:val="0D0D0D"/>
          <w:sz w:val="24"/>
          <w:szCs w:val="24"/>
          <w:lang w:eastAsia="es-MX"/>
        </w:rPr>
        <w:t xml:space="preserve"> lo que permite</w:t>
      </w:r>
      <w:r w:rsidR="00A05712" w:rsidRPr="0000740E">
        <w:rPr>
          <w:rFonts w:ascii="Times New Roman" w:eastAsia="Times New Roman" w:hAnsi="Times New Roman" w:cs="Times New Roman"/>
          <w:i w:val="0"/>
          <w:iCs w:val="0"/>
          <w:color w:val="0D0D0D"/>
          <w:sz w:val="24"/>
          <w:szCs w:val="24"/>
          <w:lang w:eastAsia="es-MX"/>
        </w:rPr>
        <w:t xml:space="preserve"> una respuesta más ágil y efectiva a las necesidades de los ciudadanos (Peters, 2010).</w:t>
      </w:r>
    </w:p>
    <w:p w14:paraId="58B41D99" w14:textId="6F8542C6" w:rsidR="00A05712" w:rsidRPr="0000740E" w:rsidRDefault="00A05712" w:rsidP="000F5BE7">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eastAsia="es-MX"/>
        </w:rPr>
      </w:pPr>
      <w:r w:rsidRPr="0000740E">
        <w:rPr>
          <w:rFonts w:ascii="Times New Roman" w:eastAsia="Times New Roman" w:hAnsi="Times New Roman" w:cs="Times New Roman"/>
          <w:i w:val="0"/>
          <w:iCs w:val="0"/>
          <w:color w:val="0D0D0D"/>
          <w:sz w:val="24"/>
          <w:szCs w:val="24"/>
          <w:lang w:eastAsia="es-MX"/>
        </w:rPr>
        <w:t xml:space="preserve">El almacenamiento de materiales y productos terminados requiere de estrategias que maximicen el uso del espacio y minimicen los daños, mientras se facilita un acceso rápido y eficiente. </w:t>
      </w:r>
      <w:r w:rsidR="00D05FC6" w:rsidRPr="0000740E">
        <w:rPr>
          <w:rFonts w:ascii="Times New Roman" w:eastAsia="Times New Roman" w:hAnsi="Times New Roman" w:cs="Times New Roman"/>
          <w:i w:val="0"/>
          <w:iCs w:val="0"/>
          <w:color w:val="0D0D0D"/>
          <w:sz w:val="24"/>
          <w:szCs w:val="24"/>
          <w:lang w:eastAsia="es-MX"/>
        </w:rPr>
        <w:t>Un diseño de almacén eficiente y la selección de sistemas de almacenamiento adecuados son fundamentales para lograr una operación costo-efectiva, lo cual ha sido documentado en la literatura como un factor asociado con la reducción de desperdicios y la mejora en la disponibilidad de materiales críticos (Gu et al., 2010; Goetschalckx y McGinnis, 2010; Tompkins et al., 2010</w:t>
      </w:r>
      <w:r w:rsidR="00B8076E" w:rsidRPr="0000740E">
        <w:rPr>
          <w:rFonts w:ascii="Times New Roman" w:hAnsi="Times New Roman" w:cs="Times New Roman"/>
          <w:i w:val="0"/>
          <w:iCs w:val="0"/>
          <w:sz w:val="24"/>
          <w:szCs w:val="24"/>
        </w:rPr>
        <w:t>)</w:t>
      </w:r>
      <w:r w:rsidR="00D05FC6" w:rsidRPr="0000740E">
        <w:t>.</w:t>
      </w:r>
      <w:r w:rsidR="00EC07BE" w:rsidRPr="0000740E">
        <w:t xml:space="preserve"> </w:t>
      </w:r>
      <w:r w:rsidR="00B8076E" w:rsidRPr="0000740E">
        <w:rPr>
          <w:rFonts w:ascii="Times New Roman" w:eastAsia="Times New Roman" w:hAnsi="Times New Roman" w:cs="Times New Roman"/>
          <w:i w:val="0"/>
          <w:iCs w:val="0"/>
          <w:color w:val="0D0D0D"/>
          <w:sz w:val="24"/>
          <w:szCs w:val="24"/>
          <w:lang w:eastAsia="es-MX"/>
        </w:rPr>
        <w:t xml:space="preserve">En el marco de la administración pública, </w:t>
      </w:r>
      <w:r w:rsidR="00A60B51" w:rsidRPr="0000740E">
        <w:rPr>
          <w:rFonts w:ascii="Times New Roman" w:eastAsia="Times New Roman" w:hAnsi="Times New Roman" w:cs="Times New Roman"/>
          <w:i w:val="0"/>
          <w:iCs w:val="0"/>
          <w:color w:val="0D0D0D"/>
          <w:sz w:val="24"/>
          <w:szCs w:val="24"/>
          <w:lang w:eastAsia="es-MX"/>
        </w:rPr>
        <w:t xml:space="preserve">debemos de realizar una correcta utilización de prácticas de almacenamiento efectivo; esto se traduce en una optimización de los recursos que permitan ofrecer sostenibilidad en los servicios públicos, en especial cuando hablamos de sectores clave como salud </w:t>
      </w:r>
      <w:r w:rsidR="00A60B51" w:rsidRPr="0000740E">
        <w:rPr>
          <w:rFonts w:ascii="Times New Roman" w:eastAsia="Times New Roman" w:hAnsi="Times New Roman" w:cs="Times New Roman"/>
          <w:i w:val="0"/>
          <w:iCs w:val="0"/>
          <w:color w:val="0D0D0D"/>
          <w:sz w:val="24"/>
          <w:szCs w:val="24"/>
          <w:lang w:eastAsia="es-MX"/>
        </w:rPr>
        <w:lastRenderedPageBreak/>
        <w:t>y educación (Hood y Dixon, 2015). Por último, hay que señalar que la adecuada gestión del almacenamiento promueve que la rotación de inventarios aumente y que se logre una entrega efectiva y precisa del servicio o de los productos; aspecto este de vital importancia en el sector público, ya que la calidad y eficiencia del servicio que se ofrece a los ciudadanos constituyen la palanca del éxito. La utilización de sistemas de "picking" eficientes, así como la aplicación de la mejora continua son una cuestión imprescindible en la mejora de la eficiencia operativa y en la satisfacción ciudadana</w:t>
      </w:r>
      <w:r w:rsidR="00B8076E" w:rsidRPr="0000740E">
        <w:rPr>
          <w:rFonts w:ascii="Times New Roman" w:eastAsia="Times New Roman" w:hAnsi="Times New Roman" w:cs="Times New Roman"/>
          <w:color w:val="0D0D0D"/>
          <w:sz w:val="24"/>
          <w:szCs w:val="24"/>
          <w:lang w:eastAsia="es-MX"/>
        </w:rPr>
        <w:t xml:space="preserve"> </w:t>
      </w:r>
      <w:r w:rsidRPr="0000740E">
        <w:rPr>
          <w:rFonts w:ascii="Times New Roman" w:eastAsia="Times New Roman" w:hAnsi="Times New Roman" w:cs="Times New Roman"/>
          <w:i w:val="0"/>
          <w:iCs w:val="0"/>
          <w:color w:val="0D0D0D"/>
          <w:sz w:val="24"/>
          <w:szCs w:val="24"/>
          <w:lang w:eastAsia="es-MX"/>
        </w:rPr>
        <w:t xml:space="preserve">(Womack </w:t>
      </w:r>
      <w:r w:rsidR="00480B56" w:rsidRPr="0000740E">
        <w:rPr>
          <w:rFonts w:ascii="Times New Roman" w:eastAsia="Times New Roman" w:hAnsi="Times New Roman" w:cs="Times New Roman"/>
          <w:i w:val="0"/>
          <w:iCs w:val="0"/>
          <w:color w:val="0D0D0D"/>
          <w:sz w:val="24"/>
          <w:szCs w:val="24"/>
          <w:lang w:eastAsia="es-MX"/>
        </w:rPr>
        <w:t>y</w:t>
      </w:r>
      <w:r w:rsidRPr="0000740E">
        <w:rPr>
          <w:rFonts w:ascii="Times New Roman" w:eastAsia="Times New Roman" w:hAnsi="Times New Roman" w:cs="Times New Roman"/>
          <w:i w:val="0"/>
          <w:iCs w:val="0"/>
          <w:color w:val="0D0D0D"/>
          <w:sz w:val="24"/>
          <w:szCs w:val="24"/>
          <w:lang w:eastAsia="es-MX"/>
        </w:rPr>
        <w:t xml:space="preserve"> Jones, 1996; Frazelle, 2002).</w:t>
      </w:r>
    </w:p>
    <w:p w14:paraId="2ED9F83C" w14:textId="04BEBBA5" w:rsidR="000F5BE7" w:rsidRPr="00807E3E" w:rsidRDefault="00D05FC6" w:rsidP="00807E3E">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eastAsia="es-MX"/>
        </w:rPr>
      </w:pPr>
      <w:r w:rsidRPr="0000740E">
        <w:rPr>
          <w:rFonts w:ascii="Times New Roman" w:eastAsia="Times New Roman" w:hAnsi="Times New Roman" w:cs="Times New Roman"/>
          <w:i w:val="0"/>
          <w:iCs w:val="0"/>
          <w:color w:val="0D0D0D"/>
          <w:sz w:val="24"/>
          <w:szCs w:val="24"/>
          <w:lang w:eastAsia="es-MX"/>
        </w:rPr>
        <w:t xml:space="preserve">Esta visión </w:t>
      </w:r>
      <w:r w:rsidR="00C01735" w:rsidRPr="0000740E">
        <w:rPr>
          <w:rFonts w:ascii="Times New Roman" w:eastAsia="Times New Roman" w:hAnsi="Times New Roman" w:cs="Times New Roman"/>
          <w:i w:val="0"/>
          <w:iCs w:val="0"/>
          <w:color w:val="0D0D0D"/>
          <w:sz w:val="24"/>
          <w:szCs w:val="24"/>
          <w:lang w:eastAsia="es-MX"/>
        </w:rPr>
        <w:t xml:space="preserve">constituye el punto de partida para concluir, </w:t>
      </w:r>
      <w:r w:rsidR="00A60B51" w:rsidRPr="0000740E">
        <w:rPr>
          <w:rFonts w:ascii="Times New Roman" w:eastAsia="Times New Roman" w:hAnsi="Times New Roman" w:cs="Times New Roman"/>
          <w:i w:val="0"/>
          <w:iCs w:val="0"/>
          <w:color w:val="0D0D0D"/>
          <w:sz w:val="24"/>
          <w:szCs w:val="24"/>
          <w:lang w:eastAsia="es-MX"/>
        </w:rPr>
        <w:t>siguiendo la revisión de la literatura, que las prácticas efectivas pueden impulsar la mejora de la eficiencia operativa, la disminución de los costes y el aumento de la satisfacción del público o de los ciudadanos conforme a la Nueva Gestión Pública centrada en la buena gestión pública y en un gobierno más eficaz y eficiente (</w:t>
      </w:r>
      <w:r w:rsidR="00B76B0B" w:rsidRPr="00B76B0B">
        <w:rPr>
          <w:rFonts w:ascii="Times New Roman" w:eastAsia="Times New Roman" w:hAnsi="Times New Roman" w:cs="Times New Roman"/>
          <w:i w:val="0"/>
          <w:iCs w:val="0"/>
          <w:color w:val="0D0D0D"/>
          <w:sz w:val="24"/>
          <w:szCs w:val="24"/>
          <w:lang w:eastAsia="es-MX"/>
        </w:rPr>
        <w:t>OECD</w:t>
      </w:r>
      <w:r w:rsidR="00A60B51" w:rsidRPr="0000740E">
        <w:rPr>
          <w:rFonts w:ascii="Times New Roman" w:eastAsia="Times New Roman" w:hAnsi="Times New Roman" w:cs="Times New Roman"/>
          <w:i w:val="0"/>
          <w:iCs w:val="0"/>
          <w:color w:val="0D0D0D"/>
          <w:sz w:val="24"/>
          <w:szCs w:val="24"/>
          <w:lang w:eastAsia="es-MX"/>
        </w:rPr>
        <w:t>, 2020). En este contexto, la tabla 1 muestra un condensado de las principales variables empleadas para el análisis, junto con su valor y la bibliografía correspondiente.</w:t>
      </w:r>
    </w:p>
    <w:p w14:paraId="33A02EE5" w14:textId="2042CFBE" w:rsidR="00554C5D" w:rsidRPr="00DB1274" w:rsidRDefault="00653FD4" w:rsidP="000F5BE7">
      <w:pPr>
        <w:pStyle w:val="Descripcin"/>
        <w:keepNext/>
        <w:spacing w:after="120"/>
        <w:jc w:val="center"/>
        <w:rPr>
          <w:rFonts w:ascii="Times New Roman" w:hAnsi="Times New Roman" w:cs="Times New Roman"/>
          <w:bCs/>
          <w:i w:val="0"/>
          <w:sz w:val="20"/>
          <w:szCs w:val="20"/>
        </w:rPr>
      </w:pPr>
      <w:r w:rsidRPr="00DB1274">
        <w:rPr>
          <w:rFonts w:ascii="Times New Roman" w:hAnsi="Times New Roman" w:cs="Times New Roman"/>
          <w:bCs/>
          <w:i w:val="0"/>
          <w:color w:val="auto"/>
          <w:sz w:val="20"/>
          <w:szCs w:val="20"/>
        </w:rPr>
        <w:t>Tabla</w:t>
      </w:r>
      <w:r w:rsidR="00554C5D" w:rsidRPr="00DB1274">
        <w:rPr>
          <w:rFonts w:ascii="Times New Roman" w:hAnsi="Times New Roman" w:cs="Times New Roman"/>
          <w:bCs/>
          <w:i w:val="0"/>
          <w:color w:val="auto"/>
          <w:sz w:val="20"/>
          <w:szCs w:val="20"/>
        </w:rPr>
        <w:t xml:space="preserve"> 1</w:t>
      </w:r>
      <w:r w:rsidR="00F5350D" w:rsidRPr="00DB1274">
        <w:rPr>
          <w:rFonts w:ascii="Times New Roman" w:hAnsi="Times New Roman" w:cs="Times New Roman"/>
          <w:bCs/>
          <w:i w:val="0"/>
          <w:color w:val="auto"/>
          <w:sz w:val="20"/>
          <w:szCs w:val="20"/>
        </w:rPr>
        <w:t>.</w:t>
      </w:r>
      <w:r w:rsidR="00554C5D" w:rsidRPr="00DB1274">
        <w:rPr>
          <w:rFonts w:ascii="Times New Roman" w:hAnsi="Times New Roman" w:cs="Times New Roman"/>
          <w:bCs/>
          <w:i w:val="0"/>
          <w:color w:val="auto"/>
          <w:sz w:val="20"/>
          <w:szCs w:val="20"/>
        </w:rPr>
        <w:t xml:space="preserve"> Selección de variables utilizadas en el análisis, su importancia y referencia</w:t>
      </w:r>
    </w:p>
    <w:tbl>
      <w:tblPr>
        <w:tblStyle w:val="Tabladecuadrcula6concolores"/>
        <w:tblW w:w="7933" w:type="dxa"/>
        <w:jc w:val="center"/>
        <w:tblLook w:val="04A0" w:firstRow="1" w:lastRow="0" w:firstColumn="1" w:lastColumn="0" w:noHBand="0" w:noVBand="1"/>
      </w:tblPr>
      <w:tblGrid>
        <w:gridCol w:w="2403"/>
        <w:gridCol w:w="2554"/>
        <w:gridCol w:w="2976"/>
      </w:tblGrid>
      <w:tr w:rsidR="00554C5D" w:rsidRPr="0000740E" w14:paraId="2613968C" w14:textId="77777777" w:rsidTr="00C01735">
        <w:trPr>
          <w:cnfStyle w:val="100000000000" w:firstRow="1" w:lastRow="0" w:firstColumn="0" w:lastColumn="0" w:oddVBand="0" w:evenVBand="0" w:oddHBand="0"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2403" w:type="dxa"/>
            <w:vAlign w:val="center"/>
            <w:hideMark/>
          </w:tcPr>
          <w:p w14:paraId="2F91D00F" w14:textId="77777777" w:rsidR="00554C5D" w:rsidRPr="0000740E" w:rsidRDefault="00554C5D" w:rsidP="00F7323D">
            <w:pPr>
              <w:widowControl w:val="0"/>
              <w:jc w:val="center"/>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Variable</w:t>
            </w:r>
          </w:p>
        </w:tc>
        <w:tc>
          <w:tcPr>
            <w:tcW w:w="2554" w:type="dxa"/>
            <w:vAlign w:val="center"/>
            <w:hideMark/>
          </w:tcPr>
          <w:p w14:paraId="07E79716" w14:textId="77777777" w:rsidR="00554C5D" w:rsidRPr="0000740E" w:rsidRDefault="00554C5D"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Importancia</w:t>
            </w:r>
          </w:p>
        </w:tc>
        <w:tc>
          <w:tcPr>
            <w:tcW w:w="2976" w:type="dxa"/>
            <w:vAlign w:val="center"/>
            <w:hideMark/>
          </w:tcPr>
          <w:p w14:paraId="5A9BCCFB" w14:textId="77777777" w:rsidR="00554C5D" w:rsidRPr="0000740E" w:rsidRDefault="00554C5D"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Referencias</w:t>
            </w:r>
          </w:p>
        </w:tc>
      </w:tr>
      <w:tr w:rsidR="00554C5D" w:rsidRPr="0000740E" w14:paraId="41BE4AF0" w14:textId="77777777" w:rsidTr="00DB1274">
        <w:trPr>
          <w:cnfStyle w:val="000000100000" w:firstRow="0" w:lastRow="0" w:firstColumn="0" w:lastColumn="0" w:oddVBand="0" w:evenVBand="0" w:oddHBand="1" w:evenHBand="0" w:firstRowFirstColumn="0" w:firstRowLastColumn="0" w:lastRowFirstColumn="0" w:lastRowLastColumn="0"/>
          <w:trHeight w:val="1157"/>
          <w:jc w:val="center"/>
        </w:trPr>
        <w:tc>
          <w:tcPr>
            <w:cnfStyle w:val="001000000000" w:firstRow="0" w:lastRow="0" w:firstColumn="1" w:lastColumn="0" w:oddVBand="0" w:evenVBand="0" w:oddHBand="0" w:evenHBand="0" w:firstRowFirstColumn="0" w:firstRowLastColumn="0" w:lastRowFirstColumn="0" w:lastRowLastColumn="0"/>
            <w:tcW w:w="2403" w:type="dxa"/>
            <w:shd w:val="clear" w:color="auto" w:fill="auto"/>
            <w:vAlign w:val="center"/>
            <w:hideMark/>
          </w:tcPr>
          <w:p w14:paraId="588338C6" w14:textId="77777777" w:rsidR="00554C5D" w:rsidRPr="0000740E" w:rsidRDefault="00554C5D" w:rsidP="00F7323D">
            <w:pPr>
              <w:rPr>
                <w:lang w:eastAsia="es-MX"/>
              </w:rPr>
            </w:pPr>
            <w:r w:rsidRPr="0000740E">
              <w:rPr>
                <w:rFonts w:ascii="Times New Roman" w:eastAsia="Times New Roman" w:hAnsi="Times New Roman" w:cs="Times New Roman"/>
                <w:b w:val="0"/>
                <w:bCs w:val="0"/>
                <w:color w:val="0D0D0D"/>
                <w:sz w:val="20"/>
                <w:szCs w:val="20"/>
                <w:lang w:eastAsia="es-MX"/>
              </w:rPr>
              <w:t>Compras y la Teoría del Costo Total de Propiedad (TCP)</w:t>
            </w:r>
          </w:p>
        </w:tc>
        <w:tc>
          <w:tcPr>
            <w:tcW w:w="2554" w:type="dxa"/>
            <w:shd w:val="clear" w:color="auto" w:fill="auto"/>
            <w:vAlign w:val="center"/>
            <w:hideMark/>
          </w:tcPr>
          <w:p w14:paraId="3D25DB72" w14:textId="77777777" w:rsidR="00554C5D" w:rsidRPr="0000740E" w:rsidRDefault="00554C5D" w:rsidP="00F7323D">
            <w:pPr>
              <w:widowControl w:val="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lang w:eastAsia="es-MX"/>
              </w:rPr>
              <w:t>Evalúa todos los costos asociados con la adquisición, uso y disposición de bienes y servicios.</w:t>
            </w:r>
          </w:p>
        </w:tc>
        <w:tc>
          <w:tcPr>
            <w:tcW w:w="2976" w:type="dxa"/>
            <w:shd w:val="clear" w:color="auto" w:fill="auto"/>
            <w:vAlign w:val="center"/>
            <w:hideMark/>
          </w:tcPr>
          <w:p w14:paraId="7060843F" w14:textId="2F7133BF" w:rsidR="00554C5D" w:rsidRPr="0000740E" w:rsidRDefault="00554C5D"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lang w:eastAsia="es-MX"/>
              </w:rPr>
              <w:t xml:space="preserve">Ellram </w:t>
            </w:r>
            <w:r w:rsidR="00480B56" w:rsidRPr="0000740E">
              <w:rPr>
                <w:rFonts w:ascii="Times New Roman" w:eastAsia="Times New Roman" w:hAnsi="Times New Roman" w:cs="Times New Roman"/>
                <w:color w:val="0D0D0D"/>
                <w:sz w:val="20"/>
                <w:szCs w:val="20"/>
                <w:lang w:eastAsia="es-MX"/>
              </w:rPr>
              <w:t>y</w:t>
            </w:r>
            <w:r w:rsidRPr="0000740E">
              <w:rPr>
                <w:rFonts w:ascii="Times New Roman" w:eastAsia="Times New Roman" w:hAnsi="Times New Roman" w:cs="Times New Roman"/>
                <w:color w:val="0D0D0D"/>
                <w:sz w:val="20"/>
                <w:szCs w:val="20"/>
                <w:lang w:eastAsia="es-MX"/>
              </w:rPr>
              <w:t xml:space="preserve"> Siferd (1993); Osborne (2010)</w:t>
            </w:r>
          </w:p>
        </w:tc>
      </w:tr>
      <w:tr w:rsidR="00554C5D" w:rsidRPr="00444C78" w14:paraId="3B241C1A" w14:textId="77777777" w:rsidTr="00DB1274">
        <w:trPr>
          <w:trHeight w:val="1173"/>
          <w:jc w:val="center"/>
        </w:trPr>
        <w:tc>
          <w:tcPr>
            <w:cnfStyle w:val="001000000000" w:firstRow="0" w:lastRow="0" w:firstColumn="1" w:lastColumn="0" w:oddVBand="0" w:evenVBand="0" w:oddHBand="0" w:evenHBand="0" w:firstRowFirstColumn="0" w:firstRowLastColumn="0" w:lastRowFirstColumn="0" w:lastRowLastColumn="0"/>
            <w:tcW w:w="2403" w:type="dxa"/>
            <w:vAlign w:val="center"/>
            <w:hideMark/>
          </w:tcPr>
          <w:p w14:paraId="3C4DC250" w14:textId="77777777" w:rsidR="00554C5D" w:rsidRPr="0000740E" w:rsidRDefault="00554C5D" w:rsidP="00F7323D">
            <w:pPr>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b w:val="0"/>
                <w:bCs w:val="0"/>
                <w:color w:val="0D0D0D"/>
                <w:sz w:val="20"/>
                <w:szCs w:val="20"/>
                <w:lang w:eastAsia="es-MX"/>
              </w:rPr>
              <w:t>Logística de Entrada y Gestión de Relaciones con Proveedores (SRM)</w:t>
            </w:r>
          </w:p>
        </w:tc>
        <w:tc>
          <w:tcPr>
            <w:tcW w:w="2554" w:type="dxa"/>
            <w:vAlign w:val="center"/>
            <w:hideMark/>
          </w:tcPr>
          <w:p w14:paraId="0E244AD6" w14:textId="77777777" w:rsidR="00554C5D" w:rsidRPr="0000740E" w:rsidRDefault="00554C5D" w:rsidP="00F7323D">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lang w:eastAsia="es-MX"/>
              </w:rPr>
              <w:t>Mejora la eficiencia de la cadena de suministro a través de la colaboración con proveedores.</w:t>
            </w:r>
          </w:p>
        </w:tc>
        <w:tc>
          <w:tcPr>
            <w:tcW w:w="2976" w:type="dxa"/>
            <w:vAlign w:val="center"/>
            <w:hideMark/>
          </w:tcPr>
          <w:p w14:paraId="2157AA11" w14:textId="71547298" w:rsidR="00554C5D" w:rsidRPr="0000740E" w:rsidRDefault="00554C5D"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00740E">
              <w:rPr>
                <w:rFonts w:ascii="Times New Roman" w:eastAsia="Times New Roman" w:hAnsi="Times New Roman" w:cs="Times New Roman"/>
                <w:color w:val="0D0D0D"/>
                <w:sz w:val="20"/>
                <w:szCs w:val="20"/>
                <w:lang w:val="en-US" w:eastAsia="es-MX"/>
              </w:rPr>
              <w:t>Bowersox</w:t>
            </w:r>
            <w:r w:rsidR="0002054C">
              <w:rPr>
                <w:rFonts w:ascii="Times New Roman" w:eastAsia="Times New Roman" w:hAnsi="Times New Roman" w:cs="Times New Roman"/>
                <w:color w:val="0D0D0D"/>
                <w:sz w:val="20"/>
                <w:szCs w:val="20"/>
                <w:lang w:val="en-US" w:eastAsia="es-MX"/>
              </w:rPr>
              <w:t xml:space="preserve"> </w:t>
            </w:r>
            <w:r w:rsidR="0002054C" w:rsidRPr="00DB1274">
              <w:rPr>
                <w:rFonts w:ascii="Times New Roman" w:eastAsia="Times New Roman" w:hAnsi="Times New Roman" w:cs="Times New Roman"/>
                <w:color w:val="0D0D0D"/>
                <w:sz w:val="20"/>
                <w:szCs w:val="20"/>
                <w:lang w:eastAsia="es-MX"/>
              </w:rPr>
              <w:t>et al.</w:t>
            </w:r>
            <w:r w:rsidRPr="0000740E">
              <w:rPr>
                <w:rFonts w:ascii="Times New Roman" w:eastAsia="Times New Roman" w:hAnsi="Times New Roman" w:cs="Times New Roman"/>
                <w:color w:val="0D0D0D"/>
                <w:sz w:val="20"/>
                <w:szCs w:val="20"/>
                <w:lang w:val="en-US" w:eastAsia="es-MX"/>
              </w:rPr>
              <w:t xml:space="preserve"> (2012); Chen </w:t>
            </w:r>
            <w:r w:rsidR="00480B56" w:rsidRPr="0000740E">
              <w:rPr>
                <w:rFonts w:ascii="Times New Roman" w:eastAsia="Times New Roman" w:hAnsi="Times New Roman" w:cs="Times New Roman"/>
                <w:color w:val="0D0D0D"/>
                <w:sz w:val="20"/>
                <w:szCs w:val="20"/>
                <w:lang w:val="en-US" w:eastAsia="es-MX"/>
              </w:rPr>
              <w:t>y</w:t>
            </w:r>
            <w:r w:rsidRPr="0000740E">
              <w:rPr>
                <w:rFonts w:ascii="Times New Roman" w:eastAsia="Times New Roman" w:hAnsi="Times New Roman" w:cs="Times New Roman"/>
                <w:color w:val="0D0D0D"/>
                <w:sz w:val="20"/>
                <w:szCs w:val="20"/>
                <w:lang w:val="en-US" w:eastAsia="es-MX"/>
              </w:rPr>
              <w:t xml:space="preserve"> Paulraj (2004)</w:t>
            </w:r>
          </w:p>
        </w:tc>
      </w:tr>
      <w:tr w:rsidR="00554C5D" w:rsidRPr="0000740E" w14:paraId="39929209" w14:textId="77777777" w:rsidTr="00DB1274">
        <w:trPr>
          <w:cnfStyle w:val="000000100000" w:firstRow="0" w:lastRow="0" w:firstColumn="0" w:lastColumn="0" w:oddVBand="0" w:evenVBand="0" w:oddHBand="1" w:evenHBand="0" w:firstRowFirstColumn="0" w:firstRowLastColumn="0" w:lastRowFirstColumn="0" w:lastRowLastColumn="0"/>
          <w:trHeight w:val="960"/>
          <w:jc w:val="center"/>
        </w:trPr>
        <w:tc>
          <w:tcPr>
            <w:cnfStyle w:val="001000000000" w:firstRow="0" w:lastRow="0" w:firstColumn="1" w:lastColumn="0" w:oddVBand="0" w:evenVBand="0" w:oddHBand="0" w:evenHBand="0" w:firstRowFirstColumn="0" w:firstRowLastColumn="0" w:lastRowFirstColumn="0" w:lastRowLastColumn="0"/>
            <w:tcW w:w="2403" w:type="dxa"/>
            <w:shd w:val="clear" w:color="auto" w:fill="auto"/>
            <w:vAlign w:val="center"/>
            <w:hideMark/>
          </w:tcPr>
          <w:p w14:paraId="7356E7AF" w14:textId="77777777" w:rsidR="00554C5D" w:rsidRPr="0000740E" w:rsidRDefault="00554C5D" w:rsidP="00F7323D">
            <w:pPr>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b w:val="0"/>
                <w:bCs w:val="0"/>
                <w:color w:val="0D0D0D"/>
                <w:sz w:val="20"/>
                <w:szCs w:val="20"/>
                <w:lang w:eastAsia="es-MX"/>
              </w:rPr>
              <w:t>Almacenaje de Materiales y la Importancia del Diseño Eficiente</w:t>
            </w:r>
          </w:p>
        </w:tc>
        <w:tc>
          <w:tcPr>
            <w:tcW w:w="2554" w:type="dxa"/>
            <w:shd w:val="clear" w:color="auto" w:fill="auto"/>
            <w:vAlign w:val="center"/>
            <w:hideMark/>
          </w:tcPr>
          <w:p w14:paraId="68032766" w14:textId="77777777" w:rsidR="00554C5D" w:rsidRPr="0000740E" w:rsidRDefault="00554C5D" w:rsidP="00F7323D">
            <w:pPr>
              <w:widowControl w:val="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lang w:eastAsia="es-MX"/>
              </w:rPr>
              <w:t>Maximiza el uso del espacio y asegura la disponibilidad de insumos esenciales.</w:t>
            </w:r>
          </w:p>
        </w:tc>
        <w:tc>
          <w:tcPr>
            <w:tcW w:w="2976" w:type="dxa"/>
            <w:shd w:val="clear" w:color="auto" w:fill="auto"/>
            <w:vAlign w:val="center"/>
            <w:hideMark/>
          </w:tcPr>
          <w:p w14:paraId="5C0B5396" w14:textId="65E2C5BF" w:rsidR="00554C5D" w:rsidRPr="0000740E" w:rsidRDefault="00554C5D"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00740E">
              <w:rPr>
                <w:rFonts w:ascii="Times New Roman" w:eastAsia="Times New Roman" w:hAnsi="Times New Roman" w:cs="Times New Roman"/>
                <w:color w:val="0D0D0D"/>
                <w:sz w:val="20"/>
                <w:szCs w:val="20"/>
                <w:lang w:val="en-US" w:eastAsia="es-MX"/>
              </w:rPr>
              <w:t>Gu</w:t>
            </w:r>
            <w:r w:rsidR="00D83B6F">
              <w:rPr>
                <w:rFonts w:ascii="Times New Roman" w:eastAsia="Times New Roman" w:hAnsi="Times New Roman" w:cs="Times New Roman"/>
                <w:color w:val="0D0D0D"/>
                <w:sz w:val="20"/>
                <w:szCs w:val="20"/>
                <w:lang w:val="en-US" w:eastAsia="es-MX"/>
              </w:rPr>
              <w:t xml:space="preserve"> et al. </w:t>
            </w:r>
            <w:r w:rsidRPr="0000740E">
              <w:rPr>
                <w:rFonts w:ascii="Times New Roman" w:eastAsia="Times New Roman" w:hAnsi="Times New Roman" w:cs="Times New Roman"/>
                <w:color w:val="0D0D0D"/>
                <w:sz w:val="20"/>
                <w:szCs w:val="20"/>
                <w:lang w:val="en-US" w:eastAsia="es-MX"/>
              </w:rPr>
              <w:t>(2010); Tompkins et al. (2010)</w:t>
            </w:r>
          </w:p>
        </w:tc>
      </w:tr>
      <w:tr w:rsidR="00554C5D" w:rsidRPr="0000740E" w14:paraId="76091AE5" w14:textId="77777777" w:rsidTr="00DB1274">
        <w:trPr>
          <w:trHeight w:val="1157"/>
          <w:jc w:val="center"/>
        </w:trPr>
        <w:tc>
          <w:tcPr>
            <w:cnfStyle w:val="001000000000" w:firstRow="0" w:lastRow="0" w:firstColumn="1" w:lastColumn="0" w:oddVBand="0" w:evenVBand="0" w:oddHBand="0" w:evenHBand="0" w:firstRowFirstColumn="0" w:firstRowLastColumn="0" w:lastRowFirstColumn="0" w:lastRowLastColumn="0"/>
            <w:tcW w:w="2403" w:type="dxa"/>
            <w:vAlign w:val="center"/>
            <w:hideMark/>
          </w:tcPr>
          <w:p w14:paraId="46F9365D" w14:textId="77777777" w:rsidR="00554C5D" w:rsidRPr="0000740E" w:rsidRDefault="00554C5D" w:rsidP="00F7323D">
            <w:pPr>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b w:val="0"/>
                <w:bCs w:val="0"/>
                <w:color w:val="0D0D0D"/>
                <w:sz w:val="20"/>
                <w:szCs w:val="20"/>
                <w:lang w:eastAsia="es-MX"/>
              </w:rPr>
              <w:t>Almacenaje de Productos Terminados y la Satisfacción Ciudadana</w:t>
            </w:r>
          </w:p>
        </w:tc>
        <w:tc>
          <w:tcPr>
            <w:tcW w:w="2554" w:type="dxa"/>
            <w:vAlign w:val="center"/>
            <w:hideMark/>
          </w:tcPr>
          <w:p w14:paraId="61A7787B" w14:textId="2360AD5E" w:rsidR="00554C5D" w:rsidRPr="0000740E" w:rsidRDefault="00554C5D" w:rsidP="00F7323D">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lang w:eastAsia="es-MX"/>
              </w:rPr>
              <w:t xml:space="preserve">Asegura la entrega oportuna de servicios, </w:t>
            </w:r>
            <w:r w:rsidR="00BB083B" w:rsidRPr="0000740E">
              <w:rPr>
                <w:rFonts w:ascii="Times New Roman" w:eastAsia="Times New Roman" w:hAnsi="Times New Roman" w:cs="Times New Roman"/>
                <w:color w:val="0D0D0D"/>
                <w:sz w:val="20"/>
                <w:szCs w:val="20"/>
                <w:lang w:eastAsia="es-MX"/>
              </w:rPr>
              <w:t>lo que mejora la</w:t>
            </w:r>
            <w:r w:rsidRPr="0000740E">
              <w:rPr>
                <w:rFonts w:ascii="Times New Roman" w:eastAsia="Times New Roman" w:hAnsi="Times New Roman" w:cs="Times New Roman"/>
                <w:color w:val="0D0D0D"/>
                <w:sz w:val="20"/>
                <w:szCs w:val="20"/>
                <w:lang w:eastAsia="es-MX"/>
              </w:rPr>
              <w:t xml:space="preserve"> satisfacción ciudadana.</w:t>
            </w:r>
          </w:p>
        </w:tc>
        <w:tc>
          <w:tcPr>
            <w:tcW w:w="2976" w:type="dxa"/>
            <w:vAlign w:val="center"/>
            <w:hideMark/>
          </w:tcPr>
          <w:p w14:paraId="70C5F9B2" w14:textId="552B574F" w:rsidR="00554C5D" w:rsidRPr="0000740E" w:rsidRDefault="00554C5D" w:rsidP="00F7323D">
            <w:pPr>
              <w:keepNext/>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lang w:eastAsia="es-MX"/>
              </w:rPr>
              <w:t xml:space="preserve">Womack </w:t>
            </w:r>
            <w:r w:rsidR="00480B56" w:rsidRPr="0000740E">
              <w:rPr>
                <w:rFonts w:ascii="Times New Roman" w:eastAsia="Times New Roman" w:hAnsi="Times New Roman" w:cs="Times New Roman"/>
                <w:color w:val="0D0D0D"/>
                <w:sz w:val="20"/>
                <w:szCs w:val="20"/>
                <w:lang w:eastAsia="es-MX"/>
              </w:rPr>
              <w:t>y</w:t>
            </w:r>
            <w:r w:rsidRPr="0000740E">
              <w:rPr>
                <w:rFonts w:ascii="Times New Roman" w:eastAsia="Times New Roman" w:hAnsi="Times New Roman" w:cs="Times New Roman"/>
                <w:color w:val="0D0D0D"/>
                <w:sz w:val="20"/>
                <w:szCs w:val="20"/>
                <w:lang w:eastAsia="es-MX"/>
              </w:rPr>
              <w:t xml:space="preserve"> Jones (1996); </w:t>
            </w:r>
            <w:r w:rsidR="00653FD4" w:rsidRPr="0000740E">
              <w:rPr>
                <w:rFonts w:ascii="Times New Roman" w:eastAsia="Times New Roman" w:hAnsi="Times New Roman" w:cs="Times New Roman"/>
                <w:color w:val="0D0D0D"/>
                <w:sz w:val="20"/>
                <w:szCs w:val="20"/>
                <w:lang w:eastAsia="es-MX"/>
              </w:rPr>
              <w:t>Frazelle (2002)</w:t>
            </w:r>
          </w:p>
        </w:tc>
      </w:tr>
    </w:tbl>
    <w:p w14:paraId="21EA0EA5" w14:textId="47C91B4F" w:rsidR="00554C5D" w:rsidRPr="000F5BE7" w:rsidRDefault="00FA70E3" w:rsidP="00F7323D">
      <w:pPr>
        <w:pStyle w:val="Descripcin"/>
        <w:spacing w:after="0"/>
        <w:ind w:left="425"/>
        <w:rPr>
          <w:rFonts w:ascii="Times New Roman" w:eastAsia="Times New Roman" w:hAnsi="Times New Roman" w:cs="Times New Roman"/>
          <w:color w:val="0D0D0D"/>
          <w:sz w:val="20"/>
          <w:szCs w:val="20"/>
          <w:lang w:eastAsia="es-MX"/>
        </w:rPr>
      </w:pPr>
      <w:r w:rsidRPr="00DB1274">
        <w:rPr>
          <w:rFonts w:ascii="Times New Roman" w:hAnsi="Times New Roman" w:cs="Times New Roman"/>
          <w:i w:val="0"/>
          <w:iCs w:val="0"/>
          <w:color w:val="auto"/>
        </w:rPr>
        <w:t xml:space="preserve">Fuente: </w:t>
      </w:r>
      <w:r w:rsidR="00C01735" w:rsidRPr="00DB1274">
        <w:rPr>
          <w:rFonts w:ascii="Times New Roman" w:hAnsi="Times New Roman" w:cs="Times New Roman"/>
          <w:i w:val="0"/>
          <w:iCs w:val="0"/>
          <w:color w:val="auto"/>
          <w:sz w:val="20"/>
          <w:szCs w:val="20"/>
        </w:rPr>
        <w:t>Elaboración propia con base en Ellram y Siferd (1993), Osborne (2010), Bowersox et al. (2012), Chen y Paulraj (2004), Gu et al. (2010), Tompkins et al. (2010), Womack y Jones (1996)</w:t>
      </w:r>
      <w:r w:rsidR="004A3315" w:rsidRPr="00DB1274">
        <w:rPr>
          <w:rFonts w:ascii="Times New Roman" w:hAnsi="Times New Roman" w:cs="Times New Roman"/>
          <w:i w:val="0"/>
          <w:iCs w:val="0"/>
          <w:color w:val="auto"/>
          <w:sz w:val="20"/>
          <w:szCs w:val="20"/>
        </w:rPr>
        <w:t>.</w:t>
      </w:r>
    </w:p>
    <w:p w14:paraId="0227BF54" w14:textId="77777777" w:rsidR="000F5BE7" w:rsidRDefault="000F5BE7" w:rsidP="000F5BE7">
      <w:pPr>
        <w:widowControl w:val="0"/>
        <w:spacing w:after="0" w:line="360" w:lineRule="auto"/>
        <w:jc w:val="both"/>
        <w:rPr>
          <w:rFonts w:ascii="Times New Roman" w:eastAsia="Times New Roman" w:hAnsi="Times New Roman" w:cs="Times New Roman"/>
          <w:b/>
          <w:bCs/>
          <w:color w:val="0D0D0D"/>
          <w:sz w:val="24"/>
          <w:szCs w:val="24"/>
          <w:lang w:eastAsia="es-MX"/>
        </w:rPr>
      </w:pPr>
    </w:p>
    <w:p w14:paraId="5FBD2A8F" w14:textId="6C99F8BC" w:rsidR="008F2C83" w:rsidRPr="0000740E"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2.1. </w:t>
      </w:r>
      <w:r w:rsidR="00BD3AC5" w:rsidRPr="0000740E">
        <w:rPr>
          <w:rFonts w:ascii="Times New Roman" w:eastAsia="Times New Roman" w:hAnsi="Times New Roman" w:cs="Times New Roman"/>
          <w:b/>
          <w:bCs/>
          <w:color w:val="0D0D0D"/>
          <w:sz w:val="24"/>
          <w:szCs w:val="24"/>
          <w:lang w:eastAsia="es-MX"/>
        </w:rPr>
        <w:t>La Nueva Gestión Pública (NGP)</w:t>
      </w:r>
    </w:p>
    <w:p w14:paraId="295E0A40" w14:textId="77777777" w:rsidR="000F5BE7" w:rsidRDefault="000F5BE7" w:rsidP="000F5BE7">
      <w:pPr>
        <w:widowControl w:val="0"/>
        <w:spacing w:after="0" w:line="360" w:lineRule="auto"/>
        <w:jc w:val="both"/>
        <w:rPr>
          <w:rFonts w:ascii="Times New Roman" w:eastAsia="Times New Roman" w:hAnsi="Times New Roman" w:cs="Times New Roman"/>
          <w:color w:val="0D0D0D"/>
          <w:sz w:val="24"/>
          <w:szCs w:val="24"/>
          <w:lang w:eastAsia="es-MX"/>
        </w:rPr>
      </w:pPr>
    </w:p>
    <w:p w14:paraId="43736C5C" w14:textId="161E743D" w:rsidR="00021E6E" w:rsidRPr="0000740E" w:rsidRDefault="00021E6E" w:rsidP="000F5BE7">
      <w:pPr>
        <w:widowControl w:val="0"/>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La implementación de la Nueva Gestión Pública (NGP) en México </w:t>
      </w:r>
      <w:r w:rsidR="00A60B51" w:rsidRPr="0000740E">
        <w:rPr>
          <w:rFonts w:ascii="Times New Roman" w:eastAsia="Times New Roman" w:hAnsi="Times New Roman" w:cs="Times New Roman"/>
          <w:color w:val="0D0D0D"/>
          <w:sz w:val="24"/>
          <w:szCs w:val="24"/>
          <w:lang w:eastAsia="es-MX"/>
        </w:rPr>
        <w:t xml:space="preserve">tiene un propósito explícito: incorporar eficiencias del sector privado para el manejo de los asuntos públicos, ante las </w:t>
      </w:r>
      <w:r w:rsidR="00A60B51" w:rsidRPr="0000740E">
        <w:rPr>
          <w:rFonts w:ascii="Times New Roman" w:eastAsia="Times New Roman" w:hAnsi="Times New Roman" w:cs="Times New Roman"/>
          <w:color w:val="0D0D0D"/>
          <w:sz w:val="24"/>
          <w:szCs w:val="24"/>
          <w:lang w:eastAsia="es-MX"/>
        </w:rPr>
        <w:lastRenderedPageBreak/>
        <w:t xml:space="preserve">complejidades económicas y sociales actuales. La NGP da mucha importancia a aspectos como la transparencia, la eficiencia y la orientación al cliente (o ciudadano), en lo relativo a cómo se gestionan los servicios públicos. La importancia que adquieren estos aspectos se intensifica en el área de las compras, la logística de entrada y el almacenamiento de materiales y productos acabados en el sector público. De alguna manera estas son las piezas clave de una buena gestión pública, que ayuda a mantener el proceso de las compras públicas de una manera más efectiva en la gestión de los recursos y la satisfacción de las necesidades de una población </w:t>
      </w:r>
      <w:r w:rsidRPr="0000740E">
        <w:rPr>
          <w:rFonts w:ascii="Times New Roman" w:eastAsia="Times New Roman" w:hAnsi="Times New Roman" w:cs="Times New Roman"/>
          <w:color w:val="0D0D0D"/>
          <w:sz w:val="24"/>
          <w:szCs w:val="24"/>
          <w:lang w:eastAsia="es-MX"/>
        </w:rPr>
        <w:t>(Osborne, 2010; Perry 2010).</w:t>
      </w:r>
    </w:p>
    <w:p w14:paraId="228879FA" w14:textId="49E2877B" w:rsidR="00FF64B8" w:rsidRPr="0000740E" w:rsidRDefault="00A60B51" w:rsidP="000F5BE7">
      <w:pPr>
        <w:widowControl w:val="0"/>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Las compras públicas desde el punto de vista de la NGP son una manera de no sólo siendo eficientes en términos económicos, sino de ser transparentes y justos en el proceso de las </w:t>
      </w:r>
      <w:r w:rsidR="00021E6E" w:rsidRPr="0000740E">
        <w:rPr>
          <w:rFonts w:ascii="Times New Roman" w:eastAsia="Times New Roman" w:hAnsi="Times New Roman" w:cs="Times New Roman"/>
          <w:color w:val="0D0D0D"/>
          <w:sz w:val="24"/>
          <w:szCs w:val="24"/>
          <w:lang w:eastAsia="es-MX"/>
        </w:rPr>
        <w:t>compras. La actualización de plataformas de e-Procurement es un modo de demostrar que la tecnología ayuda a llegar a estos objetivos</w:t>
      </w:r>
      <w:r w:rsidR="004E0AC9" w:rsidRPr="0000740E">
        <w:rPr>
          <w:rFonts w:ascii="Times New Roman" w:eastAsia="Times New Roman" w:hAnsi="Times New Roman" w:cs="Times New Roman"/>
          <w:color w:val="0D0D0D"/>
          <w:sz w:val="24"/>
          <w:szCs w:val="24"/>
          <w:lang w:eastAsia="es-MX"/>
        </w:rPr>
        <w:t xml:space="preserve">, como ha sido documentado en la literatura sobre contratación pública, al ampliar el acceso a las oportunidades de contratación y fortalecer la transparencia y la rendición de cuentas </w:t>
      </w:r>
      <w:r w:rsidR="00FF64B8" w:rsidRPr="0000740E">
        <w:rPr>
          <w:rFonts w:ascii="Times New Roman" w:eastAsia="Times New Roman" w:hAnsi="Times New Roman" w:cs="Times New Roman"/>
          <w:color w:val="0D0D0D"/>
          <w:sz w:val="24"/>
          <w:szCs w:val="24"/>
          <w:lang w:eastAsia="es-MX"/>
        </w:rPr>
        <w:t>(Thai, 2001; Monczka et al., 2015).</w:t>
      </w:r>
    </w:p>
    <w:p w14:paraId="68BC21D7" w14:textId="7FDFA51D" w:rsidR="00FF64B8" w:rsidRPr="0000740E" w:rsidRDefault="00021E6E" w:rsidP="000F5BE7">
      <w:pPr>
        <w:widowControl w:val="0"/>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La función de la logística de entrada, en contraposición a la de la salida, tiene, por otro lado, una función central en reflejar la eficiencia desde la que el sector público puede dar respuesta a las necesidades del ciudadano. La manera en la que se gestiona la cadena de suministro y la forma en la que se realiza la compra o entrega de los bienes y los servicios es clave para conseguir reducir el coste, además de asegurar la disponibilidad en el momento pertinente de los recursos necesarios para la prestación de los servicios; en este sentido, el uso de los principios de gestión de la cadena de suministro que existen en el mundo de la empresa puede, sin duda, contribuir a nutrir al sector público de valiosas lecciones a tener en cuenta (en términos de planificación de recursos, gestión de inventarios o bien optimización logística </w:t>
      </w:r>
      <w:r w:rsidR="00FF64B8" w:rsidRPr="0000740E">
        <w:rPr>
          <w:rFonts w:ascii="Times New Roman" w:eastAsia="Times New Roman" w:hAnsi="Times New Roman" w:cs="Times New Roman"/>
          <w:color w:val="0D0D0D"/>
          <w:sz w:val="24"/>
          <w:szCs w:val="24"/>
          <w:lang w:eastAsia="es-MX"/>
        </w:rPr>
        <w:t>(Bowersox et al., 2012).</w:t>
      </w:r>
    </w:p>
    <w:p w14:paraId="60C471F9" w14:textId="7697CB63" w:rsidR="00720762" w:rsidRPr="0000740E" w:rsidRDefault="006355CC" w:rsidP="000F5BE7">
      <w:pPr>
        <w:widowControl w:val="0"/>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En relación con el almacenamiento de materiales y la gestión de productos terminados, la NGP aboga por prácticas orientadas a asegurar un uso eficiente del espacio y los recursos, las cuales han sido asociadas en la literatura con la reducción del desperdicio y una mayor disponibilidad de materiales críticos (Peters, 2010)</w:t>
      </w:r>
      <w:r w:rsidR="00BB083B" w:rsidRPr="0000740E">
        <w:rPr>
          <w:rFonts w:ascii="Times New Roman" w:eastAsia="Times New Roman" w:hAnsi="Times New Roman" w:cs="Times New Roman"/>
          <w:color w:val="0D0D0D"/>
          <w:sz w:val="24"/>
          <w:szCs w:val="24"/>
          <w:lang w:eastAsia="es-MX"/>
        </w:rPr>
        <w:t>.</w:t>
      </w:r>
      <w:r w:rsidR="00FF64B8" w:rsidRPr="0000740E">
        <w:rPr>
          <w:rFonts w:ascii="Times New Roman" w:eastAsia="Times New Roman" w:hAnsi="Times New Roman" w:cs="Times New Roman"/>
          <w:color w:val="0D0D0D"/>
          <w:sz w:val="24"/>
          <w:szCs w:val="24"/>
          <w:lang w:eastAsia="es-MX"/>
        </w:rPr>
        <w:t xml:space="preserve"> </w:t>
      </w:r>
      <w:r w:rsidR="00720762" w:rsidRPr="0000740E">
        <w:rPr>
          <w:rFonts w:ascii="Times New Roman" w:eastAsia="Times New Roman" w:hAnsi="Times New Roman" w:cs="Times New Roman"/>
          <w:color w:val="0D0D0D"/>
          <w:sz w:val="24"/>
          <w:szCs w:val="24"/>
          <w:lang w:eastAsia="es-MX"/>
        </w:rPr>
        <w:t>La adopción de sistemas de información dirigidos a la gestión de los inventarios o las tecnologías de automatizar procesos serían evidentes aquellas maneras de mejorar ostensiblemente en este punto, además de contribuir a la obtención de una mayor eficiencia en las operaciones y de los menores costes en la gestión pública (Frazelle, 2002</w:t>
      </w:r>
      <w:r w:rsidR="00324612">
        <w:rPr>
          <w:rFonts w:ascii="Times New Roman" w:eastAsia="Times New Roman" w:hAnsi="Times New Roman" w:cs="Times New Roman"/>
          <w:color w:val="0D0D0D"/>
          <w:sz w:val="24"/>
          <w:szCs w:val="24"/>
          <w:lang w:eastAsia="es-MX"/>
        </w:rPr>
        <w:t>)</w:t>
      </w:r>
    </w:p>
    <w:p w14:paraId="4291DE46" w14:textId="09298742" w:rsidR="00B8558D" w:rsidRPr="0000740E" w:rsidRDefault="00720762" w:rsidP="000F5BE7">
      <w:pPr>
        <w:widowControl w:val="0"/>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Estas reformas y prácticas inspiradas en la NGP, tienen capacidad para transformar la administración pública en México. A partir de la mejora de la eficiencia, la transparencia en la </w:t>
      </w:r>
      <w:r w:rsidRPr="0000740E">
        <w:rPr>
          <w:rFonts w:ascii="Times New Roman" w:eastAsia="Times New Roman" w:hAnsi="Times New Roman" w:cs="Times New Roman"/>
          <w:color w:val="0D0D0D"/>
          <w:sz w:val="24"/>
          <w:szCs w:val="24"/>
          <w:lang w:eastAsia="es-MX"/>
        </w:rPr>
        <w:lastRenderedPageBreak/>
        <w:t>gestión de las compras, la logística, el almacenamiento, etc., en el sector público se pueden ofrecer mejores servicios a la ciudadanía, a la vez que se logra una administración más comprometida y con la ayuda de los recursos públicos. Esto tiene mucha entidad en la actualidad, pues el país tiene el reto de promover un desarrollo económico, más inclusivo y sostenible, al tiempo que se refuerza la confianza de la ciudadanía en las instituciones públicas</w:t>
      </w:r>
      <w:r w:rsidR="00FF64B8" w:rsidRPr="0000740E">
        <w:rPr>
          <w:rFonts w:ascii="Times New Roman" w:eastAsia="Times New Roman" w:hAnsi="Times New Roman" w:cs="Times New Roman"/>
          <w:color w:val="0D0D0D"/>
          <w:sz w:val="24"/>
          <w:szCs w:val="24"/>
          <w:lang w:eastAsia="es-MX"/>
        </w:rPr>
        <w:t xml:space="preserve"> (Osborne, 2010; Pollitt </w:t>
      </w:r>
      <w:r w:rsidR="00480B56" w:rsidRPr="0000740E">
        <w:rPr>
          <w:rFonts w:ascii="Times New Roman" w:eastAsia="Times New Roman" w:hAnsi="Times New Roman" w:cs="Times New Roman"/>
          <w:color w:val="0D0D0D"/>
          <w:sz w:val="24"/>
          <w:szCs w:val="24"/>
          <w:lang w:eastAsia="es-MX"/>
        </w:rPr>
        <w:t>y</w:t>
      </w:r>
      <w:r w:rsidR="00FF64B8" w:rsidRPr="0000740E">
        <w:rPr>
          <w:rFonts w:ascii="Times New Roman" w:eastAsia="Times New Roman" w:hAnsi="Times New Roman" w:cs="Times New Roman"/>
          <w:color w:val="0D0D0D"/>
          <w:sz w:val="24"/>
          <w:szCs w:val="24"/>
          <w:lang w:eastAsia="es-MX"/>
        </w:rPr>
        <w:t xml:space="preserve"> Bouckaert, </w:t>
      </w:r>
      <w:r w:rsidR="00B76B0B">
        <w:rPr>
          <w:rFonts w:ascii="Times New Roman" w:eastAsia="Times New Roman" w:hAnsi="Times New Roman" w:cs="Times New Roman"/>
          <w:color w:val="0D0D0D"/>
          <w:sz w:val="24"/>
          <w:szCs w:val="24"/>
          <w:lang w:eastAsia="es-MX"/>
        </w:rPr>
        <w:t>2023</w:t>
      </w:r>
      <w:r w:rsidR="00FF64B8" w:rsidRPr="0000740E">
        <w:rPr>
          <w:rFonts w:ascii="Times New Roman" w:eastAsia="Times New Roman" w:hAnsi="Times New Roman" w:cs="Times New Roman"/>
          <w:color w:val="0D0D0D"/>
          <w:sz w:val="24"/>
          <w:szCs w:val="24"/>
          <w:lang w:eastAsia="es-MX"/>
        </w:rPr>
        <w:t>).</w:t>
      </w:r>
    </w:p>
    <w:p w14:paraId="5A7DA91A" w14:textId="77777777" w:rsidR="000F5BE7" w:rsidRDefault="000F5BE7" w:rsidP="000F5BE7">
      <w:pPr>
        <w:widowControl w:val="0"/>
        <w:spacing w:after="0" w:line="360" w:lineRule="auto"/>
        <w:jc w:val="both"/>
        <w:rPr>
          <w:rFonts w:ascii="Times New Roman" w:eastAsia="Times New Roman" w:hAnsi="Times New Roman" w:cs="Times New Roman"/>
          <w:b/>
          <w:bCs/>
          <w:color w:val="0D0D0D"/>
          <w:sz w:val="24"/>
          <w:szCs w:val="24"/>
          <w:lang w:eastAsia="es-MX"/>
        </w:rPr>
      </w:pPr>
    </w:p>
    <w:p w14:paraId="026772A6" w14:textId="2493327B" w:rsidR="00B8558D" w:rsidRPr="0000740E"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2.2. </w:t>
      </w:r>
      <w:r w:rsidR="004918E3" w:rsidRPr="0000740E">
        <w:rPr>
          <w:rFonts w:ascii="Times New Roman" w:eastAsia="Times New Roman" w:hAnsi="Times New Roman" w:cs="Times New Roman"/>
          <w:b/>
          <w:bCs/>
          <w:color w:val="0D0D0D"/>
          <w:sz w:val="24"/>
          <w:szCs w:val="24"/>
          <w:lang w:eastAsia="es-MX"/>
        </w:rPr>
        <w:t>Las Normas de Información Financiera y la NGP</w:t>
      </w:r>
    </w:p>
    <w:p w14:paraId="6A1D2F40" w14:textId="77777777" w:rsidR="000F5BE7" w:rsidRDefault="000F5BE7" w:rsidP="000F5BE7">
      <w:pPr>
        <w:spacing w:after="0" w:line="360" w:lineRule="auto"/>
        <w:jc w:val="both"/>
        <w:rPr>
          <w:rFonts w:ascii="Times New Roman" w:eastAsia="Times New Roman" w:hAnsi="Times New Roman" w:cs="Times New Roman"/>
          <w:color w:val="0D0D0D"/>
          <w:sz w:val="24"/>
          <w:szCs w:val="24"/>
          <w:lang w:eastAsia="es-MX"/>
        </w:rPr>
      </w:pPr>
    </w:p>
    <w:p w14:paraId="178B0646" w14:textId="5EEDF6AD" w:rsidR="00575C80" w:rsidRPr="0000740E" w:rsidRDefault="00575C80" w:rsidP="000F5BE7">
      <w:pPr>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Dentro del contexto de la administración pública en México, considerando la inminente introducción de eficiencias que provengan del sector privado a través de la Nueva Gestión Pública así como el acatamiento de manera estricta de las Normas de Información Financiera (NIF) </w:t>
      </w:r>
      <w:r w:rsidR="00C73B6B" w:rsidRPr="0000740E">
        <w:rPr>
          <w:rFonts w:ascii="Times New Roman" w:eastAsia="Times New Roman" w:hAnsi="Times New Roman" w:cs="Times New Roman"/>
          <w:color w:val="0D0D0D"/>
          <w:sz w:val="24"/>
          <w:szCs w:val="24"/>
          <w:lang w:eastAsia="es-MX"/>
        </w:rPr>
        <w:t xml:space="preserve">representa una estrategia esencial para enfrentar retos operativos y financieros, lo que mejora simultáneamente la calidad de los servicios </w:t>
      </w:r>
      <w:r w:rsidR="00B8558D" w:rsidRPr="0000740E">
        <w:rPr>
          <w:rFonts w:ascii="Times New Roman" w:eastAsia="Times New Roman" w:hAnsi="Times New Roman" w:cs="Times New Roman"/>
          <w:color w:val="0D0D0D"/>
          <w:sz w:val="24"/>
          <w:szCs w:val="24"/>
          <w:lang w:eastAsia="es-MX"/>
        </w:rPr>
        <w:t xml:space="preserve">ofrecidos a los ciudadanos. </w:t>
      </w:r>
      <w:r w:rsidRPr="0000740E">
        <w:rPr>
          <w:rFonts w:ascii="Times New Roman" w:eastAsia="Times New Roman" w:hAnsi="Times New Roman" w:cs="Times New Roman"/>
          <w:color w:val="0D0D0D"/>
          <w:sz w:val="24"/>
          <w:szCs w:val="24"/>
          <w:lang w:eastAsia="es-MX"/>
        </w:rPr>
        <w:t>La NGP propicia la adopción de prácticas de gestión que se orientan a alcanzar la eficiencia, la transparencia y la atención al ciudadano, mientras que las NIF proponen un marco contable/financiero que garantice la integridad, la consistencia y la claridad de la información financiera</w:t>
      </w:r>
    </w:p>
    <w:p w14:paraId="5375B396" w14:textId="71F1DC4E" w:rsidR="00575C80" w:rsidRPr="0000740E" w:rsidRDefault="00720762" w:rsidP="000F5BE7">
      <w:pPr>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La integración de los principios de la NGP y de la NIF no sólo se hace imprescindible para las futuras organizaciones de una administración pública eficiente y centrada en el ciudadano, sino también para dar lugar a las normas de la integridad financiera y la responsabilidad; por ejemplo, la NGP en el ámbito de las compras públicas puede favorecer el uso de sistemas electrónicos para la compra pública y así favorecer, tanto el proceso de compras públicas como el de la NGP, la eficiencia y la transparencia en las compras</w:t>
      </w:r>
      <w:r w:rsidR="00575C80" w:rsidRPr="0000740E">
        <w:rPr>
          <w:rFonts w:ascii="Times New Roman" w:eastAsia="Times New Roman" w:hAnsi="Times New Roman" w:cs="Times New Roman"/>
          <w:color w:val="0D0D0D"/>
          <w:sz w:val="24"/>
          <w:szCs w:val="24"/>
          <w:lang w:eastAsia="es-MX"/>
        </w:rPr>
        <w:t>. Al tiempo, las NIF aseguran que los costes asociados con las compras se registren y se reporten adecuadamente, garantizando así un sustrato que sirva a la vez para facilitar la toma de decisiones y para la rendición de cuentas.</w:t>
      </w:r>
    </w:p>
    <w:p w14:paraId="686F5F1C" w14:textId="72AFBD36" w:rsidR="00575C80" w:rsidRPr="0000740E" w:rsidRDefault="00575C80" w:rsidP="000F5BE7">
      <w:pPr>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Desde el ámbito de la gestión de la</w:t>
      </w:r>
      <w:r w:rsidR="00444C78">
        <w:rPr>
          <w:rFonts w:ascii="Times New Roman" w:eastAsia="Times New Roman" w:hAnsi="Times New Roman" w:cs="Times New Roman"/>
          <w:color w:val="0D0D0D"/>
          <w:sz w:val="24"/>
          <w:szCs w:val="24"/>
          <w:lang w:eastAsia="es-MX"/>
        </w:rPr>
        <w:t>s</w:t>
      </w:r>
      <w:r w:rsidRPr="0000740E">
        <w:rPr>
          <w:rFonts w:ascii="Times New Roman" w:eastAsia="Times New Roman" w:hAnsi="Times New Roman" w:cs="Times New Roman"/>
          <w:color w:val="0D0D0D"/>
          <w:sz w:val="24"/>
          <w:szCs w:val="24"/>
          <w:lang w:eastAsia="es-MX"/>
        </w:rPr>
        <w:t xml:space="preserve"> cadenas de suministros, las prácticas de la NGP en torno a la optimización de la logística de entrada y la optimización del almacenamiento de material deberán estar implementadas de forma adecuada en la contabilidad financiera en cumplimiento de las NIF</w:t>
      </w:r>
      <w:r w:rsidR="00B8558D" w:rsidRPr="0000740E">
        <w:rPr>
          <w:rFonts w:ascii="Times New Roman" w:eastAsia="Times New Roman" w:hAnsi="Times New Roman" w:cs="Times New Roman"/>
          <w:color w:val="0D0D0D"/>
          <w:sz w:val="24"/>
          <w:szCs w:val="24"/>
          <w:lang w:eastAsia="es-MX"/>
        </w:rPr>
        <w:t xml:space="preserve">. </w:t>
      </w:r>
      <w:r w:rsidRPr="0000740E">
        <w:rPr>
          <w:rFonts w:ascii="Times New Roman" w:eastAsia="Times New Roman" w:hAnsi="Times New Roman" w:cs="Times New Roman"/>
          <w:color w:val="0D0D0D"/>
          <w:sz w:val="24"/>
          <w:szCs w:val="24"/>
          <w:lang w:eastAsia="es-MX"/>
        </w:rPr>
        <w:t xml:space="preserve">Este planteamiento da lugar a una gestión eficiente de los recursos, una gestión financiera que contemple el grado de responsabilidad y de transparencia suficiente en cuanto a la cadena de suministro, de esta forma la integración del trabajo de la gestión estratégica de la NGP con los </w:t>
      </w:r>
      <w:r w:rsidRPr="0000740E">
        <w:rPr>
          <w:rFonts w:ascii="Times New Roman" w:eastAsia="Times New Roman" w:hAnsi="Times New Roman" w:cs="Times New Roman"/>
          <w:color w:val="0D0D0D"/>
          <w:sz w:val="24"/>
          <w:szCs w:val="24"/>
          <w:lang w:eastAsia="es-MX"/>
        </w:rPr>
        <w:lastRenderedPageBreak/>
        <w:t>principios contables según las NIF, se puede entender como síntoma de una administración pública que busca con destreza el cumplimiento de las demandas de la ciudadanía con un grado de transparencia y una adopción de la responsabilidad necesarios.</w:t>
      </w:r>
    </w:p>
    <w:p w14:paraId="724C0244" w14:textId="7D7D1F27" w:rsidR="00B53BAF" w:rsidRPr="0000740E" w:rsidRDefault="00575C80" w:rsidP="000F5BE7">
      <w:pPr>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Este planteamiento se convierte en la expresión del compromiso con la mejora continua y con la adecuación a los cambios y a las contingencias que suponen la actual gestión pública. Es preciso defender un uso eficiente de las prácticas ejercidas con la gestión acorde a la NGP a la vez que al cumplimiento de las NIF para provocar un enfoque integrado a la administración pública que busque ser enérgicamente eficiente y económica en la gestión de los recursos públicos y a su vez, pueda ser entendida como responsable y transparente en el comportamiento ante la ciudadanía</w:t>
      </w:r>
      <w:r w:rsidR="00B8558D" w:rsidRPr="0000740E">
        <w:rPr>
          <w:rFonts w:ascii="Times New Roman" w:eastAsia="Times New Roman" w:hAnsi="Times New Roman" w:cs="Times New Roman"/>
          <w:color w:val="0D0D0D"/>
          <w:sz w:val="24"/>
          <w:szCs w:val="24"/>
          <w:lang w:eastAsia="es-MX"/>
        </w:rPr>
        <w:t xml:space="preserve">. </w:t>
      </w:r>
      <w:r w:rsidR="00B53BAF" w:rsidRPr="0000740E">
        <w:rPr>
          <w:rFonts w:ascii="Times New Roman" w:eastAsia="Times New Roman" w:hAnsi="Times New Roman" w:cs="Times New Roman"/>
          <w:color w:val="0D0D0D"/>
          <w:sz w:val="24"/>
          <w:szCs w:val="24"/>
          <w:lang w:eastAsia="es-MX"/>
        </w:rPr>
        <w:t xml:space="preserve">Este enfoque es esencial para fortalecer la confianza de la población en sus instituciones gubernamentales, ya que mejora la calidad de los servicios públicos y contribuye a la construcción de un gobierno más efectivo y eficiente. </w:t>
      </w:r>
    </w:p>
    <w:p w14:paraId="027987F1" w14:textId="77777777" w:rsidR="000F5BE7" w:rsidRDefault="000F5BE7" w:rsidP="000F5BE7">
      <w:pPr>
        <w:spacing w:after="0" w:line="360" w:lineRule="auto"/>
        <w:jc w:val="both"/>
        <w:rPr>
          <w:rFonts w:ascii="Times New Roman" w:eastAsia="Times New Roman" w:hAnsi="Times New Roman" w:cs="Times New Roman"/>
          <w:b/>
          <w:bCs/>
          <w:sz w:val="24"/>
          <w:szCs w:val="24"/>
          <w:lang w:eastAsia="es-MX"/>
        </w:rPr>
      </w:pPr>
    </w:p>
    <w:p w14:paraId="5BE81051" w14:textId="4D1ABB58" w:rsidR="00D4012D" w:rsidRPr="0000740E" w:rsidRDefault="00DB1274" w:rsidP="000F5BE7">
      <w:pPr>
        <w:spacing w:after="0" w:line="360" w:lineRule="auto"/>
        <w:jc w:val="both"/>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 xml:space="preserve">2.3. </w:t>
      </w:r>
      <w:r w:rsidR="00D4012D" w:rsidRPr="0000740E">
        <w:rPr>
          <w:rFonts w:ascii="Times New Roman" w:eastAsia="Times New Roman" w:hAnsi="Times New Roman" w:cs="Times New Roman"/>
          <w:b/>
          <w:bCs/>
          <w:sz w:val="24"/>
          <w:szCs w:val="24"/>
          <w:lang w:eastAsia="es-MX"/>
        </w:rPr>
        <w:t>Delimitación del objeto de estudio</w:t>
      </w:r>
    </w:p>
    <w:p w14:paraId="5216E732" w14:textId="77777777" w:rsidR="000F5BE7" w:rsidRDefault="000F5BE7" w:rsidP="000F5BE7">
      <w:pPr>
        <w:widowControl w:val="0"/>
        <w:spacing w:after="0" w:line="360" w:lineRule="auto"/>
        <w:jc w:val="both"/>
        <w:rPr>
          <w:rFonts w:ascii="Times New Roman" w:eastAsia="Times New Roman" w:hAnsi="Times New Roman" w:cs="Times New Roman"/>
          <w:sz w:val="24"/>
          <w:szCs w:val="24"/>
          <w:lang w:eastAsia="es-MX"/>
        </w:rPr>
      </w:pPr>
    </w:p>
    <w:p w14:paraId="671015D9" w14:textId="76FA7549" w:rsidR="000E115E" w:rsidRPr="0000740E" w:rsidRDefault="000E115E" w:rsidP="000F5BE7">
      <w:pPr>
        <w:widowControl w:val="0"/>
        <w:spacing w:after="0" w:line="360" w:lineRule="auto"/>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A partir del análisis de la literatura especializada, este </w:t>
      </w:r>
      <w:r w:rsidR="00575C80" w:rsidRPr="0000740E">
        <w:rPr>
          <w:rFonts w:ascii="Times New Roman" w:eastAsia="Times New Roman" w:hAnsi="Times New Roman" w:cs="Times New Roman"/>
          <w:sz w:val="24"/>
          <w:szCs w:val="24"/>
          <w:lang w:eastAsia="es-MX"/>
        </w:rPr>
        <w:t>trabajo se limita a una propuesta teórica y normativa que propone dar respuesta a cómo la incorporación de los principios orientados a la Nueva Gestión Pública (NGP) y el cumplimiento de las Normas de Información Financiera (NIF) pueden ser un afrontamiento a la gestión de la cadena de suministros en el ámbito de la administración pública mexicana. No se trata de una investigación empírica, con base en estudios de caso o análisis descriptivos, sino de un ejercicio de la conceptualización fundamentada en el análisis documental, normativo y académico. En este sentido hay que destacar que, por ejemplo, Cohen y Karatzimas (2017) ponen de manifiesto la calidad de la información financiera para la toma de decisiones en gobierno</w:t>
      </w:r>
      <w:r w:rsidR="00AC31A9">
        <w:rPr>
          <w:rFonts w:ascii="Times New Roman" w:eastAsia="Times New Roman" w:hAnsi="Times New Roman" w:cs="Times New Roman"/>
          <w:sz w:val="24"/>
          <w:szCs w:val="24"/>
          <w:lang w:eastAsia="es-MX"/>
        </w:rPr>
        <w:t xml:space="preserve">, mientras que </w:t>
      </w:r>
      <w:r w:rsidR="00575C80" w:rsidRPr="0000740E">
        <w:rPr>
          <w:rFonts w:ascii="Times New Roman" w:eastAsia="Times New Roman" w:hAnsi="Times New Roman" w:cs="Times New Roman"/>
          <w:sz w:val="24"/>
          <w:szCs w:val="24"/>
          <w:lang w:eastAsia="es-MX"/>
        </w:rPr>
        <w:t xml:space="preserve">Pollitt y Bouckaert (2023) subrayan las reformas comparativas en la gestión pública; </w:t>
      </w:r>
      <w:r w:rsidR="00AC31A9">
        <w:rPr>
          <w:rFonts w:ascii="Times New Roman" w:eastAsia="Times New Roman" w:hAnsi="Times New Roman" w:cs="Times New Roman"/>
          <w:sz w:val="24"/>
          <w:szCs w:val="24"/>
          <w:lang w:eastAsia="es-MX"/>
        </w:rPr>
        <w:t>al tiempo que se</w:t>
      </w:r>
      <w:r w:rsidR="00575C80" w:rsidRPr="0000740E">
        <w:rPr>
          <w:rFonts w:ascii="Times New Roman" w:eastAsia="Times New Roman" w:hAnsi="Times New Roman" w:cs="Times New Roman"/>
          <w:sz w:val="24"/>
          <w:szCs w:val="24"/>
          <w:lang w:eastAsia="es-MX"/>
        </w:rPr>
        <w:t xml:space="preserve"> </w:t>
      </w:r>
      <w:r w:rsidR="00AC31A9">
        <w:rPr>
          <w:rFonts w:ascii="Times New Roman" w:eastAsia="Times New Roman" w:hAnsi="Times New Roman" w:cs="Times New Roman"/>
          <w:sz w:val="24"/>
          <w:szCs w:val="24"/>
          <w:lang w:eastAsia="es-MX"/>
        </w:rPr>
        <w:t xml:space="preserve">resalta </w:t>
      </w:r>
      <w:r w:rsidR="00575C80" w:rsidRPr="0000740E">
        <w:rPr>
          <w:rFonts w:ascii="Times New Roman" w:eastAsia="Times New Roman" w:hAnsi="Times New Roman" w:cs="Times New Roman"/>
          <w:sz w:val="24"/>
          <w:szCs w:val="24"/>
          <w:lang w:eastAsia="es-MX"/>
        </w:rPr>
        <w:t>la modernización de la contabilidad pública en América Latina desde una perspectiva de gestión</w:t>
      </w:r>
      <w:r w:rsidRPr="0000740E">
        <w:rPr>
          <w:rFonts w:ascii="Times New Roman" w:eastAsia="Times New Roman" w:hAnsi="Times New Roman" w:cs="Times New Roman"/>
          <w:sz w:val="24"/>
          <w:szCs w:val="24"/>
          <w:lang w:eastAsia="es-MX"/>
        </w:rPr>
        <w:t xml:space="preserve">. A estos aportes se suma </w:t>
      </w:r>
      <w:r w:rsidR="00AC31A9">
        <w:rPr>
          <w:rFonts w:ascii="Times New Roman" w:eastAsia="Times New Roman" w:hAnsi="Times New Roman" w:cs="Times New Roman"/>
          <w:sz w:val="24"/>
          <w:szCs w:val="24"/>
          <w:lang w:eastAsia="es-MX"/>
        </w:rPr>
        <w:t xml:space="preserve">lo de </w:t>
      </w:r>
      <w:r w:rsidRPr="0000740E">
        <w:rPr>
          <w:rFonts w:ascii="Times New Roman" w:eastAsia="Times New Roman" w:hAnsi="Times New Roman" w:cs="Times New Roman"/>
          <w:sz w:val="24"/>
          <w:szCs w:val="24"/>
          <w:lang w:eastAsia="es-MX"/>
        </w:rPr>
        <w:t xml:space="preserve">Navarro (2011), quien examina el vínculo entre reformas contables y gobernanza pública, y </w:t>
      </w:r>
      <w:r w:rsidR="00AC31A9">
        <w:rPr>
          <w:rFonts w:ascii="Times New Roman" w:eastAsia="Times New Roman" w:hAnsi="Times New Roman" w:cs="Times New Roman"/>
          <w:sz w:val="24"/>
          <w:szCs w:val="24"/>
          <w:lang w:eastAsia="es-MX"/>
        </w:rPr>
        <w:t xml:space="preserve">se </w:t>
      </w:r>
      <w:r w:rsidRPr="0000740E">
        <w:rPr>
          <w:rFonts w:ascii="Times New Roman" w:eastAsia="Times New Roman" w:hAnsi="Times New Roman" w:cs="Times New Roman"/>
          <w:sz w:val="24"/>
          <w:szCs w:val="24"/>
          <w:lang w:eastAsia="es-MX"/>
        </w:rPr>
        <w:t>plantea</w:t>
      </w:r>
      <w:r w:rsidR="00AC31A9">
        <w:rPr>
          <w:rFonts w:ascii="Times New Roman" w:eastAsia="Times New Roman" w:hAnsi="Times New Roman" w:cs="Times New Roman"/>
          <w:sz w:val="24"/>
          <w:szCs w:val="24"/>
          <w:lang w:eastAsia="es-MX"/>
        </w:rPr>
        <w:t>n por otro lado</w:t>
      </w:r>
      <w:r w:rsidRPr="0000740E">
        <w:rPr>
          <w:rFonts w:ascii="Times New Roman" w:eastAsia="Times New Roman" w:hAnsi="Times New Roman" w:cs="Times New Roman"/>
          <w:sz w:val="24"/>
          <w:szCs w:val="24"/>
          <w:lang w:eastAsia="es-MX"/>
        </w:rPr>
        <w:t xml:space="preserve"> enfoques interinstitucionales para la mejora de servicios públicos.</w:t>
      </w:r>
    </w:p>
    <w:p w14:paraId="145BC7EF" w14:textId="77777777" w:rsidR="000E115E" w:rsidRPr="0000740E" w:rsidRDefault="000E115E" w:rsidP="000F5BE7">
      <w:pPr>
        <w:widowControl w:val="0"/>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La unidad de análisis es el sector público mexicano en su conjunto, sin que se distingan niveles de gobierno (federal, estatal o municipal), debido a que los principios que aquí se abordan son de carácter general y transversal. Esta elección permite construir una base conceptual que </w:t>
      </w:r>
      <w:r w:rsidRPr="0000740E">
        <w:rPr>
          <w:rFonts w:ascii="Times New Roman" w:eastAsia="Times New Roman" w:hAnsi="Times New Roman" w:cs="Times New Roman"/>
          <w:sz w:val="24"/>
          <w:szCs w:val="24"/>
          <w:lang w:eastAsia="es-MX"/>
        </w:rPr>
        <w:lastRenderedPageBreak/>
        <w:t>pueda orientar tanto evaluaciones institucionales futuras como investigaciones aplicadas en contextos territoriales más acotados. Asimismo, busca aportar a la reflexión crítica sobre la modernización de las finanzas públicas y la gestión logística desde una perspectiva integral, interinstitucional y centrada en el ciudadano.</w:t>
      </w:r>
    </w:p>
    <w:p w14:paraId="50577E57" w14:textId="390DA6AA" w:rsidR="0028260A" w:rsidRPr="0000740E" w:rsidRDefault="0028260A" w:rsidP="000F5BE7">
      <w:pPr>
        <w:widowControl w:val="0"/>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Pese a que el presente trabajo privilegia un enfoque teórico-normativo, resulta pertinente señalar que organismos de fiscalización y transparencia han documentado las limitaciones prácticas que enfrenta la gestión de la cadena de suministro en el sector público mexicano. Por ejemplo, de acuerdo con la Auditoría Superior de la Federación, en el Informe del Resultado de la Fiscalización Superior de la Cuenta Pública 202</w:t>
      </w:r>
      <w:r w:rsidR="00EC07BE" w:rsidRPr="0000740E">
        <w:rPr>
          <w:rFonts w:ascii="Times New Roman" w:eastAsia="Times New Roman" w:hAnsi="Times New Roman" w:cs="Times New Roman"/>
          <w:sz w:val="24"/>
          <w:szCs w:val="24"/>
          <w:lang w:eastAsia="es-MX"/>
        </w:rPr>
        <w:t>2</w:t>
      </w:r>
      <w:r w:rsidRPr="0000740E">
        <w:rPr>
          <w:rFonts w:ascii="Times New Roman" w:eastAsia="Times New Roman" w:hAnsi="Times New Roman" w:cs="Times New Roman"/>
          <w:sz w:val="24"/>
          <w:szCs w:val="24"/>
          <w:lang w:eastAsia="es-MX"/>
        </w:rPr>
        <w:t xml:space="preserve"> (ASF, 2022), el 37.5 % de las entidades fiscalizadas no presentaron evidencia documental suficiente sobre la aplicación efectiva de metodologías de análisis de costo total en sus procesos de adquisición, lo cual dificulta la implementación del enfoque de Costo Total de Propiedad (TCP). A su vez, estudios del Instituto Nacional de Transparencia, Acceso a la Información y Protección de Datos Personales (INAI, 2022), así como análisis de información pública de Compranet correspondientes a 2022, muestran que más del 60 % de los gobiernos municipales no utilizan sistemas formales de gestión de relaciones con proveedores (SRM), lo que limita los mecanismos de trazabilidad, evaluación y retroalimentación en las contrataciones públicas (Salgado Remigio, 2023).</w:t>
      </w:r>
    </w:p>
    <w:p w14:paraId="5FBE4689" w14:textId="1936B57D" w:rsidR="0027409D" w:rsidRPr="0000740E" w:rsidRDefault="0027409D" w:rsidP="000F5BE7">
      <w:pPr>
        <w:widowControl w:val="0"/>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Asimismo, la </w:t>
      </w:r>
      <w:r w:rsidR="00B76B0B" w:rsidRPr="00A732C8">
        <w:rPr>
          <w:rFonts w:ascii="Times New Roman" w:eastAsia="Times New Roman" w:hAnsi="Times New Roman" w:cs="Times New Roman"/>
          <w:bCs/>
          <w:sz w:val="24"/>
          <w:szCs w:val="24"/>
          <w:lang w:eastAsia="es-MX"/>
        </w:rPr>
        <w:t>OECD</w:t>
      </w:r>
      <w:r w:rsidRPr="0000740E">
        <w:rPr>
          <w:rFonts w:ascii="Times New Roman" w:eastAsia="Times New Roman" w:hAnsi="Times New Roman" w:cs="Times New Roman"/>
          <w:sz w:val="24"/>
          <w:szCs w:val="24"/>
          <w:lang w:eastAsia="es-MX"/>
        </w:rPr>
        <w:t xml:space="preserve"> (2021) </w:t>
      </w:r>
      <w:r w:rsidR="008B1038" w:rsidRPr="0000740E">
        <w:rPr>
          <w:rFonts w:ascii="Times New Roman" w:eastAsia="Times New Roman" w:hAnsi="Times New Roman" w:cs="Times New Roman"/>
          <w:sz w:val="24"/>
          <w:szCs w:val="24"/>
          <w:lang w:eastAsia="es-MX"/>
        </w:rPr>
        <w:t xml:space="preserve">en </w:t>
      </w:r>
      <w:r w:rsidR="008B1038" w:rsidRPr="0000740E">
        <w:rPr>
          <w:rFonts w:ascii="Times New Roman" w:eastAsia="Times New Roman" w:hAnsi="Times New Roman" w:cs="Times New Roman"/>
          <w:i/>
          <w:iCs/>
          <w:sz w:val="24"/>
          <w:szCs w:val="24"/>
          <w:lang w:eastAsia="es-MX"/>
        </w:rPr>
        <w:t>Public Procurement in Mexico: Redesigning Strategies and Institutions</w:t>
      </w:r>
      <w:r w:rsidR="008B1038" w:rsidRPr="0000740E">
        <w:rPr>
          <w:rStyle w:val="nfasis"/>
        </w:rPr>
        <w:t xml:space="preserve"> </w:t>
      </w:r>
      <w:r w:rsidRPr="0000740E">
        <w:rPr>
          <w:rFonts w:ascii="Times New Roman" w:eastAsia="Times New Roman" w:hAnsi="Times New Roman" w:cs="Times New Roman"/>
          <w:sz w:val="24"/>
          <w:szCs w:val="24"/>
          <w:lang w:eastAsia="es-MX"/>
        </w:rPr>
        <w:t>ha señalado que, si bien las Normas de Información Financiera (NIF) han sido adoptadas en el marco normativo federal, su implementación efectiva a nivel subnacional presenta desafíos relacionados con capacidades técnicas, interoperabilidad de sistemas y voluntad política. Estos hallazgos empíricos refuerzan la necesidad de fortalecer tanto las capacidades institucionales como los mecanismos de rendición de cuentas en la cadena de suministro pública.</w:t>
      </w:r>
    </w:p>
    <w:p w14:paraId="134DADB2" w14:textId="77777777" w:rsidR="000F5BE7" w:rsidRDefault="000F5BE7" w:rsidP="000F5BE7">
      <w:pPr>
        <w:widowControl w:val="0"/>
        <w:spacing w:after="0" w:line="360" w:lineRule="auto"/>
        <w:jc w:val="both"/>
        <w:rPr>
          <w:rFonts w:ascii="Times New Roman" w:eastAsia="Times New Roman" w:hAnsi="Times New Roman" w:cs="Times New Roman"/>
          <w:b/>
          <w:bCs/>
          <w:color w:val="0D0D0D"/>
          <w:sz w:val="24"/>
          <w:szCs w:val="24"/>
          <w:lang w:eastAsia="es-MX"/>
        </w:rPr>
      </w:pPr>
    </w:p>
    <w:p w14:paraId="52A0673C" w14:textId="1DF5AD39" w:rsidR="00D361CA" w:rsidRPr="0000740E"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2.4. </w:t>
      </w:r>
      <w:r w:rsidR="00D361CA" w:rsidRPr="0000740E">
        <w:rPr>
          <w:rFonts w:ascii="Times New Roman" w:eastAsia="Times New Roman" w:hAnsi="Times New Roman" w:cs="Times New Roman"/>
          <w:b/>
          <w:bCs/>
          <w:color w:val="0D0D0D"/>
          <w:sz w:val="24"/>
          <w:szCs w:val="24"/>
          <w:lang w:eastAsia="es-MX"/>
        </w:rPr>
        <w:t>Discusión crítica: desafíos de implementación práctica</w:t>
      </w:r>
    </w:p>
    <w:p w14:paraId="4F004DD2" w14:textId="77777777" w:rsidR="000F5BE7" w:rsidRDefault="000F5BE7" w:rsidP="000F5BE7">
      <w:pPr>
        <w:spacing w:after="0" w:line="360" w:lineRule="auto"/>
        <w:jc w:val="both"/>
        <w:rPr>
          <w:rFonts w:ascii="Times New Roman" w:eastAsia="Times New Roman" w:hAnsi="Times New Roman" w:cs="Times New Roman"/>
          <w:sz w:val="24"/>
          <w:szCs w:val="24"/>
          <w:lang w:eastAsia="es-MX"/>
        </w:rPr>
      </w:pPr>
    </w:p>
    <w:p w14:paraId="2DE6633C" w14:textId="3E90AB16" w:rsidR="00C01653" w:rsidRPr="0000740E" w:rsidRDefault="00720762" w:rsidP="000F5BE7">
      <w:pPr>
        <w:spacing w:after="0" w:line="360" w:lineRule="auto"/>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La correcta aplicación de herramientas como la Teoría del Costo Total de Propiedad (TCP), la Gestión de Relaciones con Proveedores (SRM) y las Normas de Información Financiera (NIF) para el sector público mexicano, concretamente subnacional, confronta importantes limitaciones estructurales. En esta sección se hace un análisis crítico de los límites prácticos y de barreras genéricas de estas herramientas y de riesgos contables que presentan, el que está centrado en los </w:t>
      </w:r>
      <w:r w:rsidRPr="0000740E">
        <w:rPr>
          <w:rFonts w:ascii="Times New Roman" w:eastAsia="Times New Roman" w:hAnsi="Times New Roman" w:cs="Times New Roman"/>
          <w:sz w:val="24"/>
          <w:szCs w:val="24"/>
          <w:lang w:eastAsia="es-MX"/>
        </w:rPr>
        <w:lastRenderedPageBreak/>
        <w:t>gobiernos estatales y municipales. En primer lugar, la aplicación de la TCP en caso de compras públicas implica una transformación de la lógica común de tipo de compra habitual</w:t>
      </w:r>
      <w:r w:rsidR="000D7D2B" w:rsidRPr="0000740E">
        <w:rPr>
          <w:rFonts w:ascii="Times New Roman" w:eastAsia="Times New Roman" w:hAnsi="Times New Roman" w:cs="Times New Roman"/>
          <w:sz w:val="24"/>
          <w:szCs w:val="24"/>
          <w:lang w:eastAsia="es-MX"/>
        </w:rPr>
        <w:t>. La mayoría de las dependencias gubernamentales privilegian el criterio del menor precio, sin dejar de lado el hecho de no analizar los costos del mantenimiento, de la operación o de la disposición final de los productos</w:t>
      </w:r>
      <w:r w:rsidR="00C01653" w:rsidRPr="0000740E">
        <w:rPr>
          <w:rFonts w:ascii="Times New Roman" w:eastAsia="Times New Roman" w:hAnsi="Times New Roman" w:cs="Times New Roman"/>
          <w:sz w:val="24"/>
          <w:szCs w:val="24"/>
          <w:lang w:eastAsia="es-MX"/>
        </w:rPr>
        <w:t>. Esta visión fragmentada ha derivado, por ejemplo, en adquisiciones de vehículos o equipos médicos de baja durabilidad que, aunque económicos al inicio, generan altos costos en el mediano plazo. Estados como Veracruz y Chiapas han sido observados por la Auditoría Superior de la Federación por no incluir análisis de costo-beneficio en sus compras, lo cual revela un déficit en capacidades técnicas y de planeación.</w:t>
      </w:r>
    </w:p>
    <w:p w14:paraId="1F20540D" w14:textId="62DD2CF6" w:rsidR="00477EB2" w:rsidRPr="0000740E" w:rsidRDefault="00C01653"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Respecto al SRM, su implementación práctica en gobiernos locales está limitada por sistemas de contratación poco profesionalizados, falta de indicadores de desempeño por proveedor, y carencia de plataformas digitales interoperables. En muchos municipios no existe una base de datos consolidada de proveedores, ni esquemas de evaluación continua. La consecuencia es </w:t>
      </w:r>
      <w:r w:rsidR="00477EB2" w:rsidRPr="0000740E">
        <w:rPr>
          <w:rFonts w:ascii="Times New Roman" w:eastAsia="Times New Roman" w:hAnsi="Times New Roman" w:cs="Times New Roman"/>
          <w:sz w:val="24"/>
          <w:szCs w:val="24"/>
          <w:lang w:eastAsia="es-MX"/>
        </w:rPr>
        <w:t xml:space="preserve">la repetición de errores administrativos, así como prácticas discrecionales y relaciones no institucionalizadas con proveedores, documentadas en estudios sobre contratación pública subnacional, lo que genera dependencia de contratistas sin evaluación sistemática de desempeño (Salgado Remigio, 2023; ASF, 2022; </w:t>
      </w:r>
      <w:r w:rsidR="00B76B0B" w:rsidRPr="00A732C8">
        <w:rPr>
          <w:rFonts w:ascii="Times New Roman" w:eastAsia="Times New Roman" w:hAnsi="Times New Roman" w:cs="Times New Roman"/>
          <w:bCs/>
          <w:sz w:val="24"/>
          <w:szCs w:val="24"/>
          <w:lang w:eastAsia="es-MX"/>
        </w:rPr>
        <w:t>OECD</w:t>
      </w:r>
      <w:r w:rsidR="00477EB2" w:rsidRPr="0000740E">
        <w:rPr>
          <w:rFonts w:ascii="Times New Roman" w:eastAsia="Times New Roman" w:hAnsi="Times New Roman" w:cs="Times New Roman"/>
          <w:sz w:val="24"/>
          <w:szCs w:val="24"/>
          <w:lang w:eastAsia="es-MX"/>
        </w:rPr>
        <w:t>,</w:t>
      </w:r>
      <w:r w:rsidR="00B76B0B">
        <w:rPr>
          <w:rFonts w:ascii="Times New Roman" w:eastAsia="Times New Roman" w:hAnsi="Times New Roman" w:cs="Times New Roman"/>
          <w:sz w:val="24"/>
          <w:szCs w:val="24"/>
          <w:lang w:eastAsia="es-MX"/>
        </w:rPr>
        <w:t xml:space="preserve"> </w:t>
      </w:r>
      <w:r w:rsidR="00477EB2" w:rsidRPr="0000740E">
        <w:rPr>
          <w:rFonts w:ascii="Times New Roman" w:eastAsia="Times New Roman" w:hAnsi="Times New Roman" w:cs="Times New Roman"/>
          <w:sz w:val="24"/>
          <w:szCs w:val="24"/>
          <w:lang w:eastAsia="es-MX"/>
        </w:rPr>
        <w:t>2021; INAI, 2022).</w:t>
      </w:r>
    </w:p>
    <w:p w14:paraId="5E9D0E60" w14:textId="77777777" w:rsidR="000D7D2B" w:rsidRPr="0000740E" w:rsidRDefault="00C01653"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En cuanto a las Normas de Información Financiera (NIF), su adopción sin respaldo tecnológico y sin personal capacitado genera riesgos significativos. Muchas entidades continúan operando con </w:t>
      </w:r>
      <w:r w:rsidR="000D7D2B" w:rsidRPr="0000740E">
        <w:rPr>
          <w:rFonts w:ascii="Times New Roman" w:eastAsia="Times New Roman" w:hAnsi="Times New Roman" w:cs="Times New Roman"/>
          <w:sz w:val="24"/>
          <w:szCs w:val="24"/>
          <w:lang w:eastAsia="es-MX"/>
        </w:rPr>
        <w:t xml:space="preserve">sistemas contables manuales o, cuando menos, obsoletos y de escaso aprovechamiento; lo que hace realmente difícil observar las NIF (normas de información financiera) en la prestablecimiento de la valuación de inventarios (NIF C-4), la depreciación de activos (NIF C-6) o la identificación de pasivos a los proveedores (NIF C-2). Además, esta situación no solamente hace tambalear la rendición de cuentas y la transparencia, sino que también pone en tela de juicio la credibilidad de los estados financieros y limita la toma de decisiones con plena conciencia de dicha situación. </w:t>
      </w:r>
    </w:p>
    <w:p w14:paraId="5D6D4EEC" w14:textId="77777777" w:rsidR="000D7D2B" w:rsidRPr="0000740E" w:rsidRDefault="000D7D2B"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No obstante, estas problemáticas no son solamente atribuibles a una negligencia institucional sino también a limitar las estructuras históricas, como presupuestos limitados para el propio proceso de modernización, la alta rotación de los recursos humanos cada ciclo fiscal, la ausencia de la profesionalización contable de los recursos humanos, así como la escasa coordinación entre las áreas administrativas y las operativas. </w:t>
      </w:r>
    </w:p>
    <w:p w14:paraId="62953972" w14:textId="77777777" w:rsidR="000D7D2B" w:rsidRPr="0000740E" w:rsidRDefault="000D7D2B"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lastRenderedPageBreak/>
        <w:t xml:space="preserve">Para hacer frente a estas limitaciones no solo se requiere de voluntad política, sino también de una inversión sostenida en sistemas de información, en la formación técnica de los recursos humanos y de la generación de incentivos institucionales que vayan acordes con la observancia de calidad, de eficiencia, y cuya resultante sea la sustentabilidad financiera, etc.; y como colofón, pero por importante no menos relevante, se debe gozar de la experiencia institucional de los operadores, directivos y técnicos, que debe incluir también el aprendizaje de las experiencias por parte del operador con una relación directa a su experiencia en el contexto mexicano, en algún caso incluso exitoso, o fracasado. </w:t>
      </w:r>
    </w:p>
    <w:p w14:paraId="6EC900AC" w14:textId="4579894D" w:rsidR="00653FD4" w:rsidRPr="0000740E" w:rsidRDefault="00653FD4"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La implementación del modelo de gestión de relaciones con proveedores (SRM) en gobiernos locales podría permitir mejoras sustanciales en la eficiencia operativa y la trazabilidad de los procesos de compra. No obstante, en muchos municipios, las relaciones proveedor-Estado aún se caracterizan por prácticas discrecionales y relaciones no institucionalizadas, así como por la falta de sistemas digitales y la opacidad en los procesos de licitación. Esto dificulta la construcción de relaciones de colaboración estratégica a largo plazo. Casos documentados en auditorías de la Auditoría Superior de la Federación (ASF), particularmente en los sectores de salud y obra pública, muestran cómo la ausencia de esquemas de SRM estructurados se asocia con episodios de desabasto, sobrecostos o adquisiciones fallidas.</w:t>
      </w:r>
    </w:p>
    <w:p w14:paraId="1E98A360" w14:textId="2E43816D" w:rsidR="00C01653" w:rsidRPr="0000740E" w:rsidRDefault="00C01653"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En cuanto a la Teoría del Costo Total de Propiedad (TCP), su aplicación demanda capacidad analítica para evaluar no sólo el precio de adquisición sino costos de operación, mantenimiento y disposición. Gobiernos estatales con baja capacitación financiera o sin herramientas de planeación multianual tienden a realizar adquisiciones subóptimas. Programas federales como Compranet han intentado introducir criterios técnicos más amplios, pero su alcance sigue siendo limitado y no vinculante en muchos procesos subnacionales.</w:t>
      </w:r>
    </w:p>
    <w:p w14:paraId="0A5FCF17" w14:textId="77777777" w:rsidR="000D7D2B" w:rsidRPr="0000740E" w:rsidRDefault="00C01653"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Desde el punto de vista contable, la adopción de las Normas de Información Financiera (NIF) en contextos públicos presenta un riesgo significativo si no se acompaña de sistemas de información robustos y personal técnico calificado. La automatización contable, el registro oportuno de pasivos y la valuación de inventarios son prácticas que muchas entidades públicas no logran cumplir consistentemente. La implementación incompleta de las NIF </w:t>
      </w:r>
      <w:r w:rsidR="000D7D2B" w:rsidRPr="0000740E">
        <w:rPr>
          <w:rFonts w:ascii="Times New Roman" w:eastAsia="Times New Roman" w:hAnsi="Times New Roman" w:cs="Times New Roman"/>
          <w:sz w:val="24"/>
          <w:szCs w:val="24"/>
          <w:lang w:eastAsia="es-MX"/>
        </w:rPr>
        <w:t xml:space="preserve">puede redundar en asientos contables erróneos, implicaciones en la rendición de cuentas y determinaciones que se basan en datos equivocados. </w:t>
      </w:r>
    </w:p>
    <w:p w14:paraId="2988DE8D" w14:textId="77777777" w:rsidR="000D7D2B" w:rsidRPr="0000740E" w:rsidRDefault="000D7D2B"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lastRenderedPageBreak/>
        <w:t>En conclusión, la eficaz aplicación de estos discursos teóricos no es sólo un simple acto normativo, sino una cuestión de voluntad institucional, inversión de los recursos tecnológicos, modificación de los marcos normativos locales y, sobre todo, formación del capital humano profesional. La falta de cualidades antes expuestas indica el porqué, en parte, la mayoría de los principios que la NGP y las NIF proponen no llegan a hacerse realidad en el espacio de la administración pública mexicana.</w:t>
      </w:r>
    </w:p>
    <w:p w14:paraId="7DB8D4BE" w14:textId="189865DF" w:rsidR="00C01653" w:rsidRPr="0000740E" w:rsidRDefault="00C01653"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Uno de los principales desafíos es la limitada capacidad tecnológica y de infraestructura que enfrentan muchas entidades públicas, especialmente en los niveles estatal y municipal. La ausencia de sistemas de información integrados impide aplicar correctamente herramientas como la Teoría del Costo Total de Propiedad (TCP) o sistemas de gestión de relaciones con proveedores (SRM), </w:t>
      </w:r>
      <w:r w:rsidR="00BB083B" w:rsidRPr="0000740E">
        <w:rPr>
          <w:rFonts w:ascii="Times New Roman" w:eastAsia="Times New Roman" w:hAnsi="Times New Roman" w:cs="Times New Roman"/>
          <w:sz w:val="24"/>
          <w:szCs w:val="24"/>
          <w:lang w:eastAsia="es-MX"/>
        </w:rPr>
        <w:t>lo que reduce</w:t>
      </w:r>
      <w:r w:rsidRPr="0000740E">
        <w:rPr>
          <w:rFonts w:ascii="Times New Roman" w:eastAsia="Times New Roman" w:hAnsi="Times New Roman" w:cs="Times New Roman"/>
          <w:sz w:val="24"/>
          <w:szCs w:val="24"/>
          <w:lang w:eastAsia="es-MX"/>
        </w:rPr>
        <w:t xml:space="preserve"> su potencial para optimizar compras y logística.</w:t>
      </w:r>
    </w:p>
    <w:p w14:paraId="4F8DAF07" w14:textId="641151DF" w:rsidR="005F652A" w:rsidRPr="0000740E" w:rsidRDefault="00C01653" w:rsidP="00F50A60">
      <w:pPr>
        <w:spacing w:after="0" w:line="360" w:lineRule="auto"/>
        <w:ind w:firstLine="708"/>
        <w:jc w:val="both"/>
        <w:rPr>
          <w:rFonts w:ascii="Times New Roman" w:eastAsia="Times New Roman" w:hAnsi="Times New Roman" w:cs="Times New Roman"/>
          <w:sz w:val="24"/>
          <w:szCs w:val="24"/>
          <w:lang w:eastAsia="es-MX"/>
        </w:rPr>
      </w:pPr>
      <w:r w:rsidRPr="0000740E">
        <w:rPr>
          <w:rFonts w:ascii="Times New Roman" w:eastAsia="Times New Roman" w:hAnsi="Times New Roman" w:cs="Times New Roman"/>
          <w:sz w:val="24"/>
          <w:szCs w:val="24"/>
          <w:lang w:eastAsia="es-MX"/>
        </w:rPr>
        <w:t xml:space="preserve">Además, persisten resistencias culturales </w:t>
      </w:r>
      <w:r w:rsidR="005F652A" w:rsidRPr="0000740E">
        <w:rPr>
          <w:rFonts w:ascii="Times New Roman" w:eastAsia="Times New Roman" w:hAnsi="Times New Roman" w:cs="Times New Roman"/>
          <w:sz w:val="24"/>
          <w:szCs w:val="24"/>
          <w:lang w:eastAsia="es-MX"/>
        </w:rPr>
        <w:t>y resistencias a las organizaciones al cambio, especialmente para los casos de contratación pública en donde hábitos administrativos y normatividad tradicional suelen preceder a enfoques más estratégicos y colaborativos. Esto entorpece la implementación de prácticas como las técnicas de planificación logística fundamentadas en la demanda, el análisis del ciclo de vida de los activos o el almacenamiento orientado al cumplimiento de indicadores de rendimiento. Desde una óptica de contable y financiera, las NIF tienen serios problemas para lograr su implementación con unas prestaciones técnicas del lado del personal operativo muy deficientes en el uso de las herramientas contables que éstas determinan. En efecto, las NIF no hacen sino indicar cuáles son las reglas para seguir para la realización del libro, de la valuación y de la presentación de la información financiera y públicos, pero su aplicación implica una transformación de fondo de los sistemas de contabilidad gubernamental y de la gestión de los recursos humanos. Se origina así un desajuste entre lo que se informa y la realidad formativa, una desinformación que repercute negativamente en la rendición de cuentas y en la toma de decisiones apoyada en evidencias.</w:t>
      </w:r>
    </w:p>
    <w:p w14:paraId="0597058D" w14:textId="1E7C9B5F" w:rsidR="004918E3" w:rsidRPr="0000740E" w:rsidRDefault="004A4BC5" w:rsidP="00DB1274">
      <w:pPr>
        <w:spacing w:after="0" w:line="360" w:lineRule="auto"/>
        <w:jc w:val="both"/>
        <w:rPr>
          <w:rFonts w:ascii="Times New Roman" w:eastAsia="Times New Roman" w:hAnsi="Times New Roman" w:cs="Times New Roman"/>
          <w:b/>
          <w:bCs/>
          <w:color w:val="0D0D0D"/>
          <w:sz w:val="24"/>
          <w:szCs w:val="24"/>
          <w:lang w:eastAsia="es-MX"/>
        </w:rPr>
      </w:pPr>
      <w:r w:rsidRPr="0000740E">
        <w:rPr>
          <w:rFonts w:ascii="Times New Roman" w:eastAsia="Times New Roman" w:hAnsi="Times New Roman" w:cs="Times New Roman"/>
          <w:sz w:val="24"/>
          <w:szCs w:val="24"/>
          <w:lang w:eastAsia="es-MX"/>
        </w:rPr>
        <w:t xml:space="preserve">Aun cuando este trabajo se enmarca en un enfoque teórico-normativo, es importante reconocer que existen esfuerzos institucionales que han sido documentados y que pueden fortalecer la validez empírica de futuras investigaciones. Por ejemplo, plataformas como Compranet, así como los informes de la Auditoría Superior de la Federación y los registros del Instituto Nacional de Transparencia, Acceso a la Información y Protección de Datos Personales, ponen a disposición información pública sobre procesos de contratación, desempeño logístico y administración de </w:t>
      </w:r>
      <w:r w:rsidRPr="0000740E">
        <w:rPr>
          <w:rFonts w:ascii="Times New Roman" w:eastAsia="Times New Roman" w:hAnsi="Times New Roman" w:cs="Times New Roman"/>
          <w:sz w:val="24"/>
          <w:szCs w:val="24"/>
          <w:lang w:eastAsia="es-MX"/>
        </w:rPr>
        <w:lastRenderedPageBreak/>
        <w:t>inventarios públicos (ASF, 2022; INAI, 2022). De manera exploratoria, convendría examinar si algunas entidades federativas han incorporado criterios del Costo Total de Propiedad (TCP) en sus adquisiciones, o si existen datos sistematizados sobre eficiencia logística en almacenes de insumos médicos, escolares o de obra pública. Incorporar estos elementos en investigaciones futuras permitiría contrastar las propuestas normativas con la realidad operativa y evaluar con mayor precisión los avances y obstáculos en la adopción de los principios de la Nueva Gestión Pública y las Normas de Información Financiera.</w:t>
      </w:r>
    </w:p>
    <w:p w14:paraId="72EB9449" w14:textId="2D614B21" w:rsidR="0088737C" w:rsidRDefault="00444C78" w:rsidP="00F50A60">
      <w:pPr>
        <w:widowControl w:val="0"/>
        <w:spacing w:after="0" w:line="360" w:lineRule="auto"/>
        <w:ind w:firstLine="708"/>
        <w:jc w:val="both"/>
        <w:rPr>
          <w:rFonts w:ascii="Times New Roman" w:eastAsia="Times New Roman" w:hAnsi="Times New Roman" w:cs="Times New Roman"/>
          <w:color w:val="0D0D0D"/>
          <w:sz w:val="24"/>
          <w:szCs w:val="24"/>
          <w:lang w:eastAsia="es-MX"/>
        </w:rPr>
      </w:pPr>
      <w:r>
        <w:rPr>
          <w:rFonts w:ascii="Times New Roman" w:eastAsia="Times New Roman" w:hAnsi="Times New Roman" w:cs="Times New Roman"/>
          <w:color w:val="0D0D0D"/>
          <w:sz w:val="24"/>
          <w:szCs w:val="24"/>
          <w:lang w:eastAsia="es-MX"/>
        </w:rPr>
        <w:t>El objetivo de esta investigación es a</w:t>
      </w:r>
      <w:r w:rsidR="0088737C" w:rsidRPr="0000740E">
        <w:rPr>
          <w:rFonts w:ascii="Times New Roman" w:eastAsia="Times New Roman" w:hAnsi="Times New Roman" w:cs="Times New Roman"/>
          <w:color w:val="0D0D0D"/>
          <w:sz w:val="24"/>
          <w:szCs w:val="24"/>
          <w:lang w:eastAsia="es-MX"/>
        </w:rPr>
        <w:t>nalizar el potencial de mejora en la administración pública mexicana a partir de la implementación de prácticas eficientes de gestión de la cadena de suministro, fundamentadas en la Teoría del Costo Total de Propiedad (TCP), la gestión de relaciones con proveedores (SRM), el diseño eficiente de almacenes y la mejora en la satisfacción ciudadana, bajo el marco de la Nueva Gestión Pública (NGP) y en conformidad con las Normas de Información Financiera (NIF).</w:t>
      </w:r>
    </w:p>
    <w:p w14:paraId="4120A68F" w14:textId="77777777" w:rsidR="00F50A60" w:rsidRPr="0000740E" w:rsidRDefault="00F50A60" w:rsidP="00F50A60">
      <w:pPr>
        <w:widowControl w:val="0"/>
        <w:spacing w:after="0" w:line="360" w:lineRule="auto"/>
        <w:ind w:firstLine="708"/>
        <w:jc w:val="both"/>
        <w:rPr>
          <w:rFonts w:ascii="Times New Roman" w:eastAsia="Times New Roman" w:hAnsi="Times New Roman" w:cs="Times New Roman"/>
          <w:color w:val="0D0D0D"/>
          <w:sz w:val="24"/>
          <w:szCs w:val="24"/>
          <w:lang w:eastAsia="es-MX"/>
        </w:rPr>
      </w:pPr>
    </w:p>
    <w:p w14:paraId="0DBC978A" w14:textId="1A63C92E" w:rsidR="004918E3" w:rsidRPr="0000740E" w:rsidRDefault="00444C78"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3. </w:t>
      </w:r>
      <w:r w:rsidR="004918E3" w:rsidRPr="0000740E">
        <w:rPr>
          <w:rFonts w:ascii="Times New Roman" w:eastAsia="Times New Roman" w:hAnsi="Times New Roman" w:cs="Times New Roman"/>
          <w:b/>
          <w:bCs/>
          <w:color w:val="0D0D0D"/>
          <w:sz w:val="24"/>
          <w:szCs w:val="24"/>
          <w:lang w:eastAsia="es-MX"/>
        </w:rPr>
        <w:t xml:space="preserve">Metodología </w:t>
      </w:r>
    </w:p>
    <w:p w14:paraId="57F6F57C" w14:textId="77777777" w:rsidR="00F50A60" w:rsidRDefault="00F50A60" w:rsidP="000F5BE7">
      <w:pPr>
        <w:widowControl w:val="0"/>
        <w:spacing w:after="0" w:line="360" w:lineRule="auto"/>
        <w:jc w:val="both"/>
        <w:rPr>
          <w:rFonts w:ascii="Times New Roman" w:eastAsia="Times New Roman" w:hAnsi="Times New Roman" w:cs="Times New Roman"/>
          <w:color w:val="0D0D0D"/>
          <w:sz w:val="24"/>
          <w:szCs w:val="24"/>
          <w:lang w:eastAsia="es-MX"/>
        </w:rPr>
      </w:pPr>
    </w:p>
    <w:p w14:paraId="5D81F76F" w14:textId="66153DF6" w:rsidR="004B683B" w:rsidRPr="0000740E" w:rsidRDefault="004B683B" w:rsidP="000F5BE7">
      <w:pPr>
        <w:widowControl w:val="0"/>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La metodología utilizada en este trabajo es la revisión literatura la cual integra, adhiere y aplica los principios teóricos –normativos encontrados en un ámbito determinado el cual en este caso se refiere a la gestión de la cadena de suministro encuadrada en los postulados de la Nueva Gestión Pública (NGP) en México en tanto que incorpora el componente del análisis de las Normas de Información Financiera (NIF). Con ayuda de la metodología de revisión literatura podremos sintetizar los conocimientos teóricos y normativos a prácticas de gestión pública para tener un análisis más profundo y detallado y fundamentado de cómo estas prácticas puedan contribuir a la eficiencia, a la transparencia y a la rendición de cuentas de la gestión pública; enseguida expondremos los pasos que aportan al análisis de las variables.</w:t>
      </w:r>
    </w:p>
    <w:p w14:paraId="785E14E6" w14:textId="77777777" w:rsidR="00DB1274"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p>
    <w:p w14:paraId="218C5FB8" w14:textId="5DAAB13B" w:rsidR="00625039"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3.1. </w:t>
      </w:r>
      <w:r w:rsidR="00625039" w:rsidRPr="0000740E">
        <w:rPr>
          <w:rFonts w:ascii="Times New Roman" w:eastAsia="Times New Roman" w:hAnsi="Times New Roman" w:cs="Times New Roman"/>
          <w:b/>
          <w:bCs/>
          <w:color w:val="0D0D0D"/>
          <w:sz w:val="24"/>
          <w:szCs w:val="24"/>
          <w:lang w:eastAsia="es-MX"/>
        </w:rPr>
        <w:t>Paso</w:t>
      </w:r>
      <w:r w:rsidR="004B683B" w:rsidRPr="0000740E">
        <w:rPr>
          <w:rFonts w:ascii="Times New Roman" w:eastAsia="Times New Roman" w:hAnsi="Times New Roman" w:cs="Times New Roman"/>
          <w:b/>
          <w:bCs/>
          <w:color w:val="0D0D0D"/>
          <w:sz w:val="24"/>
          <w:szCs w:val="24"/>
          <w:lang w:eastAsia="es-MX"/>
        </w:rPr>
        <w:t>s</w:t>
      </w:r>
    </w:p>
    <w:p w14:paraId="67A5CAD0" w14:textId="77777777" w:rsidR="00DB1274" w:rsidRPr="0000740E"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p>
    <w:p w14:paraId="149741E5" w14:textId="532B7A48" w:rsidR="004B683B" w:rsidRPr="0000740E" w:rsidRDefault="004B683B" w:rsidP="00DB1274">
      <w:pPr>
        <w:pStyle w:val="Prrafodelista"/>
        <w:widowControl w:val="0"/>
        <w:numPr>
          <w:ilvl w:val="0"/>
          <w:numId w:val="4"/>
        </w:numPr>
        <w:spacing w:after="0" w:line="360" w:lineRule="auto"/>
        <w:ind w:left="270" w:hanging="207"/>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Identificación de Variables Clave: Cuatro variables fundamentales de la gestión de cadena de suministro fueron elegidas: Compras y la Teoría del Costo Total de Propiedad (TCP), Logística de Entrada y Gestión de Relaciones con Proveedores, Almacenaje de Materiales y la </w:t>
      </w:r>
      <w:r w:rsidRPr="0000740E">
        <w:rPr>
          <w:rFonts w:ascii="Times New Roman" w:eastAsia="Times New Roman" w:hAnsi="Times New Roman" w:cs="Times New Roman"/>
          <w:color w:val="0D0D0D"/>
          <w:sz w:val="24"/>
          <w:szCs w:val="24"/>
          <w:lang w:eastAsia="es-MX"/>
        </w:rPr>
        <w:lastRenderedPageBreak/>
        <w:t xml:space="preserve">Importancia del Diseño Eficiente, Almacenaje de Productos Terminados y Satisfacción Ciudadana, teniendo en cuenta su relevancia sobre la eficiencia operativa y la satisfacción del cliente o ciudadanía. </w:t>
      </w:r>
    </w:p>
    <w:p w14:paraId="4D692E13" w14:textId="0EF08974" w:rsidR="004B683B" w:rsidRPr="0000740E" w:rsidRDefault="004B683B" w:rsidP="00DB1274">
      <w:pPr>
        <w:pStyle w:val="Prrafodelista"/>
        <w:widowControl w:val="0"/>
        <w:numPr>
          <w:ilvl w:val="0"/>
          <w:numId w:val="4"/>
        </w:numPr>
        <w:spacing w:after="0" w:line="360" w:lineRule="auto"/>
        <w:ind w:left="270"/>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Revisión de la Literatura y Normativa: Se llevó a cabo una revisión de la literatura académica y de las Normas de Información Financiera relacionadas para poder proporcionar un marco teórico pero también normativo, el cual incluyó consultar fuentes como artículos de investigación, libros o documentos oficiales de las NIF emitidos por el Consejo Mexicano de Normas de Información Financiera. </w:t>
      </w:r>
    </w:p>
    <w:p w14:paraId="03BD3F3E" w14:textId="427DB9AF" w:rsidR="004B683B" w:rsidRPr="0000740E" w:rsidRDefault="004B683B" w:rsidP="00DB1274">
      <w:pPr>
        <w:pStyle w:val="Prrafodelista"/>
        <w:widowControl w:val="0"/>
        <w:numPr>
          <w:ilvl w:val="0"/>
          <w:numId w:val="4"/>
        </w:numPr>
        <w:spacing w:after="0" w:line="360" w:lineRule="auto"/>
        <w:ind w:left="270"/>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Análisis Integrativo: Se llevó a cabo la integración de los hallazgos teóricos y normativos de cada una de las variables para evaluar la importancia igual que cómo estaban relacionados con los principios de la NGP junto al apego a las NIF. Así, se pudo llevar a cabo el análisis de cómo las prácticas de la gestión de la cadena de suministro podían estar alineadas con los objetivos de eficiencia, transparencia y rendición de cuentas del sector público mexicano. </w:t>
      </w:r>
    </w:p>
    <w:p w14:paraId="3FD9B287" w14:textId="022E69DD" w:rsidR="004B683B" w:rsidRDefault="004B683B" w:rsidP="00DB1274">
      <w:pPr>
        <w:pStyle w:val="Prrafodelista"/>
        <w:widowControl w:val="0"/>
        <w:numPr>
          <w:ilvl w:val="0"/>
          <w:numId w:val="4"/>
        </w:numPr>
        <w:spacing w:after="0" w:line="360" w:lineRule="auto"/>
        <w:ind w:left="270"/>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Síntesis y Aplicación: La información y el análisis llevados a cabo se sintetizaron para proporcionar una visión integral, que sugiere contribuir con los objetivos de la NGP y su cumplimiento de las NIF. Esto implicó una evaluación de cómo la implementación de estas prácticas podría mejorar la gestión publica. </w:t>
      </w:r>
    </w:p>
    <w:p w14:paraId="499FFA6F" w14:textId="77777777" w:rsidR="00444C78" w:rsidRPr="0000740E" w:rsidRDefault="00444C78" w:rsidP="00DB1274">
      <w:pPr>
        <w:pStyle w:val="Prrafodelista"/>
        <w:widowControl w:val="0"/>
        <w:spacing w:after="0" w:line="360" w:lineRule="auto"/>
        <w:ind w:left="1287"/>
        <w:jc w:val="both"/>
        <w:rPr>
          <w:rFonts w:ascii="Times New Roman" w:eastAsia="Times New Roman" w:hAnsi="Times New Roman" w:cs="Times New Roman"/>
          <w:color w:val="0D0D0D"/>
          <w:sz w:val="24"/>
          <w:szCs w:val="24"/>
          <w:lang w:eastAsia="es-MX"/>
        </w:rPr>
      </w:pPr>
    </w:p>
    <w:p w14:paraId="6600B653" w14:textId="088BECA3" w:rsidR="004918E3" w:rsidRPr="0000740E" w:rsidRDefault="00444C78"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4. Resultados</w:t>
      </w:r>
      <w:r w:rsidR="004918E3" w:rsidRPr="0000740E">
        <w:rPr>
          <w:rFonts w:ascii="Times New Roman" w:eastAsia="Times New Roman" w:hAnsi="Times New Roman" w:cs="Times New Roman"/>
          <w:b/>
          <w:bCs/>
          <w:color w:val="0D0D0D"/>
          <w:sz w:val="24"/>
          <w:szCs w:val="24"/>
          <w:lang w:eastAsia="es-MX"/>
        </w:rPr>
        <w:t xml:space="preserve"> </w:t>
      </w:r>
    </w:p>
    <w:p w14:paraId="29E77FC1" w14:textId="77777777" w:rsidR="00F50A60" w:rsidRDefault="00F50A60" w:rsidP="000F5BE7">
      <w:pPr>
        <w:widowControl w:val="0"/>
        <w:spacing w:after="0" w:line="360" w:lineRule="auto"/>
        <w:jc w:val="both"/>
        <w:rPr>
          <w:rFonts w:ascii="Times New Roman" w:eastAsia="Times New Roman" w:hAnsi="Times New Roman" w:cs="Times New Roman"/>
          <w:color w:val="0D0D0D"/>
          <w:sz w:val="24"/>
          <w:szCs w:val="24"/>
          <w:lang w:eastAsia="es-MX"/>
        </w:rPr>
      </w:pPr>
    </w:p>
    <w:p w14:paraId="07BE70A9" w14:textId="63009F2D" w:rsidR="008F2C83" w:rsidRPr="0000740E" w:rsidRDefault="00A4573A" w:rsidP="000F5BE7">
      <w:pPr>
        <w:widowControl w:val="0"/>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El </w:t>
      </w:r>
      <w:r w:rsidR="00625039" w:rsidRPr="0000740E">
        <w:rPr>
          <w:rFonts w:ascii="Times New Roman" w:eastAsia="Times New Roman" w:hAnsi="Times New Roman" w:cs="Times New Roman"/>
          <w:color w:val="0D0D0D"/>
          <w:sz w:val="24"/>
          <w:szCs w:val="24"/>
          <w:lang w:eastAsia="es-MX"/>
        </w:rPr>
        <w:t>análisis de</w:t>
      </w:r>
      <w:r w:rsidRPr="0000740E">
        <w:rPr>
          <w:rFonts w:ascii="Times New Roman" w:eastAsia="Times New Roman" w:hAnsi="Times New Roman" w:cs="Times New Roman"/>
          <w:color w:val="0D0D0D"/>
          <w:sz w:val="24"/>
          <w:szCs w:val="24"/>
          <w:lang w:eastAsia="es-MX"/>
        </w:rPr>
        <w:t xml:space="preserve"> la gestión de la cadena de suministro en el contexto de la Nueva Gestión Pública (NGP) en México, con un enfoque en las Normas de Información Financiera (NIF), revela cómo prácticas específicas pueden mejorar la eficiencia, la transparencia y la rendición de cuentas en el sector público</w:t>
      </w:r>
      <w:r w:rsidR="00653FD4" w:rsidRPr="0000740E">
        <w:rPr>
          <w:rFonts w:ascii="Times New Roman" w:eastAsia="Times New Roman" w:hAnsi="Times New Roman" w:cs="Times New Roman"/>
          <w:color w:val="0D0D0D"/>
          <w:sz w:val="24"/>
          <w:szCs w:val="24"/>
          <w:lang w:eastAsia="es-MX"/>
        </w:rPr>
        <w:t>, observado en la tabla 2</w:t>
      </w:r>
      <w:r w:rsidRPr="0000740E">
        <w:rPr>
          <w:rFonts w:ascii="Times New Roman" w:eastAsia="Times New Roman" w:hAnsi="Times New Roman" w:cs="Times New Roman"/>
          <w:color w:val="0D0D0D"/>
          <w:sz w:val="24"/>
          <w:szCs w:val="24"/>
          <w:lang w:eastAsia="es-MX"/>
        </w:rPr>
        <w:t>.</w:t>
      </w:r>
    </w:p>
    <w:p w14:paraId="7E09CFA0" w14:textId="77777777" w:rsidR="00F50A60" w:rsidRDefault="00F50A60" w:rsidP="00F50A60">
      <w:pPr>
        <w:pStyle w:val="Descripcin"/>
        <w:keepNext/>
        <w:spacing w:after="0"/>
        <w:rPr>
          <w:rFonts w:ascii="Times New Roman" w:hAnsi="Times New Roman" w:cs="Times New Roman"/>
          <w:b/>
          <w:i w:val="0"/>
          <w:color w:val="auto"/>
          <w:sz w:val="24"/>
        </w:rPr>
      </w:pPr>
    </w:p>
    <w:p w14:paraId="65F00AE9" w14:textId="5EBC6F61" w:rsidR="005D313F" w:rsidRPr="00DB1274" w:rsidRDefault="00653FD4" w:rsidP="00807E3E">
      <w:pPr>
        <w:pStyle w:val="Descripcin"/>
        <w:keepNext/>
        <w:spacing w:after="0"/>
        <w:jc w:val="center"/>
        <w:rPr>
          <w:rFonts w:ascii="Times New Roman" w:hAnsi="Times New Roman" w:cs="Times New Roman"/>
          <w:bCs/>
          <w:i w:val="0"/>
          <w:color w:val="auto"/>
          <w:sz w:val="20"/>
          <w:szCs w:val="20"/>
        </w:rPr>
      </w:pPr>
      <w:r w:rsidRPr="00807E3E">
        <w:rPr>
          <w:rFonts w:ascii="Times New Roman" w:hAnsi="Times New Roman" w:cs="Times New Roman"/>
          <w:b/>
          <w:bCs/>
          <w:i w:val="0"/>
          <w:color w:val="auto"/>
          <w:sz w:val="20"/>
          <w:szCs w:val="20"/>
        </w:rPr>
        <w:t>Tabla</w:t>
      </w:r>
      <w:r w:rsidR="00141160" w:rsidRPr="00807E3E">
        <w:rPr>
          <w:rFonts w:ascii="Times New Roman" w:hAnsi="Times New Roman" w:cs="Times New Roman"/>
          <w:b/>
          <w:bCs/>
          <w:i w:val="0"/>
          <w:color w:val="auto"/>
          <w:sz w:val="20"/>
          <w:szCs w:val="20"/>
        </w:rPr>
        <w:t xml:space="preserve"> 2</w:t>
      </w:r>
      <w:r w:rsidR="00F5350D" w:rsidRPr="00807E3E">
        <w:rPr>
          <w:rFonts w:ascii="Times New Roman" w:hAnsi="Times New Roman" w:cs="Times New Roman"/>
          <w:b/>
          <w:bCs/>
          <w:i w:val="0"/>
          <w:color w:val="auto"/>
          <w:sz w:val="20"/>
          <w:szCs w:val="20"/>
        </w:rPr>
        <w:t>.</w:t>
      </w:r>
      <w:r w:rsidR="005D313F" w:rsidRPr="00DB1274">
        <w:rPr>
          <w:rFonts w:ascii="Times New Roman" w:hAnsi="Times New Roman" w:cs="Times New Roman"/>
          <w:bCs/>
          <w:i w:val="0"/>
          <w:color w:val="auto"/>
          <w:sz w:val="20"/>
          <w:szCs w:val="20"/>
        </w:rPr>
        <w:t xml:space="preserve"> </w:t>
      </w:r>
      <w:r w:rsidR="00F5350D" w:rsidRPr="00DB1274">
        <w:rPr>
          <w:rFonts w:ascii="Times New Roman" w:hAnsi="Times New Roman" w:cs="Times New Roman"/>
          <w:bCs/>
          <w:i w:val="0"/>
          <w:color w:val="auto"/>
          <w:sz w:val="20"/>
          <w:szCs w:val="20"/>
        </w:rPr>
        <w:t>Relación entre la adopción de principios de la Nueva Gestión Pública (NGP) alineados con las Normas de Información Financiera (NIF) para mejorar la eficiencia del sector público</w:t>
      </w:r>
    </w:p>
    <w:tbl>
      <w:tblPr>
        <w:tblStyle w:val="Tabladecuadrcula6concolores"/>
        <w:tblpPr w:leftFromText="141" w:rightFromText="141" w:vertAnchor="text" w:tblpY="320"/>
        <w:tblW w:w="8926" w:type="dxa"/>
        <w:tblLook w:val="04A0" w:firstRow="1" w:lastRow="0" w:firstColumn="1" w:lastColumn="0" w:noHBand="0" w:noVBand="1"/>
      </w:tblPr>
      <w:tblGrid>
        <w:gridCol w:w="1793"/>
        <w:gridCol w:w="1888"/>
        <w:gridCol w:w="2693"/>
        <w:gridCol w:w="2552"/>
      </w:tblGrid>
      <w:tr w:rsidR="004918E3" w:rsidRPr="0000740E" w14:paraId="43B2718A" w14:textId="77777777" w:rsidTr="00A45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6EA89" w14:textId="77777777" w:rsidR="004918E3" w:rsidRPr="0000740E" w:rsidRDefault="004918E3" w:rsidP="00F7323D">
            <w:pPr>
              <w:widowControl w:val="0"/>
              <w:jc w:val="center"/>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Variable</w:t>
            </w:r>
          </w:p>
        </w:tc>
        <w:tc>
          <w:tcPr>
            <w:tcW w:w="1888" w:type="dxa"/>
            <w:vAlign w:val="center"/>
            <w:hideMark/>
          </w:tcPr>
          <w:p w14:paraId="1400828F" w14:textId="77777777" w:rsidR="004918E3" w:rsidRPr="0000740E" w:rsidRDefault="004918E3"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Importancia</w:t>
            </w:r>
          </w:p>
        </w:tc>
        <w:tc>
          <w:tcPr>
            <w:tcW w:w="2693" w:type="dxa"/>
            <w:vAlign w:val="center"/>
            <w:hideMark/>
          </w:tcPr>
          <w:p w14:paraId="729D53EE" w14:textId="77777777" w:rsidR="004918E3" w:rsidRPr="0000740E" w:rsidRDefault="004918E3"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Relación con la NGP</w:t>
            </w:r>
          </w:p>
        </w:tc>
        <w:tc>
          <w:tcPr>
            <w:tcW w:w="2552" w:type="dxa"/>
            <w:vAlign w:val="center"/>
            <w:hideMark/>
          </w:tcPr>
          <w:p w14:paraId="18A9C334" w14:textId="77777777" w:rsidR="004918E3" w:rsidRPr="0000740E" w:rsidRDefault="004918E3"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Apego a las NIF</w:t>
            </w:r>
          </w:p>
        </w:tc>
      </w:tr>
      <w:tr w:rsidR="004918E3" w:rsidRPr="0000740E" w14:paraId="3A3C49DA" w14:textId="77777777" w:rsidTr="00DB1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FBA9832" w14:textId="77777777" w:rsidR="004918E3" w:rsidRPr="00B82429" w:rsidRDefault="004918E3" w:rsidP="00F7323D">
            <w:pPr>
              <w:widowControl w:val="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Compras y la Teoría del Costo Total de Propiedad (TCP)</w:t>
            </w:r>
          </w:p>
        </w:tc>
        <w:tc>
          <w:tcPr>
            <w:tcW w:w="1888" w:type="dxa"/>
            <w:shd w:val="clear" w:color="auto" w:fill="auto"/>
            <w:vAlign w:val="center"/>
            <w:hideMark/>
          </w:tcPr>
          <w:p w14:paraId="246D8092" w14:textId="77777777" w:rsidR="004918E3" w:rsidRPr="00B82429"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Evalúa todos los costos asociados con la adquisición, uso y disposición de bienes y servicios, más allá del precio de compra inicial.</w:t>
            </w:r>
          </w:p>
        </w:tc>
        <w:tc>
          <w:tcPr>
            <w:tcW w:w="2693" w:type="dxa"/>
            <w:shd w:val="clear" w:color="auto" w:fill="auto"/>
            <w:vAlign w:val="center"/>
            <w:hideMark/>
          </w:tcPr>
          <w:p w14:paraId="17EA22AE" w14:textId="53A9CAE1" w:rsidR="004918E3" w:rsidRPr="00B82429"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 xml:space="preserve">Promueve la eficiencia y la optimización de recursos al considerar el costo total de propiedad, </w:t>
            </w:r>
            <w:r w:rsidR="00BF6761" w:rsidRPr="00B82429">
              <w:rPr>
                <w:rFonts w:ascii="Times New Roman" w:eastAsia="Times New Roman" w:hAnsi="Times New Roman" w:cs="Times New Roman"/>
                <w:color w:val="0D0D0D"/>
                <w:sz w:val="20"/>
                <w:szCs w:val="20"/>
                <w:lang w:eastAsia="es-MX"/>
              </w:rPr>
              <w:t>alineados</w:t>
            </w:r>
            <w:r w:rsidRPr="00B82429">
              <w:rPr>
                <w:rFonts w:ascii="Times New Roman" w:eastAsia="Times New Roman" w:hAnsi="Times New Roman" w:cs="Times New Roman"/>
                <w:color w:val="0D0D0D"/>
                <w:sz w:val="20"/>
                <w:szCs w:val="20"/>
                <w:lang w:eastAsia="es-MX"/>
              </w:rPr>
              <w:t xml:space="preserve"> con la transparencia y la gestión financiera responsable.</w:t>
            </w:r>
          </w:p>
        </w:tc>
        <w:tc>
          <w:tcPr>
            <w:tcW w:w="2552" w:type="dxa"/>
            <w:shd w:val="clear" w:color="auto" w:fill="auto"/>
            <w:vAlign w:val="center"/>
            <w:hideMark/>
          </w:tcPr>
          <w:p w14:paraId="0C412530" w14:textId="434DFCE4" w:rsidR="004918E3" w:rsidRPr="00B82429" w:rsidRDefault="004B683B"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 xml:space="preserve">Se vinculan directamente con la NIF C-2 "Instrumentos Financieros por Pagar" y con la NIF C-6 "Propiedades, Planta y Equipo", en la medida en que implica, el </w:t>
            </w:r>
            <w:r w:rsidRPr="00B82429">
              <w:rPr>
                <w:rFonts w:ascii="Times New Roman" w:eastAsia="Times New Roman" w:hAnsi="Times New Roman" w:cs="Times New Roman"/>
                <w:color w:val="0D0D0D"/>
                <w:sz w:val="20"/>
                <w:szCs w:val="20"/>
                <w:lang w:eastAsia="es-MX"/>
              </w:rPr>
              <w:lastRenderedPageBreak/>
              <w:t>reconocimiento y valoración de los costos, de la adquisición y los costos posteriores (Consejo Mexicano de Normas de Información Financiera, 2018a; 2018b).</w:t>
            </w:r>
          </w:p>
        </w:tc>
      </w:tr>
      <w:tr w:rsidR="004918E3" w:rsidRPr="0000740E" w14:paraId="5D0E2292" w14:textId="77777777" w:rsidTr="00DB127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E9F881" w14:textId="77777777" w:rsidR="004918E3" w:rsidRPr="00B82429" w:rsidRDefault="004918E3" w:rsidP="00F7323D">
            <w:pPr>
              <w:widowControl w:val="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lastRenderedPageBreak/>
              <w:t>Logística de Entrada y Gestión de Relaciones con Proveedores (SRM)</w:t>
            </w:r>
          </w:p>
        </w:tc>
        <w:tc>
          <w:tcPr>
            <w:tcW w:w="1888" w:type="dxa"/>
            <w:vAlign w:val="center"/>
            <w:hideMark/>
          </w:tcPr>
          <w:p w14:paraId="6BEF2B34" w14:textId="77777777" w:rsidR="004918E3" w:rsidRPr="00B82429" w:rsidRDefault="004918E3"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Incluye actividades de adquisición de materiales, almacenamiento y transporte, enfocándose en la eficiencia de la cadena de suministro.</w:t>
            </w:r>
          </w:p>
        </w:tc>
        <w:tc>
          <w:tcPr>
            <w:tcW w:w="2693" w:type="dxa"/>
            <w:vAlign w:val="center"/>
            <w:hideMark/>
          </w:tcPr>
          <w:p w14:paraId="51594886" w14:textId="3FDFA2BE" w:rsidR="004918E3" w:rsidRPr="00B82429" w:rsidRDefault="004B683B"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Una buena gestión de relaciones con proveedores favorece un mejor entendimiento y ahorra costos y plazos de entrega, pilar de la óptima prestación de los servicios públicos.</w:t>
            </w:r>
          </w:p>
        </w:tc>
        <w:tc>
          <w:tcPr>
            <w:tcW w:w="2552" w:type="dxa"/>
            <w:vAlign w:val="center"/>
            <w:hideMark/>
          </w:tcPr>
          <w:p w14:paraId="69402667" w14:textId="726BF02D" w:rsidR="004918E3" w:rsidRPr="00B82429" w:rsidRDefault="004B683B"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Significa el uso de la NIF C-2 "Instrumentos Financieros por Pagar", para operar con las obligaciones frente a proveedores, de forma que se garantice una correcta administración de las cuentas por pagar (Consejo Mexicano de Normas de Información Financiera, 2018a).</w:t>
            </w:r>
          </w:p>
        </w:tc>
      </w:tr>
      <w:tr w:rsidR="004918E3" w:rsidRPr="0000740E" w14:paraId="251BE447" w14:textId="77777777" w:rsidTr="00DB1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2511D20" w14:textId="77777777" w:rsidR="004918E3" w:rsidRPr="00B82429" w:rsidRDefault="004918E3" w:rsidP="00F7323D">
            <w:pPr>
              <w:widowControl w:val="0"/>
              <w:rPr>
                <w:rFonts w:ascii="Times New Roman" w:eastAsia="Times New Roman" w:hAnsi="Times New Roman" w:cs="Times New Roman"/>
                <w:b w:val="0"/>
                <w:bCs w:val="0"/>
                <w:color w:val="0D0D0D"/>
                <w:sz w:val="20"/>
                <w:szCs w:val="20"/>
                <w:lang w:eastAsia="es-MX"/>
              </w:rPr>
            </w:pPr>
            <w:r w:rsidRPr="00B82429">
              <w:rPr>
                <w:rFonts w:ascii="Times New Roman" w:eastAsia="Times New Roman" w:hAnsi="Times New Roman" w:cs="Times New Roman"/>
                <w:color w:val="0D0D0D"/>
                <w:sz w:val="20"/>
                <w:szCs w:val="20"/>
                <w:lang w:eastAsia="es-MX"/>
              </w:rPr>
              <w:t>Almacenaje de Materiales y la Importancia del Diseño Eficiente</w:t>
            </w:r>
          </w:p>
        </w:tc>
        <w:tc>
          <w:tcPr>
            <w:tcW w:w="1888" w:type="dxa"/>
            <w:shd w:val="clear" w:color="auto" w:fill="auto"/>
            <w:vAlign w:val="center"/>
            <w:hideMark/>
          </w:tcPr>
          <w:p w14:paraId="7CD6FF2E" w14:textId="77777777" w:rsidR="004918E3" w:rsidRPr="00B82429"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Se enfoca en maximizar el uso del espacio de almacenamiento y asegurar la disponibilidad de insumos esenciales.</w:t>
            </w:r>
          </w:p>
        </w:tc>
        <w:tc>
          <w:tcPr>
            <w:tcW w:w="2693" w:type="dxa"/>
            <w:shd w:val="clear" w:color="auto" w:fill="auto"/>
            <w:vAlign w:val="center"/>
            <w:hideMark/>
          </w:tcPr>
          <w:p w14:paraId="5F088E82" w14:textId="1EC54628" w:rsidR="004918E3" w:rsidRPr="00B82429"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 xml:space="preserve">Un diseño eficiente de almacén contribuye a la reducción de costos y mejora la capacidad de respuesta del sector público, </w:t>
            </w:r>
            <w:r w:rsidR="00C73B6B" w:rsidRPr="00B82429">
              <w:rPr>
                <w:rFonts w:ascii="Times New Roman" w:eastAsia="Times New Roman" w:hAnsi="Times New Roman" w:cs="Times New Roman"/>
                <w:color w:val="0D0D0D"/>
                <w:sz w:val="20"/>
                <w:szCs w:val="20"/>
                <w:lang w:eastAsia="es-MX"/>
              </w:rPr>
              <w:t>lo que se alinea</w:t>
            </w:r>
            <w:r w:rsidRPr="00B82429">
              <w:rPr>
                <w:rFonts w:ascii="Times New Roman" w:eastAsia="Times New Roman" w:hAnsi="Times New Roman" w:cs="Times New Roman"/>
                <w:color w:val="0D0D0D"/>
                <w:sz w:val="20"/>
                <w:szCs w:val="20"/>
                <w:lang w:eastAsia="es-MX"/>
              </w:rPr>
              <w:t xml:space="preserve"> con los objetivos de eficiencia y efectividad de la NGP.</w:t>
            </w:r>
          </w:p>
        </w:tc>
        <w:tc>
          <w:tcPr>
            <w:tcW w:w="2552" w:type="dxa"/>
            <w:shd w:val="clear" w:color="auto" w:fill="auto"/>
            <w:vAlign w:val="center"/>
            <w:hideMark/>
          </w:tcPr>
          <w:p w14:paraId="664FF94D" w14:textId="77777777" w:rsidR="004918E3" w:rsidRPr="00B82429"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Corresponde a la NIF C-4 "Inventarios", que regula la valuación y presentación de los inventarios, un aspecto crucial para el almacenamiento eficiente de materiales (Consejo Mexicano de Normas de Información Financiera, 2018c).</w:t>
            </w:r>
          </w:p>
        </w:tc>
      </w:tr>
      <w:tr w:rsidR="004918E3" w:rsidRPr="0000740E" w14:paraId="1DDA6A41" w14:textId="77777777" w:rsidTr="00DB127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87D0EE" w14:textId="77777777" w:rsidR="004530D6" w:rsidRPr="00B82429" w:rsidRDefault="004530D6" w:rsidP="00F7323D">
            <w:pPr>
              <w:widowControl w:val="0"/>
              <w:rPr>
                <w:rFonts w:ascii="Times New Roman" w:eastAsia="Times New Roman" w:hAnsi="Times New Roman" w:cs="Times New Roman"/>
                <w:color w:val="0D0D0D"/>
                <w:sz w:val="20"/>
                <w:szCs w:val="20"/>
                <w:lang w:eastAsia="es-MX"/>
              </w:rPr>
            </w:pPr>
          </w:p>
          <w:p w14:paraId="7F04B081" w14:textId="77777777" w:rsidR="003321F1" w:rsidRPr="00B82429" w:rsidRDefault="003321F1" w:rsidP="00F7323D">
            <w:pPr>
              <w:widowControl w:val="0"/>
              <w:rPr>
                <w:rFonts w:ascii="Times New Roman" w:eastAsia="Times New Roman" w:hAnsi="Times New Roman" w:cs="Times New Roman"/>
                <w:color w:val="0D0D0D"/>
                <w:sz w:val="20"/>
                <w:szCs w:val="20"/>
                <w:lang w:eastAsia="es-MX"/>
              </w:rPr>
            </w:pPr>
          </w:p>
          <w:p w14:paraId="3A114173" w14:textId="52F43E3E" w:rsidR="004918E3" w:rsidRPr="00B82429" w:rsidRDefault="004918E3" w:rsidP="00F7323D">
            <w:pPr>
              <w:widowControl w:val="0"/>
              <w:rPr>
                <w:rFonts w:ascii="Times New Roman" w:eastAsia="Times New Roman" w:hAnsi="Times New Roman" w:cs="Times New Roman"/>
                <w:b w:val="0"/>
                <w:bCs w:val="0"/>
                <w:color w:val="0D0D0D"/>
                <w:sz w:val="20"/>
                <w:szCs w:val="20"/>
                <w:lang w:eastAsia="es-MX"/>
              </w:rPr>
            </w:pPr>
            <w:r w:rsidRPr="00B82429">
              <w:rPr>
                <w:rFonts w:ascii="Times New Roman" w:eastAsia="Times New Roman" w:hAnsi="Times New Roman" w:cs="Times New Roman"/>
                <w:color w:val="0D0D0D"/>
                <w:sz w:val="20"/>
                <w:szCs w:val="20"/>
                <w:lang w:eastAsia="es-MX"/>
              </w:rPr>
              <w:t>Almacenaje de Productos Terminados y la Satisfacción Ciudadan</w:t>
            </w:r>
            <w:r w:rsidR="00DD1934" w:rsidRPr="00B82429">
              <w:rPr>
                <w:rFonts w:ascii="Times New Roman" w:eastAsia="Times New Roman" w:hAnsi="Times New Roman" w:cs="Times New Roman"/>
                <w:color w:val="0D0D0D"/>
                <w:sz w:val="20"/>
                <w:szCs w:val="20"/>
                <w:lang w:eastAsia="es-MX"/>
              </w:rPr>
              <w:t>a</w:t>
            </w:r>
          </w:p>
        </w:tc>
        <w:tc>
          <w:tcPr>
            <w:tcW w:w="1888" w:type="dxa"/>
            <w:vAlign w:val="center"/>
            <w:hideMark/>
          </w:tcPr>
          <w:p w14:paraId="4308A175" w14:textId="77777777" w:rsidR="004918E3" w:rsidRPr="00B82429" w:rsidRDefault="004918E3"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Relacionado con la eficiencia en el almacenamiento y distribución de productos finales o la prestación de servicios.</w:t>
            </w:r>
          </w:p>
        </w:tc>
        <w:tc>
          <w:tcPr>
            <w:tcW w:w="2693" w:type="dxa"/>
            <w:vAlign w:val="center"/>
            <w:hideMark/>
          </w:tcPr>
          <w:p w14:paraId="3D26E6B0" w14:textId="641F3F32" w:rsidR="004918E3" w:rsidRPr="00B82429" w:rsidRDefault="004918E3"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 xml:space="preserve">La gestión </w:t>
            </w:r>
            <w:r w:rsidR="00BD7151" w:rsidRPr="00B82429">
              <w:rPr>
                <w:rFonts w:ascii="Times New Roman" w:eastAsia="Times New Roman" w:hAnsi="Times New Roman" w:cs="Times New Roman"/>
                <w:color w:val="0D0D0D"/>
                <w:sz w:val="20"/>
                <w:szCs w:val="20"/>
                <w:lang w:eastAsia="es-MX"/>
              </w:rPr>
              <w:t>eficiente garantiza la entrega de servicios a tiempo, y también mejora la satisfacción ciudadana, tal como lo requería la calidad y la responsabilidad de la NGP.</w:t>
            </w:r>
          </w:p>
        </w:tc>
        <w:tc>
          <w:tcPr>
            <w:tcW w:w="2552" w:type="dxa"/>
            <w:vAlign w:val="center"/>
            <w:hideMark/>
          </w:tcPr>
          <w:p w14:paraId="186CB7F8" w14:textId="1A1DB662" w:rsidR="004918E3" w:rsidRPr="00B82429" w:rsidRDefault="004918E3" w:rsidP="00F7323D">
            <w:pPr>
              <w:keepNext/>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B82429">
              <w:rPr>
                <w:rFonts w:ascii="Times New Roman" w:eastAsia="Times New Roman" w:hAnsi="Times New Roman" w:cs="Times New Roman"/>
                <w:color w:val="0D0D0D"/>
                <w:sz w:val="20"/>
                <w:szCs w:val="20"/>
                <w:lang w:eastAsia="es-MX"/>
              </w:rPr>
              <w:t>Aunque no hay una NIF específica para "productos terminados" en el sector público, la NIF C-4</w:t>
            </w:r>
            <w:r w:rsidRPr="00B82429">
              <w:rPr>
                <w:rFonts w:ascii="Times New Roman" w:eastAsia="Times New Roman" w:hAnsi="Times New Roman" w:cs="Times New Roman"/>
                <w:b/>
                <w:bCs/>
                <w:color w:val="0D0D0D"/>
                <w:sz w:val="20"/>
                <w:szCs w:val="20"/>
                <w:bdr w:val="single" w:sz="2" w:space="0" w:color="E3E3E3" w:frame="1"/>
                <w:lang w:eastAsia="es-MX"/>
              </w:rPr>
              <w:t xml:space="preserve"> </w:t>
            </w:r>
            <w:r w:rsidRPr="00B82429">
              <w:rPr>
                <w:rFonts w:ascii="Times New Roman" w:eastAsia="Times New Roman" w:hAnsi="Times New Roman" w:cs="Times New Roman"/>
                <w:color w:val="0D0D0D"/>
                <w:sz w:val="20"/>
                <w:szCs w:val="20"/>
                <w:lang w:eastAsia="es-MX"/>
              </w:rPr>
              <w:t xml:space="preserve">"Inventarios" </w:t>
            </w:r>
            <w:r w:rsidR="00BD7151" w:rsidRPr="00B82429">
              <w:rPr>
                <w:rFonts w:ascii="Times New Roman" w:eastAsia="Times New Roman" w:hAnsi="Times New Roman" w:cs="Times New Roman"/>
                <w:color w:val="0D0D0D"/>
                <w:sz w:val="20"/>
                <w:szCs w:val="20"/>
                <w:lang w:eastAsia="es-MX"/>
              </w:rPr>
              <w:t>puede resultar útil para su gestión haciendo énfasis en el carácter trascendente de la gestión eficiente y su reflejo en la información financiera (Consejo Mexicano de Normas de Información Financiera, 2018c).</w:t>
            </w:r>
          </w:p>
        </w:tc>
      </w:tr>
    </w:tbl>
    <w:p w14:paraId="7CA1B36E" w14:textId="77777777" w:rsidR="00444C78" w:rsidRPr="00F50A60" w:rsidRDefault="00444C78" w:rsidP="00444C78">
      <w:pPr>
        <w:pStyle w:val="Descripcin"/>
        <w:rPr>
          <w:rFonts w:ascii="Times New Roman" w:hAnsi="Times New Roman" w:cs="Times New Roman"/>
          <w:color w:val="auto"/>
          <w:sz w:val="20"/>
          <w:szCs w:val="20"/>
        </w:rPr>
      </w:pPr>
      <w:r w:rsidRPr="00DB1274">
        <w:rPr>
          <w:rFonts w:ascii="Times New Roman" w:hAnsi="Times New Roman" w:cs="Times New Roman"/>
          <w:i w:val="0"/>
          <w:color w:val="auto"/>
          <w:sz w:val="20"/>
          <w:szCs w:val="20"/>
        </w:rPr>
        <w:t>Fuente: Elaboración propia con base en Ellram y Siferd (1993), Consejo Mexicano de Normas de Información Financiera (2018a; 2018b) y autores claves de la NGP como los son Osborne (2010) y Perry (2010</w:t>
      </w:r>
      <w:r w:rsidRPr="00F50A60">
        <w:rPr>
          <w:rFonts w:ascii="Times New Roman" w:hAnsi="Times New Roman" w:cs="Times New Roman"/>
          <w:color w:val="auto"/>
          <w:sz w:val="20"/>
          <w:szCs w:val="20"/>
        </w:rPr>
        <w:t xml:space="preserve">). </w:t>
      </w:r>
    </w:p>
    <w:p w14:paraId="0D00487D" w14:textId="233CE4EA" w:rsidR="00F50A60" w:rsidRPr="00807E3E" w:rsidRDefault="00A4573A" w:rsidP="00807E3E">
      <w:pPr>
        <w:widowControl w:val="0"/>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Como podemos observar, </w:t>
      </w:r>
      <w:r w:rsidR="00BD7151" w:rsidRPr="0000740E">
        <w:rPr>
          <w:rFonts w:ascii="Times New Roman" w:eastAsia="Times New Roman" w:hAnsi="Times New Roman" w:cs="Times New Roman"/>
          <w:color w:val="0D0D0D"/>
          <w:sz w:val="24"/>
          <w:szCs w:val="24"/>
          <w:lang w:eastAsia="es-MX"/>
        </w:rPr>
        <w:t xml:space="preserve">se puede demostrar que las cuatro variables esenciales (1) Compras y la Teoría del Costo Total de Propiedad (TCP); (2) Logistica de Entrada y Gestión de Relaciones con Proveedores (SRM); (3) Almacenaje de Materiales y la Relevancia del Diseño Adecuado y (4) Almacenaje de Productos Terminados y la Satisfacción Ciudadana; es una forma en que se muestra que la incorporación de principios de la NGP, alineada con las NIF favorece una gestión pública más consciente y responsable; y es en esa línea donde se detallan las variables a analizar. </w:t>
      </w:r>
    </w:p>
    <w:p w14:paraId="09786B01" w14:textId="209BA1ED" w:rsidR="00A4573A" w:rsidRPr="0000740E" w:rsidRDefault="00DB1274" w:rsidP="00F50A60">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lastRenderedPageBreak/>
        <w:t xml:space="preserve">4.1. </w:t>
      </w:r>
      <w:r w:rsidR="00A4573A" w:rsidRPr="0000740E">
        <w:rPr>
          <w:rFonts w:ascii="Times New Roman" w:eastAsia="Times New Roman" w:hAnsi="Times New Roman" w:cs="Times New Roman"/>
          <w:b/>
          <w:bCs/>
          <w:color w:val="0D0D0D"/>
          <w:sz w:val="24"/>
          <w:szCs w:val="24"/>
          <w:lang w:eastAsia="es-MX"/>
        </w:rPr>
        <w:t>Compras y la Teoría del Costo Total de Propiedad (TCP)</w:t>
      </w:r>
    </w:p>
    <w:p w14:paraId="285A2C6B" w14:textId="77777777" w:rsidR="00F50A60" w:rsidRDefault="00F50A60" w:rsidP="00F50A60">
      <w:pPr>
        <w:widowControl w:val="0"/>
        <w:spacing w:after="0" w:line="360" w:lineRule="auto"/>
        <w:jc w:val="both"/>
        <w:rPr>
          <w:rFonts w:ascii="Times New Roman" w:eastAsia="Times New Roman" w:hAnsi="Times New Roman" w:cs="Times New Roman"/>
          <w:color w:val="0D0D0D"/>
          <w:sz w:val="24"/>
          <w:szCs w:val="24"/>
          <w:lang w:eastAsia="es-MX"/>
        </w:rPr>
      </w:pPr>
    </w:p>
    <w:p w14:paraId="6BADAA74" w14:textId="6F6FA001" w:rsidR="00A4573A" w:rsidRPr="0000740E" w:rsidRDefault="00A4573A" w:rsidP="00F50A60">
      <w:pPr>
        <w:widowControl w:val="0"/>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La Teoría del Costo Total de Propiedad (TCP) enfatiza la importancia de considerar todos los costos asociados con la adquisición, uso y disposición final de bienes y servicios, más allá del precio inicial de compra. </w:t>
      </w:r>
      <w:r w:rsidR="00BD7151" w:rsidRPr="0000740E">
        <w:rPr>
          <w:rFonts w:ascii="Times New Roman" w:eastAsia="Times New Roman" w:hAnsi="Times New Roman" w:cs="Times New Roman"/>
          <w:color w:val="0D0D0D"/>
          <w:sz w:val="24"/>
          <w:szCs w:val="24"/>
          <w:lang w:eastAsia="es-MX"/>
        </w:rPr>
        <w:t>Esta visión es determinante para una correcta gestión de los recursos utilizados desde el sector público, ya que permite una mejor y más sostenida decisión de compra. En la medida que se aplica la TCP, es posible que las entidades, un tanto alocadamente, piensen que en caso de una primera mirada no puede determinarse que una solución más costosa puede ser más barata a largo plazo que otra más barata, en función del menor coste de uso, mantenimiento o de eliminación (Ellram y Siferd, 1993). Por ejemplo, la NIF C-6, la cual permite reconocer y valorar la propiedad, planta y equipo; permite a las entidades públicas considerar principios de TCP atendiendo a valoraciones de los costes totales de estos activos</w:t>
      </w:r>
      <w:r w:rsidRPr="0000740E">
        <w:rPr>
          <w:rFonts w:ascii="Times New Roman" w:eastAsia="Times New Roman" w:hAnsi="Times New Roman" w:cs="Times New Roman"/>
          <w:color w:val="0D0D0D"/>
          <w:sz w:val="24"/>
          <w:szCs w:val="24"/>
          <w:lang w:eastAsia="es-MX"/>
        </w:rPr>
        <w:t xml:space="preserve"> (Consejo Mexicano de Normas de Información Financiera, 2018b).</w:t>
      </w:r>
    </w:p>
    <w:p w14:paraId="4F9DD0A0" w14:textId="77777777" w:rsidR="00F50A60" w:rsidRDefault="00F50A60" w:rsidP="00F50A60">
      <w:pPr>
        <w:widowControl w:val="0"/>
        <w:spacing w:after="0" w:line="360" w:lineRule="auto"/>
        <w:jc w:val="both"/>
        <w:rPr>
          <w:rFonts w:ascii="Times New Roman" w:eastAsia="Times New Roman" w:hAnsi="Times New Roman" w:cs="Times New Roman"/>
          <w:b/>
          <w:bCs/>
          <w:color w:val="0D0D0D"/>
          <w:sz w:val="24"/>
          <w:szCs w:val="24"/>
          <w:lang w:eastAsia="es-MX"/>
        </w:rPr>
      </w:pPr>
    </w:p>
    <w:p w14:paraId="0071119B" w14:textId="5451EAB1" w:rsidR="00A4573A" w:rsidRPr="0000740E" w:rsidRDefault="00DB1274" w:rsidP="00F50A60">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4.2. </w:t>
      </w:r>
      <w:r w:rsidR="00A4573A" w:rsidRPr="0000740E">
        <w:rPr>
          <w:rFonts w:ascii="Times New Roman" w:eastAsia="Times New Roman" w:hAnsi="Times New Roman" w:cs="Times New Roman"/>
          <w:b/>
          <w:bCs/>
          <w:color w:val="0D0D0D"/>
          <w:sz w:val="24"/>
          <w:szCs w:val="24"/>
          <w:lang w:eastAsia="es-MX"/>
        </w:rPr>
        <w:t xml:space="preserve">Logística de </w:t>
      </w:r>
      <w:r w:rsidR="00FA70E3">
        <w:rPr>
          <w:rFonts w:ascii="Times New Roman" w:eastAsia="Times New Roman" w:hAnsi="Times New Roman" w:cs="Times New Roman"/>
          <w:b/>
          <w:bCs/>
          <w:color w:val="0D0D0D"/>
          <w:sz w:val="24"/>
          <w:szCs w:val="24"/>
          <w:lang w:eastAsia="es-MX"/>
        </w:rPr>
        <w:t>e</w:t>
      </w:r>
      <w:r w:rsidR="00A4573A" w:rsidRPr="0000740E">
        <w:rPr>
          <w:rFonts w:ascii="Times New Roman" w:eastAsia="Times New Roman" w:hAnsi="Times New Roman" w:cs="Times New Roman"/>
          <w:b/>
          <w:bCs/>
          <w:color w:val="0D0D0D"/>
          <w:sz w:val="24"/>
          <w:szCs w:val="24"/>
          <w:lang w:eastAsia="es-MX"/>
        </w:rPr>
        <w:t>ntrada y Gestión de Relaciones con Proveedores (SRM)</w:t>
      </w:r>
    </w:p>
    <w:p w14:paraId="41EB8BC0" w14:textId="77777777" w:rsidR="00F50A60" w:rsidRDefault="00F50A60" w:rsidP="00F50A60">
      <w:pPr>
        <w:widowControl w:val="0"/>
        <w:spacing w:after="0" w:line="360" w:lineRule="auto"/>
        <w:jc w:val="both"/>
        <w:rPr>
          <w:rFonts w:ascii="Times New Roman" w:eastAsia="Times New Roman" w:hAnsi="Times New Roman" w:cs="Times New Roman"/>
          <w:color w:val="0D0D0D"/>
          <w:sz w:val="24"/>
          <w:szCs w:val="24"/>
          <w:lang w:eastAsia="es-MX"/>
        </w:rPr>
      </w:pPr>
    </w:p>
    <w:p w14:paraId="446570A1" w14:textId="70A69693" w:rsidR="00272D94" w:rsidRPr="0000740E" w:rsidRDefault="00A4573A" w:rsidP="00F50A60">
      <w:pPr>
        <w:widowControl w:val="0"/>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La eficiencia en la logística de entrada y una gestión efectiva de las relaciones con proveedores son fundamentales para asegurar la disponibilidad oportuna de bienes y servicios esenciales, optimizando los costos y tiempos de entrega. </w:t>
      </w:r>
      <w:r w:rsidR="00272D94" w:rsidRPr="0000740E">
        <w:rPr>
          <w:rFonts w:ascii="Times New Roman" w:eastAsia="Times New Roman" w:hAnsi="Times New Roman" w:cs="Times New Roman"/>
          <w:color w:val="0D0D0D"/>
          <w:sz w:val="24"/>
          <w:szCs w:val="24"/>
          <w:lang w:eastAsia="es-MX"/>
        </w:rPr>
        <w:t>Una SRM puede permitir a las entidades públicas la posibilidad de unir esfuerzos con sus proveedores, que se puede traducir en una mejora significativa en la calidad de los bienes y los servicios recibidos, así como en el funcionamiento de la cadena de suministro (Chen y Paulraj, 2004). La NIF C-2 contempla la forma de contabilizar los instrumentos financieros pasivos, siendo igualmente objeto de su tratamiento las obligaciones con los proveedores, lo cual sería indicativo de la importancia de la necesidad de registrar y gestionar las relaciones que se vayan constituyendo con base en principios contables adecuados, claros y transparentes (Consejo Mexicano de Normas de Información Financiera, 2018a).</w:t>
      </w:r>
    </w:p>
    <w:p w14:paraId="6ABBAC98" w14:textId="77777777" w:rsidR="00F50A60" w:rsidRDefault="00F50A60" w:rsidP="00F50A60">
      <w:pPr>
        <w:widowControl w:val="0"/>
        <w:spacing w:after="0" w:line="360" w:lineRule="auto"/>
        <w:jc w:val="both"/>
        <w:rPr>
          <w:rFonts w:ascii="Times New Roman" w:eastAsia="Times New Roman" w:hAnsi="Times New Roman" w:cs="Times New Roman"/>
          <w:b/>
          <w:bCs/>
          <w:color w:val="0D0D0D"/>
          <w:sz w:val="24"/>
          <w:szCs w:val="24"/>
          <w:lang w:eastAsia="es-MX"/>
        </w:rPr>
      </w:pPr>
    </w:p>
    <w:p w14:paraId="4D9CA3FC" w14:textId="55B3533A" w:rsidR="00A4573A" w:rsidRPr="0000740E" w:rsidRDefault="00DB1274" w:rsidP="00F50A60">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4.3. </w:t>
      </w:r>
      <w:r w:rsidR="00A4573A" w:rsidRPr="0000740E">
        <w:rPr>
          <w:rFonts w:ascii="Times New Roman" w:eastAsia="Times New Roman" w:hAnsi="Times New Roman" w:cs="Times New Roman"/>
          <w:b/>
          <w:bCs/>
          <w:color w:val="0D0D0D"/>
          <w:sz w:val="24"/>
          <w:szCs w:val="24"/>
          <w:lang w:eastAsia="es-MX"/>
        </w:rPr>
        <w:t xml:space="preserve">Almacenaje de </w:t>
      </w:r>
      <w:r w:rsidR="00FA70E3">
        <w:rPr>
          <w:rFonts w:ascii="Times New Roman" w:eastAsia="Times New Roman" w:hAnsi="Times New Roman" w:cs="Times New Roman"/>
          <w:b/>
          <w:bCs/>
          <w:color w:val="0D0D0D"/>
          <w:sz w:val="24"/>
          <w:szCs w:val="24"/>
          <w:lang w:eastAsia="es-MX"/>
        </w:rPr>
        <w:t>m</w:t>
      </w:r>
      <w:r w:rsidR="00A4573A" w:rsidRPr="0000740E">
        <w:rPr>
          <w:rFonts w:ascii="Times New Roman" w:eastAsia="Times New Roman" w:hAnsi="Times New Roman" w:cs="Times New Roman"/>
          <w:b/>
          <w:bCs/>
          <w:color w:val="0D0D0D"/>
          <w:sz w:val="24"/>
          <w:szCs w:val="24"/>
          <w:lang w:eastAsia="es-MX"/>
        </w:rPr>
        <w:t xml:space="preserve">ateriales y la </w:t>
      </w:r>
      <w:r w:rsidR="00FA70E3">
        <w:rPr>
          <w:rFonts w:ascii="Times New Roman" w:eastAsia="Times New Roman" w:hAnsi="Times New Roman" w:cs="Times New Roman"/>
          <w:b/>
          <w:bCs/>
          <w:color w:val="0D0D0D"/>
          <w:sz w:val="24"/>
          <w:szCs w:val="24"/>
          <w:lang w:eastAsia="es-MX"/>
        </w:rPr>
        <w:t>i</w:t>
      </w:r>
      <w:r w:rsidR="00A4573A" w:rsidRPr="0000740E">
        <w:rPr>
          <w:rFonts w:ascii="Times New Roman" w:eastAsia="Times New Roman" w:hAnsi="Times New Roman" w:cs="Times New Roman"/>
          <w:b/>
          <w:bCs/>
          <w:color w:val="0D0D0D"/>
          <w:sz w:val="24"/>
          <w:szCs w:val="24"/>
          <w:lang w:eastAsia="es-MX"/>
        </w:rPr>
        <w:t xml:space="preserve">mportancia del </w:t>
      </w:r>
      <w:r w:rsidR="00FA70E3">
        <w:rPr>
          <w:rFonts w:ascii="Times New Roman" w:eastAsia="Times New Roman" w:hAnsi="Times New Roman" w:cs="Times New Roman"/>
          <w:b/>
          <w:bCs/>
          <w:color w:val="0D0D0D"/>
          <w:sz w:val="24"/>
          <w:szCs w:val="24"/>
          <w:lang w:eastAsia="es-MX"/>
        </w:rPr>
        <w:t>d</w:t>
      </w:r>
      <w:r w:rsidR="00A4573A" w:rsidRPr="0000740E">
        <w:rPr>
          <w:rFonts w:ascii="Times New Roman" w:eastAsia="Times New Roman" w:hAnsi="Times New Roman" w:cs="Times New Roman"/>
          <w:b/>
          <w:bCs/>
          <w:color w:val="0D0D0D"/>
          <w:sz w:val="24"/>
          <w:szCs w:val="24"/>
          <w:lang w:eastAsia="es-MX"/>
        </w:rPr>
        <w:t xml:space="preserve">iseño </w:t>
      </w:r>
      <w:r w:rsidR="00FA70E3">
        <w:rPr>
          <w:rFonts w:ascii="Times New Roman" w:eastAsia="Times New Roman" w:hAnsi="Times New Roman" w:cs="Times New Roman"/>
          <w:b/>
          <w:bCs/>
          <w:color w:val="0D0D0D"/>
          <w:sz w:val="24"/>
          <w:szCs w:val="24"/>
          <w:lang w:eastAsia="es-MX"/>
        </w:rPr>
        <w:t>e</w:t>
      </w:r>
      <w:r w:rsidR="00A4573A" w:rsidRPr="0000740E">
        <w:rPr>
          <w:rFonts w:ascii="Times New Roman" w:eastAsia="Times New Roman" w:hAnsi="Times New Roman" w:cs="Times New Roman"/>
          <w:b/>
          <w:bCs/>
          <w:color w:val="0D0D0D"/>
          <w:sz w:val="24"/>
          <w:szCs w:val="24"/>
          <w:lang w:eastAsia="es-MX"/>
        </w:rPr>
        <w:t>ficiente</w:t>
      </w:r>
    </w:p>
    <w:p w14:paraId="60565D20" w14:textId="77777777" w:rsidR="00F50A60" w:rsidRDefault="00F50A60" w:rsidP="00F50A60">
      <w:pPr>
        <w:widowControl w:val="0"/>
        <w:spacing w:after="0" w:line="360" w:lineRule="auto"/>
        <w:jc w:val="both"/>
        <w:rPr>
          <w:rFonts w:ascii="Times New Roman" w:eastAsia="Times New Roman" w:hAnsi="Times New Roman" w:cs="Times New Roman"/>
          <w:color w:val="0D0D0D"/>
          <w:sz w:val="24"/>
          <w:szCs w:val="24"/>
          <w:lang w:eastAsia="es-MX"/>
        </w:rPr>
      </w:pPr>
    </w:p>
    <w:p w14:paraId="01A02E96" w14:textId="7FF97227" w:rsidR="00272D94" w:rsidRPr="0000740E" w:rsidRDefault="00A4573A" w:rsidP="00F50A60">
      <w:pPr>
        <w:widowControl w:val="0"/>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Un almacenaje </w:t>
      </w:r>
      <w:r w:rsidR="00272D94" w:rsidRPr="0000740E">
        <w:rPr>
          <w:rFonts w:ascii="Times New Roman" w:eastAsia="Times New Roman" w:hAnsi="Times New Roman" w:cs="Times New Roman"/>
          <w:color w:val="0D0D0D"/>
          <w:sz w:val="24"/>
          <w:szCs w:val="24"/>
          <w:lang w:eastAsia="es-MX"/>
        </w:rPr>
        <w:t xml:space="preserve">de materiales se considera un factor clave para exprimir al máximo el espacio disponible, minimizar la llegada con daño a los insumos de los que se dispone y garantizar una </w:t>
      </w:r>
      <w:r w:rsidR="00272D94" w:rsidRPr="0000740E">
        <w:rPr>
          <w:rFonts w:ascii="Times New Roman" w:eastAsia="Times New Roman" w:hAnsi="Times New Roman" w:cs="Times New Roman"/>
          <w:color w:val="0D0D0D"/>
          <w:sz w:val="24"/>
          <w:szCs w:val="24"/>
          <w:lang w:eastAsia="es-MX"/>
        </w:rPr>
        <w:lastRenderedPageBreak/>
        <w:t>manera rápida y eficaz de acceder a los insumos que se quieran utilizar: el diseño de almacenes y la elección de sistemas de almacenamiento adecuados pueden contribuir al máximo a la efectividad operativa dentro de un centro de distribución y al máximo a la reducción de costes (Gu</w:t>
      </w:r>
      <w:r w:rsidR="00D83B6F">
        <w:rPr>
          <w:rFonts w:ascii="Times New Roman" w:eastAsia="Times New Roman" w:hAnsi="Times New Roman" w:cs="Times New Roman"/>
          <w:color w:val="0D0D0D"/>
          <w:sz w:val="24"/>
          <w:szCs w:val="24"/>
          <w:lang w:eastAsia="es-MX"/>
        </w:rPr>
        <w:t xml:space="preserve"> et al.</w:t>
      </w:r>
      <w:r w:rsidR="00272D94" w:rsidRPr="0000740E">
        <w:rPr>
          <w:rFonts w:ascii="Times New Roman" w:eastAsia="Times New Roman" w:hAnsi="Times New Roman" w:cs="Times New Roman"/>
          <w:color w:val="0D0D0D"/>
          <w:sz w:val="24"/>
          <w:szCs w:val="24"/>
          <w:lang w:eastAsia="es-MX"/>
        </w:rPr>
        <w:t>, 2010). Por último, la siguiente NIF C-4, establece criterios que van desde la valuación del inventario hasta su presentación, la cual es un importante complemento a un almacenamiento de materiales eficiente: dicha NIF ayuda a las entidades estatales para llevar el control de sus propios inventarios, al tener a su disposición información que es importante para la planificación de recursos y la gestión financiera (Consejo Mexicano de Normas de Información Financiera, 2018c).</w:t>
      </w:r>
    </w:p>
    <w:p w14:paraId="64CCEB55" w14:textId="77777777" w:rsidR="00F50A60" w:rsidRDefault="00F50A60" w:rsidP="00F50A60">
      <w:pPr>
        <w:widowControl w:val="0"/>
        <w:spacing w:after="0" w:line="360" w:lineRule="auto"/>
        <w:jc w:val="both"/>
        <w:rPr>
          <w:rFonts w:ascii="Times New Roman" w:eastAsia="Times New Roman" w:hAnsi="Times New Roman" w:cs="Times New Roman"/>
          <w:b/>
          <w:bCs/>
          <w:color w:val="0D0D0D"/>
          <w:sz w:val="24"/>
          <w:szCs w:val="24"/>
          <w:lang w:eastAsia="es-MX"/>
        </w:rPr>
      </w:pPr>
    </w:p>
    <w:p w14:paraId="3334E3AF" w14:textId="19671339" w:rsidR="00A4573A" w:rsidRPr="0000740E" w:rsidRDefault="00DB1274" w:rsidP="00F50A60">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 xml:space="preserve">4.4. </w:t>
      </w:r>
      <w:r w:rsidR="00A4573A" w:rsidRPr="0000740E">
        <w:rPr>
          <w:rFonts w:ascii="Times New Roman" w:eastAsia="Times New Roman" w:hAnsi="Times New Roman" w:cs="Times New Roman"/>
          <w:b/>
          <w:bCs/>
          <w:color w:val="0D0D0D"/>
          <w:sz w:val="24"/>
          <w:szCs w:val="24"/>
          <w:lang w:eastAsia="es-MX"/>
        </w:rPr>
        <w:t xml:space="preserve">Almacenaje de </w:t>
      </w:r>
      <w:r w:rsidR="00FA70E3">
        <w:rPr>
          <w:rFonts w:ascii="Times New Roman" w:eastAsia="Times New Roman" w:hAnsi="Times New Roman" w:cs="Times New Roman"/>
          <w:b/>
          <w:bCs/>
          <w:color w:val="0D0D0D"/>
          <w:sz w:val="24"/>
          <w:szCs w:val="24"/>
          <w:lang w:eastAsia="es-MX"/>
        </w:rPr>
        <w:t>p</w:t>
      </w:r>
      <w:r w:rsidR="00A4573A" w:rsidRPr="0000740E">
        <w:rPr>
          <w:rFonts w:ascii="Times New Roman" w:eastAsia="Times New Roman" w:hAnsi="Times New Roman" w:cs="Times New Roman"/>
          <w:b/>
          <w:bCs/>
          <w:color w:val="0D0D0D"/>
          <w:sz w:val="24"/>
          <w:szCs w:val="24"/>
          <w:lang w:eastAsia="es-MX"/>
        </w:rPr>
        <w:t xml:space="preserve">roductos </w:t>
      </w:r>
      <w:r w:rsidR="00FA70E3">
        <w:rPr>
          <w:rFonts w:ascii="Times New Roman" w:eastAsia="Times New Roman" w:hAnsi="Times New Roman" w:cs="Times New Roman"/>
          <w:b/>
          <w:bCs/>
          <w:color w:val="0D0D0D"/>
          <w:sz w:val="24"/>
          <w:szCs w:val="24"/>
          <w:lang w:eastAsia="es-MX"/>
        </w:rPr>
        <w:t>t</w:t>
      </w:r>
      <w:r w:rsidR="00A4573A" w:rsidRPr="0000740E">
        <w:rPr>
          <w:rFonts w:ascii="Times New Roman" w:eastAsia="Times New Roman" w:hAnsi="Times New Roman" w:cs="Times New Roman"/>
          <w:b/>
          <w:bCs/>
          <w:color w:val="0D0D0D"/>
          <w:sz w:val="24"/>
          <w:szCs w:val="24"/>
          <w:lang w:eastAsia="es-MX"/>
        </w:rPr>
        <w:t xml:space="preserve">erminados y la </w:t>
      </w:r>
      <w:r w:rsidR="00FA70E3">
        <w:rPr>
          <w:rFonts w:ascii="Times New Roman" w:eastAsia="Times New Roman" w:hAnsi="Times New Roman" w:cs="Times New Roman"/>
          <w:b/>
          <w:bCs/>
          <w:color w:val="0D0D0D"/>
          <w:sz w:val="24"/>
          <w:szCs w:val="24"/>
          <w:lang w:eastAsia="es-MX"/>
        </w:rPr>
        <w:t>s</w:t>
      </w:r>
      <w:r w:rsidR="00A4573A" w:rsidRPr="0000740E">
        <w:rPr>
          <w:rFonts w:ascii="Times New Roman" w:eastAsia="Times New Roman" w:hAnsi="Times New Roman" w:cs="Times New Roman"/>
          <w:b/>
          <w:bCs/>
          <w:color w:val="0D0D0D"/>
          <w:sz w:val="24"/>
          <w:szCs w:val="24"/>
          <w:lang w:eastAsia="es-MX"/>
        </w:rPr>
        <w:t xml:space="preserve">atisfacción </w:t>
      </w:r>
      <w:r w:rsidR="00FA70E3">
        <w:rPr>
          <w:rFonts w:ascii="Times New Roman" w:eastAsia="Times New Roman" w:hAnsi="Times New Roman" w:cs="Times New Roman"/>
          <w:b/>
          <w:bCs/>
          <w:color w:val="0D0D0D"/>
          <w:sz w:val="24"/>
          <w:szCs w:val="24"/>
          <w:lang w:eastAsia="es-MX"/>
        </w:rPr>
        <w:t>c</w:t>
      </w:r>
      <w:r w:rsidR="00A4573A" w:rsidRPr="0000740E">
        <w:rPr>
          <w:rFonts w:ascii="Times New Roman" w:eastAsia="Times New Roman" w:hAnsi="Times New Roman" w:cs="Times New Roman"/>
          <w:b/>
          <w:bCs/>
          <w:color w:val="0D0D0D"/>
          <w:sz w:val="24"/>
          <w:szCs w:val="24"/>
          <w:lang w:eastAsia="es-MX"/>
        </w:rPr>
        <w:t>iudadana</w:t>
      </w:r>
    </w:p>
    <w:p w14:paraId="0AD94D93" w14:textId="77777777" w:rsidR="00F50A60" w:rsidRDefault="00F50A60" w:rsidP="00F50A60">
      <w:pPr>
        <w:widowControl w:val="0"/>
        <w:spacing w:after="0" w:line="360" w:lineRule="auto"/>
        <w:jc w:val="both"/>
        <w:rPr>
          <w:rFonts w:ascii="Times New Roman" w:eastAsia="Times New Roman" w:hAnsi="Times New Roman" w:cs="Times New Roman"/>
          <w:color w:val="0D0D0D"/>
          <w:sz w:val="24"/>
          <w:szCs w:val="24"/>
          <w:lang w:eastAsia="es-MX"/>
        </w:rPr>
      </w:pPr>
    </w:p>
    <w:p w14:paraId="18528FFC" w14:textId="1A8C139E" w:rsidR="00272D94" w:rsidRPr="0000740E" w:rsidRDefault="00A4573A" w:rsidP="00F50A60">
      <w:pPr>
        <w:widowControl w:val="0"/>
        <w:spacing w:after="0" w:line="360" w:lineRule="auto"/>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La gestión </w:t>
      </w:r>
      <w:r w:rsidR="00272D94" w:rsidRPr="0000740E">
        <w:rPr>
          <w:rFonts w:ascii="Times New Roman" w:eastAsia="Times New Roman" w:hAnsi="Times New Roman" w:cs="Times New Roman"/>
          <w:color w:val="0D0D0D"/>
          <w:sz w:val="24"/>
          <w:szCs w:val="24"/>
          <w:lang w:eastAsia="es-MX"/>
        </w:rPr>
        <w:t>efectiva del almacén de productos terminados es importante para la prestación puntual y adecuada de los servicios públicos. Este tipo de prácticas, como Just-In-Time pueden disminuir el nivel del inventario, incrementar la rotación de los inventarios, lo cual significa un mayor grado de satisfacción por parte de la ciudadanía (Womack y Jones, 1996). Las NIF prestan atención a sitios del mundo financiero y contable, pero, la gestión eficiente de productos terminados, babeando con la NIF C-4, evidencia que la información financiera mejora acorde a la operativa de las entidades públicas, y la misma sirve para la transparencia y la rendición de cuentas.</w:t>
      </w:r>
    </w:p>
    <w:p w14:paraId="25C2124A" w14:textId="66AE2EC6" w:rsidR="00444C78" w:rsidRPr="0000740E" w:rsidRDefault="00A4573A" w:rsidP="00F50A60">
      <w:pPr>
        <w:widowControl w:val="0"/>
        <w:spacing w:after="0" w:line="360" w:lineRule="auto"/>
        <w:ind w:firstLine="708"/>
        <w:jc w:val="both"/>
        <w:rPr>
          <w:rFonts w:ascii="Times New Roman" w:eastAsia="Times New Roman" w:hAnsi="Times New Roman" w:cs="Times New Roman"/>
          <w:color w:val="0D0D0D"/>
          <w:sz w:val="24"/>
          <w:szCs w:val="24"/>
          <w:lang w:eastAsia="es-MX"/>
        </w:rPr>
      </w:pPr>
      <w:r w:rsidRPr="0000740E">
        <w:rPr>
          <w:rFonts w:ascii="Times New Roman" w:eastAsia="Times New Roman" w:hAnsi="Times New Roman" w:cs="Times New Roman"/>
          <w:color w:val="0D0D0D"/>
          <w:sz w:val="24"/>
          <w:szCs w:val="24"/>
          <w:lang w:eastAsia="es-MX"/>
        </w:rPr>
        <w:t xml:space="preserve">Este análisis </w:t>
      </w:r>
      <w:r w:rsidR="00272D94" w:rsidRPr="0000740E">
        <w:rPr>
          <w:rFonts w:ascii="Times New Roman" w:eastAsia="Times New Roman" w:hAnsi="Times New Roman" w:cs="Times New Roman"/>
          <w:color w:val="0D0D0D"/>
          <w:sz w:val="24"/>
          <w:szCs w:val="24"/>
          <w:lang w:eastAsia="es-MX"/>
        </w:rPr>
        <w:t xml:space="preserve">muestra cómo la inclusión de las prácticas de gestión de la cadena de suministro sumadas a los principios de la NGP y las NIF contribuyeron a la administración pública mexicana. Dichas prácticas permiten no sólo mejorar la eficiencia, y la economía en la gestión de recursos públicos, sino también, la transparencia y de rendición de cuentas que son prácticas necesarias para el dato de la confianza de la ciudadanía por el </w:t>
      </w:r>
      <w:r w:rsidRPr="0000740E">
        <w:rPr>
          <w:rFonts w:ascii="Times New Roman" w:eastAsia="Times New Roman" w:hAnsi="Times New Roman" w:cs="Times New Roman"/>
          <w:color w:val="0D0D0D"/>
          <w:sz w:val="24"/>
          <w:szCs w:val="24"/>
          <w:lang w:eastAsia="es-MX"/>
        </w:rPr>
        <w:t>gobierno.</w:t>
      </w:r>
    </w:p>
    <w:p w14:paraId="7842AB63" w14:textId="77777777" w:rsidR="00F50A60" w:rsidRDefault="00F50A60" w:rsidP="00F50A60">
      <w:pPr>
        <w:spacing w:after="0" w:line="360" w:lineRule="auto"/>
        <w:rPr>
          <w:rFonts w:ascii="Times New Roman" w:hAnsi="Times New Roman" w:cs="Times New Roman"/>
          <w:b/>
          <w:bCs/>
          <w:sz w:val="24"/>
          <w:szCs w:val="24"/>
        </w:rPr>
      </w:pPr>
    </w:p>
    <w:p w14:paraId="5AE3B2A1" w14:textId="2D5F3307" w:rsidR="005D313F" w:rsidRPr="0000740E" w:rsidRDefault="00444C78" w:rsidP="00F50A6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w:t>
      </w:r>
      <w:r w:rsidR="005D313F" w:rsidRPr="0000740E">
        <w:rPr>
          <w:rFonts w:ascii="Times New Roman" w:hAnsi="Times New Roman" w:cs="Times New Roman"/>
          <w:b/>
          <w:bCs/>
          <w:sz w:val="24"/>
          <w:szCs w:val="24"/>
        </w:rPr>
        <w:t xml:space="preserve"> Discusión</w:t>
      </w:r>
      <w:r>
        <w:rPr>
          <w:rFonts w:ascii="Times New Roman" w:hAnsi="Times New Roman" w:cs="Times New Roman"/>
          <w:b/>
          <w:bCs/>
          <w:sz w:val="24"/>
          <w:szCs w:val="24"/>
        </w:rPr>
        <w:t xml:space="preserve"> y </w:t>
      </w:r>
      <w:r w:rsidR="00FA70E3">
        <w:rPr>
          <w:rFonts w:ascii="Times New Roman" w:hAnsi="Times New Roman" w:cs="Times New Roman"/>
          <w:b/>
          <w:bCs/>
          <w:sz w:val="24"/>
          <w:szCs w:val="24"/>
        </w:rPr>
        <w:t>c</w:t>
      </w:r>
      <w:r>
        <w:rPr>
          <w:rFonts w:ascii="Times New Roman" w:hAnsi="Times New Roman" w:cs="Times New Roman"/>
          <w:b/>
          <w:bCs/>
          <w:sz w:val="24"/>
          <w:szCs w:val="24"/>
        </w:rPr>
        <w:t>onclusiones</w:t>
      </w:r>
    </w:p>
    <w:p w14:paraId="194B1D52" w14:textId="77777777" w:rsidR="00F50A60" w:rsidRDefault="00F50A60" w:rsidP="00F50A60">
      <w:pPr>
        <w:spacing w:after="0" w:line="360" w:lineRule="auto"/>
        <w:jc w:val="both"/>
        <w:rPr>
          <w:rFonts w:ascii="Times New Roman" w:hAnsi="Times New Roman" w:cs="Times New Roman"/>
          <w:sz w:val="24"/>
          <w:szCs w:val="24"/>
        </w:rPr>
      </w:pPr>
    </w:p>
    <w:p w14:paraId="0AF35B26" w14:textId="0F53B4C8" w:rsidR="00720762" w:rsidRPr="0000740E" w:rsidRDefault="00073B41" w:rsidP="00F50A60">
      <w:pPr>
        <w:spacing w:after="0" w:line="360" w:lineRule="auto"/>
        <w:jc w:val="both"/>
        <w:rPr>
          <w:rFonts w:ascii="Times New Roman" w:hAnsi="Times New Roman" w:cs="Times New Roman"/>
          <w:sz w:val="24"/>
          <w:szCs w:val="24"/>
        </w:rPr>
      </w:pPr>
      <w:r w:rsidRPr="0000740E">
        <w:rPr>
          <w:rFonts w:ascii="Times New Roman" w:hAnsi="Times New Roman" w:cs="Times New Roman"/>
          <w:sz w:val="24"/>
          <w:szCs w:val="24"/>
        </w:rPr>
        <w:t xml:space="preserve">La integración de la Nueva Gestión Pública (NGP) y las Normas de Información Financiera (NIF) </w:t>
      </w:r>
      <w:r w:rsidR="00272D94" w:rsidRPr="0000740E">
        <w:rPr>
          <w:rFonts w:ascii="Times New Roman" w:hAnsi="Times New Roman" w:cs="Times New Roman"/>
          <w:sz w:val="24"/>
          <w:szCs w:val="24"/>
        </w:rPr>
        <w:t xml:space="preserve">en el contexto de la administración pública mexicana pone de manifiesto un enfoque estratégico hacia la modernización y la eficiencia del gobierno, que permite poner en conexión la gestión pública con las prácticas y estándares que promueven la eficiencia, la transparencia y la rendición de cuentas. </w:t>
      </w:r>
      <w:r w:rsidR="00720762" w:rsidRPr="0000740E">
        <w:rPr>
          <w:rFonts w:ascii="Times New Roman" w:hAnsi="Times New Roman" w:cs="Times New Roman"/>
          <w:sz w:val="24"/>
          <w:szCs w:val="24"/>
        </w:rPr>
        <w:t xml:space="preserve">La discusión está sustentada en un cuerpo de estudios previos recogidos en la disciplina </w:t>
      </w:r>
      <w:r w:rsidR="00720762" w:rsidRPr="0000740E">
        <w:rPr>
          <w:rFonts w:ascii="Times New Roman" w:hAnsi="Times New Roman" w:cs="Times New Roman"/>
          <w:sz w:val="24"/>
          <w:szCs w:val="24"/>
        </w:rPr>
        <w:lastRenderedPageBreak/>
        <w:t>de la gestión de la cadena de suministro y contabilidad financiera, y pone de manifiesto la importancia de un enfoque global y holístico para conjuntamente mejorar la calidad de los servicios públicos y transmitir confianza a los ciudadanos en sus instituciones. La mejora en los procesos y la reducción de costes son prácticas a las que la literatura hace referencia como resultados de la adopción e implementación de estrategias de gestión de la cadena de suministro, como también sugieren Chopra y Meindl (2016) o el análisis de costes a partir de la Teoría del Costo Total de Propiedad, tal como discuten Ellram y Siferd (1993). Estas prácticas no sólo dejan hacer un mejor uso de los recursos, sino que también se hallan fuertemente relacionadas con la sostenibilidad y competitividad de las organizaciones, principio que también se encuentra en la gestión pública a la vista de lo establecido en la NGP.</w:t>
      </w:r>
    </w:p>
    <w:p w14:paraId="61B269AA" w14:textId="45A9EDED" w:rsidR="00272D94" w:rsidRPr="0000740E" w:rsidRDefault="00720762" w:rsidP="00F50A60">
      <w:pPr>
        <w:spacing w:after="0" w:line="360" w:lineRule="auto"/>
        <w:ind w:firstLine="708"/>
        <w:jc w:val="both"/>
        <w:rPr>
          <w:rFonts w:ascii="Times New Roman" w:hAnsi="Times New Roman" w:cs="Times New Roman"/>
          <w:sz w:val="24"/>
          <w:szCs w:val="24"/>
        </w:rPr>
      </w:pPr>
      <w:r w:rsidRPr="0000740E">
        <w:rPr>
          <w:rFonts w:ascii="Times New Roman" w:hAnsi="Times New Roman" w:cs="Times New Roman"/>
          <w:sz w:val="24"/>
          <w:szCs w:val="24"/>
        </w:rPr>
        <w:t>En relación a las características de la NGP referidas a la rendición de cuentas y la transparencia (Osborne, 2010; Perry, 2010), la aceptación de las NIF puede propiciar que las prácticas de un carácter financiero u operativo se lleven a cabo con una claridad especial, lo cual favorece la rendición de cuentas ante los ciudadanos y la integridad (Coy, 2010) para lograr construir la idoneidad de vincular el ejercicio de la gestión financiera y operativa de las entidades mediante marcos normativos</w:t>
      </w:r>
      <w:r w:rsidR="00272D94" w:rsidRPr="0000740E">
        <w:rPr>
          <w:rFonts w:ascii="Times New Roman" w:hAnsi="Times New Roman" w:cs="Times New Roman"/>
          <w:sz w:val="24"/>
          <w:szCs w:val="24"/>
        </w:rPr>
        <w:t>. Por su parte, la satisfacción social influenciada por la eficiencia de la prestación de servicios públicos tal y como sugieren Womack y Jones (1996), y la mejora continua que predica Frazelle (2002), pone de relieve cómo la adopción de prácticas de gestión eficientes puede incidir en las percepciones y la satisfacción ciudadana, y pone de manifiesto el interés por incorporar vías de acción en torno a la calidad y la eficiencia en la gestión pública conformes a las exigencias de la NGP.</w:t>
      </w:r>
    </w:p>
    <w:p w14:paraId="12A0FF57" w14:textId="77777777" w:rsidR="006A6978" w:rsidRPr="0000740E" w:rsidRDefault="0028260A" w:rsidP="00F50A60">
      <w:pPr>
        <w:spacing w:after="0" w:line="360" w:lineRule="auto"/>
        <w:ind w:firstLine="708"/>
        <w:jc w:val="both"/>
        <w:rPr>
          <w:rFonts w:ascii="Times New Roman" w:hAnsi="Times New Roman" w:cs="Times New Roman"/>
          <w:sz w:val="24"/>
          <w:szCs w:val="24"/>
        </w:rPr>
      </w:pPr>
      <w:r w:rsidRPr="0000740E">
        <w:rPr>
          <w:rFonts w:ascii="Times New Roman" w:hAnsi="Times New Roman" w:cs="Times New Roman"/>
          <w:sz w:val="24"/>
          <w:szCs w:val="24"/>
        </w:rPr>
        <w:t xml:space="preserve">Los hallazgos del presente estudio sugieren que la articulación entre los principios de la Nueva Gestión Pública (NGP) y la aplicación efectiva de las Normas de Información Financiera (NIF) </w:t>
      </w:r>
      <w:r w:rsidR="006A6978" w:rsidRPr="0000740E">
        <w:rPr>
          <w:rFonts w:ascii="Times New Roman" w:hAnsi="Times New Roman" w:cs="Times New Roman"/>
          <w:sz w:val="24"/>
          <w:szCs w:val="24"/>
        </w:rPr>
        <w:t>En conjunto, estos elementos empíricos permiten reforzar la hipótesis de que, si bien el marco normativo existe, su efectividad se encuentra condicionada a variables institucionales como la profesionalización del personal, la interoperabilidad de los sistemas y la voluntad política para su implementación.</w:t>
      </w:r>
    </w:p>
    <w:p w14:paraId="532B608C" w14:textId="021DE29E" w:rsidR="00720762" w:rsidRPr="0000740E" w:rsidRDefault="00720762" w:rsidP="00F50A60">
      <w:pPr>
        <w:spacing w:after="0" w:line="360" w:lineRule="auto"/>
        <w:ind w:firstLine="708"/>
        <w:jc w:val="both"/>
        <w:rPr>
          <w:rFonts w:ascii="Times New Roman" w:hAnsi="Times New Roman" w:cs="Times New Roman"/>
          <w:sz w:val="24"/>
          <w:szCs w:val="24"/>
        </w:rPr>
      </w:pPr>
      <w:r w:rsidRPr="0000740E">
        <w:rPr>
          <w:rFonts w:ascii="Times New Roman" w:hAnsi="Times New Roman" w:cs="Times New Roman"/>
          <w:sz w:val="24"/>
          <w:szCs w:val="24"/>
        </w:rPr>
        <w:t xml:space="preserve">Una implementación reflexiva y todo ello sustentado por el conocimiento—tanto teórico como práctico—es necesaria para generar una administración pública que realmente no sólo sea eficaz en la respuesta a las necesidades de los ciudadanos, sino que también cumpla con las más altas exigencias de transparencia y rendición de cuentas, contribuyendo, por tanto, a lograr un </w:t>
      </w:r>
      <w:r w:rsidRPr="0000740E">
        <w:rPr>
          <w:rFonts w:ascii="Times New Roman" w:hAnsi="Times New Roman" w:cs="Times New Roman"/>
          <w:sz w:val="24"/>
          <w:szCs w:val="24"/>
        </w:rPr>
        <w:lastRenderedPageBreak/>
        <w:t>México que sea también más justo, eficiente y transparente. La dificultad consiste en transitar desde el diseño normativo hacia la acción efectiva incorporando mecanismos de evaluación de desempeño, incentivos para la mejora continua, sistemas integrales en la gestión de datos, etcétera. Para investigaciones futuras, se considera recomendable desarrollar estudios de casos de administraciones locales con experiencias exitosas, el diseño de modelos cuantitativos de impacto presupuestario y, más allá de ello, el desarrollo de soluciones digitales para el fortalecimiento de la cadena de suministro pública en un ambiente interinstitucional (Andersen y Skjøtt-Larsen, 2009).</w:t>
      </w:r>
    </w:p>
    <w:p w14:paraId="0CA395FB" w14:textId="0EE25CC8" w:rsidR="00951085" w:rsidRPr="0000740E" w:rsidRDefault="0028260A" w:rsidP="00F50A60">
      <w:pPr>
        <w:spacing w:after="0" w:line="360" w:lineRule="auto"/>
        <w:ind w:firstLine="708"/>
        <w:jc w:val="both"/>
        <w:rPr>
          <w:rFonts w:ascii="Times New Roman" w:hAnsi="Times New Roman" w:cs="Times New Roman"/>
          <w:sz w:val="24"/>
          <w:szCs w:val="24"/>
        </w:rPr>
      </w:pPr>
      <w:r w:rsidRPr="0000740E">
        <w:rPr>
          <w:rFonts w:ascii="Times New Roman" w:hAnsi="Times New Roman" w:cs="Times New Roman"/>
          <w:sz w:val="24"/>
          <w:szCs w:val="24"/>
        </w:rPr>
        <w:t xml:space="preserve">En conjunto, </w:t>
      </w:r>
      <w:r w:rsidR="006A6978" w:rsidRPr="0000740E">
        <w:rPr>
          <w:rFonts w:ascii="Times New Roman" w:hAnsi="Times New Roman" w:cs="Times New Roman"/>
          <w:sz w:val="24"/>
          <w:szCs w:val="24"/>
        </w:rPr>
        <w:t>estos elementos empíricos ayudan a corroborar la hipótesis de que, si bien el cuerpo normativo existe, su eficacia se encuentra supeditada a variables institucionales como pueden ser la profesionalización, la interoperabilidad e incluso la voluntad política para su implementación.</w:t>
      </w:r>
    </w:p>
    <w:p w14:paraId="2E30372A" w14:textId="77777777" w:rsidR="00F50A60" w:rsidRDefault="00F50A60" w:rsidP="00F7323D">
      <w:pPr>
        <w:spacing w:line="360" w:lineRule="auto"/>
        <w:rPr>
          <w:rFonts w:ascii="Times New Roman" w:eastAsia="Times New Roman" w:hAnsi="Times New Roman" w:cs="Times New Roman"/>
          <w:b/>
          <w:bCs/>
          <w:color w:val="0D0D0D"/>
          <w:sz w:val="24"/>
          <w:szCs w:val="24"/>
          <w:lang w:eastAsia="es-MX"/>
        </w:rPr>
      </w:pPr>
    </w:p>
    <w:p w14:paraId="4E245B04" w14:textId="062958D5" w:rsidR="005D313F" w:rsidRPr="0000740E" w:rsidRDefault="00A76E20" w:rsidP="00F7323D">
      <w:pPr>
        <w:spacing w:line="360" w:lineRule="auto"/>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Bibliografía</w:t>
      </w:r>
    </w:p>
    <w:p w14:paraId="6B8EB4EA" w14:textId="3835691D"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eastAsia="es-MX"/>
        </w:rPr>
        <w:t xml:space="preserve">Andersen, M., </w:t>
      </w:r>
      <w:r w:rsidR="0002054C" w:rsidRPr="00171E1D">
        <w:rPr>
          <w:rFonts w:ascii="Times New Roman" w:eastAsia="Times New Roman" w:hAnsi="Times New Roman" w:cs="Times New Roman"/>
          <w:bCs/>
          <w:sz w:val="24"/>
          <w:szCs w:val="24"/>
          <w:lang w:eastAsia="es-MX"/>
        </w:rPr>
        <w:t>y</w:t>
      </w:r>
      <w:r w:rsidRPr="00DB1274">
        <w:rPr>
          <w:rFonts w:ascii="Times New Roman" w:eastAsia="Times New Roman" w:hAnsi="Times New Roman" w:cs="Times New Roman"/>
          <w:bCs/>
          <w:sz w:val="24"/>
          <w:szCs w:val="24"/>
          <w:lang w:eastAsia="es-MX"/>
        </w:rPr>
        <w:t xml:space="preserve"> Skjøtt-Larsen, T. (2009).</w:t>
      </w:r>
      <w:r w:rsidRPr="00171E1D">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sz w:val="24"/>
          <w:szCs w:val="24"/>
          <w:lang w:val="en-US" w:eastAsia="es-MX"/>
        </w:rPr>
        <w:t xml:space="preserve">Corporate social responsibility in global supply chains. </w:t>
      </w:r>
      <w:r w:rsidRPr="00A76E20">
        <w:rPr>
          <w:rFonts w:ascii="Times New Roman" w:eastAsia="Times New Roman" w:hAnsi="Times New Roman" w:cs="Times New Roman"/>
          <w:i/>
          <w:iCs/>
          <w:sz w:val="24"/>
          <w:szCs w:val="24"/>
          <w:lang w:val="en-US" w:eastAsia="es-MX"/>
        </w:rPr>
        <w:t>Supply Chain Management: An International Journal, 14</w:t>
      </w:r>
      <w:r w:rsidRPr="00A76E20">
        <w:rPr>
          <w:rFonts w:ascii="Times New Roman" w:eastAsia="Times New Roman" w:hAnsi="Times New Roman" w:cs="Times New Roman"/>
          <w:sz w:val="24"/>
          <w:szCs w:val="24"/>
          <w:lang w:val="en-US" w:eastAsia="es-MX"/>
        </w:rPr>
        <w:t xml:space="preserve">(2), 75–86. </w:t>
      </w:r>
      <w:hyperlink r:id="rId9" w:tgtFrame="_new" w:history="1">
        <w:r w:rsidRPr="00A76E20">
          <w:rPr>
            <w:rStyle w:val="Hipervnculo"/>
            <w:rFonts w:ascii="Times New Roman" w:eastAsia="Times New Roman" w:hAnsi="Times New Roman" w:cs="Times New Roman"/>
            <w:sz w:val="24"/>
            <w:szCs w:val="24"/>
            <w:lang w:val="en-US" w:eastAsia="es-MX"/>
          </w:rPr>
          <w:t>https://doi.org/10.1108/13598540910941948</w:t>
        </w:r>
      </w:hyperlink>
    </w:p>
    <w:p w14:paraId="32CE0BF4" w14:textId="77777777" w:rsidR="00A13434" w:rsidRDefault="006954E7" w:rsidP="00A76E20">
      <w:pPr>
        <w:spacing w:after="0" w:line="360" w:lineRule="auto"/>
        <w:ind w:left="709" w:hanging="709"/>
        <w:jc w:val="both"/>
        <w:rPr>
          <w:rFonts w:ascii="Times New Roman" w:eastAsia="Times New Roman" w:hAnsi="Times New Roman" w:cs="Times New Roman"/>
          <w:sz w:val="24"/>
          <w:szCs w:val="24"/>
          <w:lang w:eastAsia="es-MX"/>
        </w:rPr>
      </w:pPr>
      <w:proofErr w:type="spellStart"/>
      <w:r w:rsidRPr="00DB1274">
        <w:rPr>
          <w:rFonts w:ascii="Times New Roman" w:eastAsia="Times New Roman" w:hAnsi="Times New Roman" w:cs="Times New Roman"/>
          <w:bCs/>
          <w:sz w:val="24"/>
          <w:szCs w:val="24"/>
          <w:lang w:val="en-US" w:eastAsia="es-MX"/>
        </w:rPr>
        <w:t>Auditoría</w:t>
      </w:r>
      <w:proofErr w:type="spellEnd"/>
      <w:r w:rsidRPr="00DB1274">
        <w:rPr>
          <w:rFonts w:ascii="Times New Roman" w:eastAsia="Times New Roman" w:hAnsi="Times New Roman" w:cs="Times New Roman"/>
          <w:bCs/>
          <w:sz w:val="24"/>
          <w:szCs w:val="24"/>
          <w:lang w:val="en-US" w:eastAsia="es-MX"/>
        </w:rPr>
        <w:t xml:space="preserve"> Superior de la </w:t>
      </w:r>
      <w:proofErr w:type="spellStart"/>
      <w:r w:rsidRPr="00DB1274">
        <w:rPr>
          <w:rFonts w:ascii="Times New Roman" w:eastAsia="Times New Roman" w:hAnsi="Times New Roman" w:cs="Times New Roman"/>
          <w:bCs/>
          <w:sz w:val="24"/>
          <w:szCs w:val="24"/>
          <w:lang w:val="en-US" w:eastAsia="es-MX"/>
        </w:rPr>
        <w:t>Federación</w:t>
      </w:r>
      <w:proofErr w:type="spellEnd"/>
      <w:r w:rsidR="0002054C" w:rsidRPr="00A76E20">
        <w:rPr>
          <w:rFonts w:ascii="Times New Roman" w:eastAsia="Times New Roman" w:hAnsi="Times New Roman" w:cs="Times New Roman"/>
          <w:bCs/>
          <w:sz w:val="24"/>
          <w:szCs w:val="24"/>
          <w:lang w:val="en-US" w:eastAsia="es-MX"/>
        </w:rPr>
        <w:t xml:space="preserve"> (ASF)</w:t>
      </w:r>
      <w:r w:rsidRPr="00DB1274">
        <w:rPr>
          <w:rFonts w:ascii="Times New Roman" w:eastAsia="Times New Roman" w:hAnsi="Times New Roman" w:cs="Times New Roman"/>
          <w:bCs/>
          <w:sz w:val="24"/>
          <w:szCs w:val="24"/>
          <w:lang w:val="en-US" w:eastAsia="es-MX"/>
        </w:rPr>
        <w:t xml:space="preserve">. </w:t>
      </w:r>
      <w:r w:rsidRPr="00DB1274">
        <w:rPr>
          <w:rFonts w:ascii="Times New Roman" w:eastAsia="Times New Roman" w:hAnsi="Times New Roman" w:cs="Times New Roman"/>
          <w:bCs/>
          <w:sz w:val="24"/>
          <w:szCs w:val="24"/>
          <w:lang w:eastAsia="es-MX"/>
        </w:rPr>
        <w:t>(2022).</w:t>
      </w:r>
      <w:r w:rsidRPr="00A76E20">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i/>
          <w:iCs/>
          <w:sz w:val="24"/>
          <w:szCs w:val="24"/>
          <w:lang w:eastAsia="es-MX"/>
        </w:rPr>
        <w:t>Informe del resultado de la fiscalización superior de la Cuenta Pública 2021: Programa de adquisiciones, arrendamientos y servicios del sector público federal</w:t>
      </w:r>
      <w:r w:rsidRPr="00A76E20">
        <w:rPr>
          <w:rFonts w:ascii="Times New Roman" w:eastAsia="Times New Roman" w:hAnsi="Times New Roman" w:cs="Times New Roman"/>
          <w:sz w:val="24"/>
          <w:szCs w:val="24"/>
          <w:lang w:eastAsia="es-MX"/>
        </w:rPr>
        <w:t>.</w:t>
      </w:r>
    </w:p>
    <w:p w14:paraId="5CBF58D0" w14:textId="16B4D970" w:rsidR="006954E7" w:rsidRPr="00A13434" w:rsidRDefault="00A13434" w:rsidP="00A76E20">
      <w:pPr>
        <w:spacing w:after="0" w:line="360" w:lineRule="auto"/>
        <w:ind w:left="709" w:hanging="709"/>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            </w:t>
      </w:r>
      <w:r w:rsidR="006954E7" w:rsidRPr="00A76E20">
        <w:rPr>
          <w:rFonts w:ascii="Times New Roman" w:eastAsia="Times New Roman" w:hAnsi="Times New Roman" w:cs="Times New Roman"/>
          <w:sz w:val="24"/>
          <w:szCs w:val="24"/>
          <w:lang w:eastAsia="es-MX"/>
        </w:rPr>
        <w:t xml:space="preserve"> </w:t>
      </w:r>
      <w:hyperlink r:id="rId10" w:tgtFrame="_new" w:history="1">
        <w:r w:rsidR="006954E7" w:rsidRPr="00A13434">
          <w:rPr>
            <w:rStyle w:val="Hipervnculo"/>
            <w:rFonts w:ascii="Times New Roman" w:eastAsia="Times New Roman" w:hAnsi="Times New Roman" w:cs="Times New Roman"/>
            <w:sz w:val="24"/>
            <w:szCs w:val="24"/>
            <w:lang w:eastAsia="es-MX"/>
          </w:rPr>
          <w:t>https://www.asf.gob.mx/Section/58_Informes_de_auditoria</w:t>
        </w:r>
      </w:hyperlink>
    </w:p>
    <w:p w14:paraId="33BEFB4E" w14:textId="740E41A4"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 xml:space="preserve">Bowersox, D. J., Closs, D. J., </w:t>
      </w:r>
      <w:r w:rsidR="0002054C" w:rsidRPr="00A76E20">
        <w:rPr>
          <w:rFonts w:ascii="Times New Roman" w:eastAsia="Times New Roman" w:hAnsi="Times New Roman" w:cs="Times New Roman"/>
          <w:bCs/>
          <w:sz w:val="24"/>
          <w:szCs w:val="24"/>
          <w:lang w:val="en-US" w:eastAsia="es-MX"/>
        </w:rPr>
        <w:t>y</w:t>
      </w:r>
      <w:r w:rsidRPr="00DB1274">
        <w:rPr>
          <w:rFonts w:ascii="Times New Roman" w:eastAsia="Times New Roman" w:hAnsi="Times New Roman" w:cs="Times New Roman"/>
          <w:bCs/>
          <w:sz w:val="24"/>
          <w:szCs w:val="24"/>
          <w:lang w:val="en-US" w:eastAsia="es-MX"/>
        </w:rPr>
        <w:t xml:space="preserve"> Cooper, M. B. (2012).</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Supply chain logistics management</w:t>
      </w:r>
      <w:r w:rsidRPr="00A76E20">
        <w:rPr>
          <w:rFonts w:ascii="Times New Roman" w:eastAsia="Times New Roman" w:hAnsi="Times New Roman" w:cs="Times New Roman"/>
          <w:sz w:val="24"/>
          <w:szCs w:val="24"/>
          <w:lang w:val="en-US" w:eastAsia="es-MX"/>
        </w:rPr>
        <w:t xml:space="preserve"> (4th ed.). McGraw-Hill Education.</w:t>
      </w:r>
    </w:p>
    <w:p w14:paraId="40BBADB6" w14:textId="61F9350D" w:rsidR="006954E7" w:rsidRPr="00807E3E"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 xml:space="preserve">Chen, I. J., </w:t>
      </w:r>
      <w:r w:rsidR="00FB3B0F" w:rsidRPr="00A76E20">
        <w:rPr>
          <w:rFonts w:ascii="Times New Roman" w:eastAsia="Times New Roman" w:hAnsi="Times New Roman" w:cs="Times New Roman"/>
          <w:bCs/>
          <w:sz w:val="24"/>
          <w:szCs w:val="24"/>
          <w:lang w:val="en-US" w:eastAsia="es-MX"/>
        </w:rPr>
        <w:t>y</w:t>
      </w:r>
      <w:r w:rsidRPr="00DB1274">
        <w:rPr>
          <w:rFonts w:ascii="Times New Roman" w:eastAsia="Times New Roman" w:hAnsi="Times New Roman" w:cs="Times New Roman"/>
          <w:bCs/>
          <w:sz w:val="24"/>
          <w:szCs w:val="24"/>
          <w:lang w:val="en-US" w:eastAsia="es-MX"/>
        </w:rPr>
        <w:t xml:space="preserve"> Paulraj, A. (2004).</w:t>
      </w:r>
      <w:r w:rsidRPr="00A76E20">
        <w:rPr>
          <w:rFonts w:ascii="Times New Roman" w:eastAsia="Times New Roman" w:hAnsi="Times New Roman" w:cs="Times New Roman"/>
          <w:sz w:val="24"/>
          <w:szCs w:val="24"/>
          <w:lang w:val="en-US" w:eastAsia="es-MX"/>
        </w:rPr>
        <w:t xml:space="preserve"> Towards a theory of supply chain management: The constructs and measurements. </w:t>
      </w:r>
      <w:r w:rsidRPr="00A76E20">
        <w:rPr>
          <w:rFonts w:ascii="Times New Roman" w:eastAsia="Times New Roman" w:hAnsi="Times New Roman" w:cs="Times New Roman"/>
          <w:i/>
          <w:iCs/>
          <w:sz w:val="24"/>
          <w:szCs w:val="24"/>
          <w:lang w:val="en-US" w:eastAsia="es-MX"/>
        </w:rPr>
        <w:t>Journal of Operations Management, 22</w:t>
      </w:r>
      <w:r w:rsidRPr="00A76E20">
        <w:rPr>
          <w:rFonts w:ascii="Times New Roman" w:eastAsia="Times New Roman" w:hAnsi="Times New Roman" w:cs="Times New Roman"/>
          <w:sz w:val="24"/>
          <w:szCs w:val="24"/>
          <w:lang w:val="en-US" w:eastAsia="es-MX"/>
        </w:rPr>
        <w:t xml:space="preserve">(2), 119–150. </w:t>
      </w:r>
      <w:hyperlink r:id="rId11" w:tgtFrame="_new" w:history="1">
        <w:r w:rsidRPr="00807E3E">
          <w:rPr>
            <w:rStyle w:val="Hipervnculo"/>
            <w:rFonts w:ascii="Times New Roman" w:eastAsia="Times New Roman" w:hAnsi="Times New Roman" w:cs="Times New Roman"/>
            <w:sz w:val="24"/>
            <w:szCs w:val="24"/>
            <w:lang w:val="en-US" w:eastAsia="es-MX"/>
          </w:rPr>
          <w:t>https://doi.org/10.1016/j.jom.2003.12.007</w:t>
        </w:r>
      </w:hyperlink>
    </w:p>
    <w:p w14:paraId="7B03F8CE" w14:textId="307512F5"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807E3E">
        <w:rPr>
          <w:rFonts w:ascii="Times New Roman" w:eastAsia="Times New Roman" w:hAnsi="Times New Roman" w:cs="Times New Roman"/>
          <w:bCs/>
          <w:sz w:val="24"/>
          <w:szCs w:val="24"/>
          <w:lang w:val="en-US" w:eastAsia="es-MX"/>
        </w:rPr>
        <w:t xml:space="preserve">Chopra, S., </w:t>
      </w:r>
      <w:r w:rsidR="00FB3B0F" w:rsidRPr="00807E3E">
        <w:rPr>
          <w:rFonts w:ascii="Times New Roman" w:eastAsia="Times New Roman" w:hAnsi="Times New Roman" w:cs="Times New Roman"/>
          <w:bCs/>
          <w:sz w:val="24"/>
          <w:szCs w:val="24"/>
          <w:lang w:val="en-US" w:eastAsia="es-MX"/>
        </w:rPr>
        <w:t>y</w:t>
      </w:r>
      <w:r w:rsidRPr="00807E3E">
        <w:rPr>
          <w:rFonts w:ascii="Times New Roman" w:eastAsia="Times New Roman" w:hAnsi="Times New Roman" w:cs="Times New Roman"/>
          <w:bCs/>
          <w:sz w:val="24"/>
          <w:szCs w:val="24"/>
          <w:lang w:val="en-US" w:eastAsia="es-MX"/>
        </w:rPr>
        <w:t xml:space="preserve"> </w:t>
      </w:r>
      <w:proofErr w:type="spellStart"/>
      <w:r w:rsidRPr="00807E3E">
        <w:rPr>
          <w:rFonts w:ascii="Times New Roman" w:eastAsia="Times New Roman" w:hAnsi="Times New Roman" w:cs="Times New Roman"/>
          <w:bCs/>
          <w:sz w:val="24"/>
          <w:szCs w:val="24"/>
          <w:lang w:val="en-US" w:eastAsia="es-MX"/>
        </w:rPr>
        <w:t>Meindl</w:t>
      </w:r>
      <w:proofErr w:type="spellEnd"/>
      <w:r w:rsidRPr="00807E3E">
        <w:rPr>
          <w:rFonts w:ascii="Times New Roman" w:eastAsia="Times New Roman" w:hAnsi="Times New Roman" w:cs="Times New Roman"/>
          <w:bCs/>
          <w:sz w:val="24"/>
          <w:szCs w:val="24"/>
          <w:lang w:val="en-US" w:eastAsia="es-MX"/>
        </w:rPr>
        <w:t>, P. (2016).</w:t>
      </w:r>
      <w:r w:rsidRPr="00807E3E">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Supply chain management: Strategy, planning, and operation</w:t>
      </w:r>
      <w:r w:rsidRPr="00A76E20">
        <w:rPr>
          <w:rFonts w:ascii="Times New Roman" w:eastAsia="Times New Roman" w:hAnsi="Times New Roman" w:cs="Times New Roman"/>
          <w:sz w:val="24"/>
          <w:szCs w:val="24"/>
          <w:lang w:val="en-US" w:eastAsia="es-MX"/>
        </w:rPr>
        <w:t xml:space="preserve"> (6th ed.). Pearson Education.</w:t>
      </w:r>
    </w:p>
    <w:p w14:paraId="626CE0EF" w14:textId="166515AD"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DB1274">
        <w:rPr>
          <w:rFonts w:ascii="Times New Roman" w:eastAsia="Times New Roman" w:hAnsi="Times New Roman" w:cs="Times New Roman"/>
          <w:bCs/>
          <w:sz w:val="24"/>
          <w:szCs w:val="24"/>
          <w:lang w:eastAsia="es-MX"/>
        </w:rPr>
        <w:lastRenderedPageBreak/>
        <w:t xml:space="preserve">Cohen, S., </w:t>
      </w:r>
      <w:r w:rsidR="00FB3B0F" w:rsidRPr="00DB1274">
        <w:rPr>
          <w:rFonts w:ascii="Times New Roman" w:eastAsia="Times New Roman" w:hAnsi="Times New Roman" w:cs="Times New Roman"/>
          <w:bCs/>
          <w:sz w:val="24"/>
          <w:szCs w:val="24"/>
          <w:lang w:eastAsia="es-MX"/>
        </w:rPr>
        <w:t>y</w:t>
      </w:r>
      <w:r w:rsidRPr="00DB1274">
        <w:rPr>
          <w:rFonts w:ascii="Times New Roman" w:eastAsia="Times New Roman" w:hAnsi="Times New Roman" w:cs="Times New Roman"/>
          <w:bCs/>
          <w:sz w:val="24"/>
          <w:szCs w:val="24"/>
          <w:lang w:eastAsia="es-MX"/>
        </w:rPr>
        <w:t xml:space="preserve"> Karatzimas, S. (2017).</w:t>
      </w:r>
      <w:r w:rsidRPr="00DB1274">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sz w:val="24"/>
          <w:szCs w:val="24"/>
          <w:lang w:val="en-US" w:eastAsia="es-MX"/>
        </w:rPr>
        <w:t xml:space="preserve">Accounting information quality and decision-usefulness of governmental financial reporting. </w:t>
      </w:r>
      <w:r w:rsidRPr="00A76E20">
        <w:rPr>
          <w:rFonts w:ascii="Times New Roman" w:eastAsia="Times New Roman" w:hAnsi="Times New Roman" w:cs="Times New Roman"/>
          <w:i/>
          <w:iCs/>
          <w:sz w:val="24"/>
          <w:szCs w:val="24"/>
          <w:lang w:eastAsia="es-MX"/>
        </w:rPr>
        <w:t>Meditari Accountancy Research, 25</w:t>
      </w:r>
      <w:r w:rsidRPr="00A76E20">
        <w:rPr>
          <w:rFonts w:ascii="Times New Roman" w:eastAsia="Times New Roman" w:hAnsi="Times New Roman" w:cs="Times New Roman"/>
          <w:sz w:val="24"/>
          <w:szCs w:val="24"/>
          <w:lang w:eastAsia="es-MX"/>
        </w:rPr>
        <w:t xml:space="preserve">(1), 95–113. </w:t>
      </w:r>
      <w:hyperlink r:id="rId12" w:tgtFrame="_new" w:history="1">
        <w:r w:rsidRPr="00A76E20">
          <w:rPr>
            <w:rStyle w:val="Hipervnculo"/>
            <w:rFonts w:ascii="Times New Roman" w:eastAsia="Times New Roman" w:hAnsi="Times New Roman" w:cs="Times New Roman"/>
            <w:sz w:val="24"/>
            <w:szCs w:val="24"/>
            <w:lang w:eastAsia="es-MX"/>
          </w:rPr>
          <w:t>https://doi.org/10.1108/MEDAR-10-2015-0070</w:t>
        </w:r>
      </w:hyperlink>
    </w:p>
    <w:p w14:paraId="05FE1276" w14:textId="6791A854"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DB1274">
        <w:rPr>
          <w:rFonts w:ascii="Times New Roman" w:eastAsia="Times New Roman" w:hAnsi="Times New Roman" w:cs="Times New Roman"/>
          <w:bCs/>
          <w:sz w:val="24"/>
          <w:szCs w:val="24"/>
          <w:lang w:eastAsia="es-MX"/>
        </w:rPr>
        <w:t>Consejo Mexicano de Normas de Información Financiera</w:t>
      </w:r>
      <w:r w:rsidR="001D016C" w:rsidRPr="00A76E20">
        <w:rPr>
          <w:rFonts w:ascii="Times New Roman" w:eastAsia="Times New Roman" w:hAnsi="Times New Roman" w:cs="Times New Roman"/>
          <w:bCs/>
          <w:sz w:val="24"/>
          <w:szCs w:val="24"/>
          <w:lang w:eastAsia="es-MX"/>
        </w:rPr>
        <w:t xml:space="preserve"> (CINIF)</w:t>
      </w:r>
      <w:r w:rsidRPr="00DB1274">
        <w:rPr>
          <w:rFonts w:ascii="Times New Roman" w:eastAsia="Times New Roman" w:hAnsi="Times New Roman" w:cs="Times New Roman"/>
          <w:bCs/>
          <w:sz w:val="24"/>
          <w:szCs w:val="24"/>
          <w:lang w:eastAsia="es-MX"/>
        </w:rPr>
        <w:t>. (2018a).</w:t>
      </w:r>
      <w:r w:rsidRPr="00A76E20">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i/>
          <w:iCs/>
          <w:sz w:val="24"/>
          <w:szCs w:val="24"/>
          <w:lang w:eastAsia="es-MX"/>
        </w:rPr>
        <w:t>NIF C-2: Instrumentos financieros por pagar</w:t>
      </w:r>
      <w:r w:rsidRPr="00A76E20">
        <w:rPr>
          <w:rFonts w:ascii="Times New Roman" w:eastAsia="Times New Roman" w:hAnsi="Times New Roman" w:cs="Times New Roman"/>
          <w:sz w:val="24"/>
          <w:szCs w:val="24"/>
          <w:lang w:eastAsia="es-MX"/>
        </w:rPr>
        <w:t>.</w:t>
      </w:r>
      <w:r w:rsidR="00171E1D">
        <w:rPr>
          <w:rFonts w:ascii="Times New Roman" w:eastAsia="Times New Roman" w:hAnsi="Times New Roman" w:cs="Times New Roman"/>
          <w:sz w:val="24"/>
          <w:szCs w:val="24"/>
          <w:lang w:eastAsia="es-MX"/>
        </w:rPr>
        <w:t xml:space="preserve"> </w:t>
      </w:r>
      <w:r w:rsidR="00171E1D" w:rsidRPr="00171E1D">
        <w:rPr>
          <w:rFonts w:ascii="Times New Roman" w:eastAsia="Times New Roman" w:hAnsi="Times New Roman" w:cs="Times New Roman"/>
          <w:sz w:val="24"/>
          <w:szCs w:val="24"/>
          <w:lang w:eastAsia="es-MX"/>
        </w:rPr>
        <w:t>https://www.cinif.org.mx/assets/mejoras_nif/MejorasNIF2018.pdf</w:t>
      </w:r>
    </w:p>
    <w:p w14:paraId="4FD7991D" w14:textId="77777777" w:rsidR="00A13434" w:rsidRDefault="006954E7" w:rsidP="00A13434">
      <w:pPr>
        <w:spacing w:after="0" w:line="360" w:lineRule="auto"/>
        <w:ind w:left="709" w:hanging="709"/>
        <w:jc w:val="both"/>
        <w:rPr>
          <w:rFonts w:ascii="Times New Roman" w:eastAsia="Times New Roman" w:hAnsi="Times New Roman" w:cs="Times New Roman"/>
          <w:sz w:val="24"/>
          <w:szCs w:val="24"/>
          <w:lang w:eastAsia="es-MX"/>
        </w:rPr>
      </w:pPr>
      <w:r w:rsidRPr="00DB1274">
        <w:rPr>
          <w:rFonts w:ascii="Times New Roman" w:eastAsia="Times New Roman" w:hAnsi="Times New Roman" w:cs="Times New Roman"/>
          <w:bCs/>
          <w:sz w:val="24"/>
          <w:szCs w:val="24"/>
          <w:lang w:eastAsia="es-MX"/>
        </w:rPr>
        <w:t>Consejo Mexicano de Normas de Información Financiera</w:t>
      </w:r>
      <w:r w:rsidR="001D016C" w:rsidRPr="00A76E20">
        <w:rPr>
          <w:rFonts w:ascii="Times New Roman" w:eastAsia="Times New Roman" w:hAnsi="Times New Roman" w:cs="Times New Roman"/>
          <w:bCs/>
          <w:sz w:val="24"/>
          <w:szCs w:val="24"/>
          <w:lang w:eastAsia="es-MX"/>
        </w:rPr>
        <w:t xml:space="preserve"> (CINIF)</w:t>
      </w:r>
      <w:r w:rsidRPr="00DB1274">
        <w:rPr>
          <w:rFonts w:ascii="Times New Roman" w:eastAsia="Times New Roman" w:hAnsi="Times New Roman" w:cs="Times New Roman"/>
          <w:bCs/>
          <w:sz w:val="24"/>
          <w:szCs w:val="24"/>
          <w:lang w:eastAsia="es-MX"/>
        </w:rPr>
        <w:t>. (2018b).</w:t>
      </w:r>
      <w:r w:rsidRPr="00A76E20">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i/>
          <w:iCs/>
          <w:sz w:val="24"/>
          <w:szCs w:val="24"/>
          <w:lang w:eastAsia="es-MX"/>
        </w:rPr>
        <w:t xml:space="preserve">NIF C-6: Propiedades, planta y </w:t>
      </w:r>
      <w:r w:rsidR="00A13434">
        <w:rPr>
          <w:rFonts w:ascii="Times New Roman" w:eastAsia="Times New Roman" w:hAnsi="Times New Roman" w:cs="Times New Roman"/>
          <w:i/>
          <w:iCs/>
          <w:sz w:val="24"/>
          <w:szCs w:val="24"/>
          <w:lang w:eastAsia="es-MX"/>
        </w:rPr>
        <w:t xml:space="preserve">  </w:t>
      </w:r>
      <w:r w:rsidRPr="00A76E20">
        <w:rPr>
          <w:rFonts w:ascii="Times New Roman" w:eastAsia="Times New Roman" w:hAnsi="Times New Roman" w:cs="Times New Roman"/>
          <w:i/>
          <w:iCs/>
          <w:sz w:val="24"/>
          <w:szCs w:val="24"/>
          <w:lang w:eastAsia="es-MX"/>
        </w:rPr>
        <w:t>equipo</w:t>
      </w:r>
      <w:r w:rsidRPr="00A76E20">
        <w:rPr>
          <w:rFonts w:ascii="Times New Roman" w:eastAsia="Times New Roman" w:hAnsi="Times New Roman" w:cs="Times New Roman"/>
          <w:sz w:val="24"/>
          <w:szCs w:val="24"/>
          <w:lang w:eastAsia="es-MX"/>
        </w:rPr>
        <w:t>.</w:t>
      </w:r>
    </w:p>
    <w:p w14:paraId="7F16DFFA" w14:textId="6D43C157" w:rsidR="006954E7" w:rsidRPr="00A13434" w:rsidRDefault="00A13434" w:rsidP="00A13434">
      <w:pPr>
        <w:spacing w:after="0" w:line="360" w:lineRule="auto"/>
        <w:ind w:left="709" w:hanging="709"/>
        <w:jc w:val="both"/>
        <w:rPr>
          <w:rFonts w:ascii="Times New Roman" w:eastAsia="Times New Roman" w:hAnsi="Times New Roman" w:cs="Times New Roman"/>
          <w:i/>
          <w:iCs/>
          <w:sz w:val="24"/>
          <w:szCs w:val="24"/>
          <w:lang w:eastAsia="es-MX"/>
        </w:rPr>
      </w:pPr>
      <w:r>
        <w:rPr>
          <w:rFonts w:ascii="Times New Roman" w:eastAsia="Times New Roman" w:hAnsi="Times New Roman" w:cs="Times New Roman"/>
          <w:sz w:val="24"/>
          <w:szCs w:val="24"/>
          <w:lang w:eastAsia="es-MX"/>
        </w:rPr>
        <w:t xml:space="preserve">              </w:t>
      </w:r>
      <w:hyperlink r:id="rId13" w:history="1">
        <w:r w:rsidRPr="006D3B1F">
          <w:rPr>
            <w:rStyle w:val="Hipervnculo"/>
            <w:rFonts w:ascii="Times New Roman" w:eastAsia="Times New Roman" w:hAnsi="Times New Roman" w:cs="Times New Roman"/>
            <w:sz w:val="24"/>
            <w:szCs w:val="24"/>
            <w:lang w:eastAsia="es-MX"/>
          </w:rPr>
          <w:t>https://www.cinif.org.mx/assets/mejoras_nif/MejorasNIF2018.pdf</w:t>
        </w:r>
      </w:hyperlink>
    </w:p>
    <w:p w14:paraId="2B9B72FB" w14:textId="19920CA9" w:rsidR="006954E7"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DB1274">
        <w:rPr>
          <w:rFonts w:ascii="Times New Roman" w:eastAsia="Times New Roman" w:hAnsi="Times New Roman" w:cs="Times New Roman"/>
          <w:bCs/>
          <w:sz w:val="24"/>
          <w:szCs w:val="24"/>
          <w:lang w:eastAsia="es-MX"/>
        </w:rPr>
        <w:t>Consejo Mexicano de Normas de Información Financiera</w:t>
      </w:r>
      <w:r w:rsidR="001D016C" w:rsidRPr="00A76E20">
        <w:rPr>
          <w:rFonts w:ascii="Times New Roman" w:eastAsia="Times New Roman" w:hAnsi="Times New Roman" w:cs="Times New Roman"/>
          <w:bCs/>
          <w:sz w:val="24"/>
          <w:szCs w:val="24"/>
          <w:lang w:eastAsia="es-MX"/>
        </w:rPr>
        <w:t xml:space="preserve"> (CINIF)</w:t>
      </w:r>
      <w:r w:rsidRPr="00DB1274">
        <w:rPr>
          <w:rFonts w:ascii="Times New Roman" w:eastAsia="Times New Roman" w:hAnsi="Times New Roman" w:cs="Times New Roman"/>
          <w:bCs/>
          <w:sz w:val="24"/>
          <w:szCs w:val="24"/>
          <w:lang w:eastAsia="es-MX"/>
        </w:rPr>
        <w:t>. (2018c).</w:t>
      </w:r>
      <w:r w:rsidRPr="00A76E20">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i/>
          <w:iCs/>
          <w:sz w:val="24"/>
          <w:szCs w:val="24"/>
          <w:lang w:eastAsia="es-MX"/>
        </w:rPr>
        <w:t>NIF C-4: Inventarios</w:t>
      </w:r>
      <w:r w:rsidRPr="00A76E20">
        <w:rPr>
          <w:rFonts w:ascii="Times New Roman" w:eastAsia="Times New Roman" w:hAnsi="Times New Roman" w:cs="Times New Roman"/>
          <w:sz w:val="24"/>
          <w:szCs w:val="24"/>
          <w:lang w:eastAsia="es-MX"/>
        </w:rPr>
        <w:t>.</w:t>
      </w:r>
      <w:r w:rsidR="00171E1D">
        <w:rPr>
          <w:rFonts w:ascii="Times New Roman" w:eastAsia="Times New Roman" w:hAnsi="Times New Roman" w:cs="Times New Roman"/>
          <w:sz w:val="24"/>
          <w:szCs w:val="24"/>
          <w:lang w:eastAsia="es-MX"/>
        </w:rPr>
        <w:t xml:space="preserve"> </w:t>
      </w:r>
      <w:hyperlink r:id="rId14" w:history="1">
        <w:r w:rsidR="00A13434" w:rsidRPr="006D3B1F">
          <w:rPr>
            <w:rStyle w:val="Hipervnculo"/>
            <w:rFonts w:ascii="Times New Roman" w:eastAsia="Times New Roman" w:hAnsi="Times New Roman" w:cs="Times New Roman"/>
            <w:sz w:val="24"/>
            <w:szCs w:val="24"/>
            <w:lang w:eastAsia="es-MX"/>
          </w:rPr>
          <w:t>https://www.cinif.org.mx/assets/mejoras_nif/MejorasNIF2018.pdf</w:t>
        </w:r>
      </w:hyperlink>
    </w:p>
    <w:p w14:paraId="0596D616" w14:textId="3EFD4B11"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proofErr w:type="spellStart"/>
      <w:r w:rsidRPr="00DB1274">
        <w:rPr>
          <w:rFonts w:ascii="Times New Roman" w:eastAsia="Times New Roman" w:hAnsi="Times New Roman" w:cs="Times New Roman"/>
          <w:bCs/>
          <w:sz w:val="24"/>
          <w:szCs w:val="24"/>
          <w:lang w:eastAsia="es-MX"/>
        </w:rPr>
        <w:t>Ellram</w:t>
      </w:r>
      <w:proofErr w:type="spellEnd"/>
      <w:r w:rsidRPr="00DB1274">
        <w:rPr>
          <w:rFonts w:ascii="Times New Roman" w:eastAsia="Times New Roman" w:hAnsi="Times New Roman" w:cs="Times New Roman"/>
          <w:bCs/>
          <w:sz w:val="24"/>
          <w:szCs w:val="24"/>
          <w:lang w:eastAsia="es-MX"/>
        </w:rPr>
        <w:t xml:space="preserve">, L. M., </w:t>
      </w:r>
      <w:r w:rsidR="00FB3B0F" w:rsidRPr="00A76E20">
        <w:rPr>
          <w:rFonts w:ascii="Times New Roman" w:eastAsia="Times New Roman" w:hAnsi="Times New Roman" w:cs="Times New Roman"/>
          <w:bCs/>
          <w:sz w:val="24"/>
          <w:szCs w:val="24"/>
          <w:lang w:eastAsia="es-MX"/>
        </w:rPr>
        <w:t>y</w:t>
      </w:r>
      <w:r w:rsidRPr="00DB1274">
        <w:rPr>
          <w:rFonts w:ascii="Times New Roman" w:eastAsia="Times New Roman" w:hAnsi="Times New Roman" w:cs="Times New Roman"/>
          <w:bCs/>
          <w:sz w:val="24"/>
          <w:szCs w:val="24"/>
          <w:lang w:eastAsia="es-MX"/>
        </w:rPr>
        <w:t xml:space="preserve"> Siferd, S. P. (1993).</w:t>
      </w:r>
      <w:r w:rsidRPr="00A76E20">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sz w:val="24"/>
          <w:szCs w:val="24"/>
          <w:lang w:val="en-US" w:eastAsia="es-MX"/>
        </w:rPr>
        <w:t xml:space="preserve">Purchasing: The cornerstone of the total cost of ownership concept. </w:t>
      </w:r>
      <w:r w:rsidRPr="00A76E20">
        <w:rPr>
          <w:rFonts w:ascii="Times New Roman" w:eastAsia="Times New Roman" w:hAnsi="Times New Roman" w:cs="Times New Roman"/>
          <w:i/>
          <w:iCs/>
          <w:sz w:val="24"/>
          <w:szCs w:val="24"/>
          <w:lang w:val="en-US" w:eastAsia="es-MX"/>
        </w:rPr>
        <w:t>Journal of Business Logistics, 14</w:t>
      </w:r>
      <w:r w:rsidRPr="00A76E20">
        <w:rPr>
          <w:rFonts w:ascii="Times New Roman" w:eastAsia="Times New Roman" w:hAnsi="Times New Roman" w:cs="Times New Roman"/>
          <w:sz w:val="24"/>
          <w:szCs w:val="24"/>
          <w:lang w:val="en-US" w:eastAsia="es-MX"/>
        </w:rPr>
        <w:t>(1), 163–184.</w:t>
      </w:r>
    </w:p>
    <w:p w14:paraId="069FC7BD" w14:textId="77777777" w:rsidR="006954E7" w:rsidRPr="00DB1274"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Frazelle, E. (2002).</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World-class warehousing and material handling</w:t>
      </w:r>
      <w:r w:rsidRPr="00A76E20">
        <w:rPr>
          <w:rFonts w:ascii="Times New Roman" w:eastAsia="Times New Roman" w:hAnsi="Times New Roman" w:cs="Times New Roman"/>
          <w:sz w:val="24"/>
          <w:szCs w:val="24"/>
          <w:lang w:val="en-US" w:eastAsia="es-MX"/>
        </w:rPr>
        <w:t xml:space="preserve">. </w:t>
      </w:r>
      <w:r w:rsidRPr="00DB1274">
        <w:rPr>
          <w:rFonts w:ascii="Times New Roman" w:eastAsia="Times New Roman" w:hAnsi="Times New Roman" w:cs="Times New Roman"/>
          <w:sz w:val="24"/>
          <w:szCs w:val="24"/>
          <w:lang w:val="en-US" w:eastAsia="es-MX"/>
        </w:rPr>
        <w:t>McGraw-Hill Education.</w:t>
      </w:r>
    </w:p>
    <w:p w14:paraId="51109AB9" w14:textId="16358E04" w:rsidR="006954E7" w:rsidRPr="00807E3E"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 xml:space="preserve">Gu, J., </w:t>
      </w:r>
      <w:proofErr w:type="spellStart"/>
      <w:r w:rsidRPr="00DB1274">
        <w:rPr>
          <w:rFonts w:ascii="Times New Roman" w:eastAsia="Times New Roman" w:hAnsi="Times New Roman" w:cs="Times New Roman"/>
          <w:bCs/>
          <w:sz w:val="24"/>
          <w:szCs w:val="24"/>
          <w:lang w:val="en-US" w:eastAsia="es-MX"/>
        </w:rPr>
        <w:t>Goetschalckx</w:t>
      </w:r>
      <w:proofErr w:type="spellEnd"/>
      <w:r w:rsidRPr="00DB1274">
        <w:rPr>
          <w:rFonts w:ascii="Times New Roman" w:eastAsia="Times New Roman" w:hAnsi="Times New Roman" w:cs="Times New Roman"/>
          <w:bCs/>
          <w:sz w:val="24"/>
          <w:szCs w:val="24"/>
          <w:lang w:val="en-US" w:eastAsia="es-MX"/>
        </w:rPr>
        <w:t xml:space="preserve">, M., </w:t>
      </w:r>
      <w:r w:rsidR="00A17609" w:rsidRPr="00171E1D">
        <w:rPr>
          <w:rFonts w:ascii="Times New Roman" w:eastAsia="Times New Roman" w:hAnsi="Times New Roman" w:cs="Times New Roman"/>
          <w:bCs/>
          <w:sz w:val="24"/>
          <w:szCs w:val="24"/>
          <w:lang w:val="en-US" w:eastAsia="es-MX"/>
        </w:rPr>
        <w:t>y</w:t>
      </w:r>
      <w:r w:rsidRPr="00DB1274">
        <w:rPr>
          <w:rFonts w:ascii="Times New Roman" w:eastAsia="Times New Roman" w:hAnsi="Times New Roman" w:cs="Times New Roman"/>
          <w:bCs/>
          <w:sz w:val="24"/>
          <w:szCs w:val="24"/>
          <w:lang w:val="en-US" w:eastAsia="es-MX"/>
        </w:rPr>
        <w:t xml:space="preserve"> McGinnis, L. F. (2010).</w:t>
      </w:r>
      <w:r w:rsidRPr="00171E1D">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sz w:val="24"/>
          <w:szCs w:val="24"/>
          <w:lang w:val="en-US" w:eastAsia="es-MX"/>
        </w:rPr>
        <w:t xml:space="preserve">Research on warehouse design and performance evaluation. </w:t>
      </w:r>
      <w:r w:rsidRPr="00A76E20">
        <w:rPr>
          <w:rFonts w:ascii="Times New Roman" w:eastAsia="Times New Roman" w:hAnsi="Times New Roman" w:cs="Times New Roman"/>
          <w:i/>
          <w:iCs/>
          <w:sz w:val="24"/>
          <w:szCs w:val="24"/>
          <w:lang w:val="en-US" w:eastAsia="es-MX"/>
        </w:rPr>
        <w:t>European Journal of Operational Research, 203</w:t>
      </w:r>
      <w:r w:rsidRPr="00A76E20">
        <w:rPr>
          <w:rFonts w:ascii="Times New Roman" w:eastAsia="Times New Roman" w:hAnsi="Times New Roman" w:cs="Times New Roman"/>
          <w:sz w:val="24"/>
          <w:szCs w:val="24"/>
          <w:lang w:val="en-US" w:eastAsia="es-MX"/>
        </w:rPr>
        <w:t xml:space="preserve">(3), 539–549. </w:t>
      </w:r>
      <w:hyperlink r:id="rId15" w:tgtFrame="_new" w:history="1">
        <w:r w:rsidRPr="00807E3E">
          <w:rPr>
            <w:rStyle w:val="Hipervnculo"/>
            <w:rFonts w:ascii="Times New Roman" w:eastAsia="Times New Roman" w:hAnsi="Times New Roman" w:cs="Times New Roman"/>
            <w:sz w:val="24"/>
            <w:szCs w:val="24"/>
            <w:lang w:val="en-US" w:eastAsia="es-MX"/>
          </w:rPr>
          <w:t>https://doi.org/10.1016/j.ejor.2009.07.031</w:t>
        </w:r>
      </w:hyperlink>
    </w:p>
    <w:p w14:paraId="050C8739" w14:textId="1F95E3D5"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DB1274">
        <w:rPr>
          <w:rFonts w:ascii="Times New Roman" w:eastAsia="Times New Roman" w:hAnsi="Times New Roman" w:cs="Times New Roman"/>
          <w:bCs/>
          <w:sz w:val="24"/>
          <w:szCs w:val="24"/>
          <w:lang w:eastAsia="es-MX"/>
        </w:rPr>
        <w:t xml:space="preserve">Hood, C., </w:t>
      </w:r>
      <w:r w:rsidR="00A17609" w:rsidRPr="00A732C8">
        <w:rPr>
          <w:rFonts w:ascii="Times New Roman" w:eastAsia="Times New Roman" w:hAnsi="Times New Roman" w:cs="Times New Roman"/>
          <w:bCs/>
          <w:sz w:val="24"/>
          <w:szCs w:val="24"/>
          <w:lang w:eastAsia="es-MX"/>
        </w:rPr>
        <w:t>y</w:t>
      </w:r>
      <w:r w:rsidRPr="00DB1274">
        <w:rPr>
          <w:rFonts w:ascii="Times New Roman" w:eastAsia="Times New Roman" w:hAnsi="Times New Roman" w:cs="Times New Roman"/>
          <w:bCs/>
          <w:sz w:val="24"/>
          <w:szCs w:val="24"/>
          <w:lang w:eastAsia="es-MX"/>
        </w:rPr>
        <w:t xml:space="preserve"> Dixon, R. (2015).</w:t>
      </w:r>
      <w:r w:rsidRPr="00A732C8">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i/>
          <w:iCs/>
          <w:sz w:val="24"/>
          <w:szCs w:val="24"/>
          <w:lang w:val="en-US" w:eastAsia="es-MX"/>
        </w:rPr>
        <w:t>A government that worked better and cost less?</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sz w:val="24"/>
          <w:szCs w:val="24"/>
          <w:lang w:eastAsia="es-MX"/>
        </w:rPr>
        <w:t>Oxford University Press.</w:t>
      </w:r>
    </w:p>
    <w:p w14:paraId="4CAC4B48" w14:textId="7EC7FB73"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eastAsia="es-MX"/>
        </w:rPr>
        <w:t>Instituto Nacional de Transparencia, Acceso a la Información y Protección de Datos Personales</w:t>
      </w:r>
      <w:r w:rsidR="004A3315" w:rsidRPr="00A76E20">
        <w:rPr>
          <w:rFonts w:ascii="Times New Roman" w:eastAsia="Times New Roman" w:hAnsi="Times New Roman" w:cs="Times New Roman"/>
          <w:bCs/>
          <w:sz w:val="24"/>
          <w:szCs w:val="24"/>
          <w:lang w:eastAsia="es-MX"/>
        </w:rPr>
        <w:t xml:space="preserve"> (INAI)</w:t>
      </w:r>
      <w:r w:rsidRPr="00DB1274">
        <w:rPr>
          <w:rFonts w:ascii="Times New Roman" w:eastAsia="Times New Roman" w:hAnsi="Times New Roman" w:cs="Times New Roman"/>
          <w:bCs/>
          <w:sz w:val="24"/>
          <w:szCs w:val="24"/>
          <w:lang w:eastAsia="es-MX"/>
        </w:rPr>
        <w:t>. (2022).</w:t>
      </w:r>
      <w:r w:rsidRPr="00A76E20">
        <w:rPr>
          <w:rFonts w:ascii="Times New Roman" w:eastAsia="Times New Roman" w:hAnsi="Times New Roman" w:cs="Times New Roman"/>
          <w:sz w:val="24"/>
          <w:szCs w:val="24"/>
          <w:lang w:eastAsia="es-MX"/>
        </w:rPr>
        <w:t xml:space="preserve"> </w:t>
      </w:r>
      <w:r w:rsidRPr="00A76E20">
        <w:rPr>
          <w:rFonts w:ascii="Times New Roman" w:eastAsia="Times New Roman" w:hAnsi="Times New Roman" w:cs="Times New Roman"/>
          <w:i/>
          <w:iCs/>
          <w:sz w:val="24"/>
          <w:szCs w:val="24"/>
          <w:lang w:eastAsia="es-MX"/>
        </w:rPr>
        <w:t>Diagnósticos y estudios sobre transparencia y contrataciones públicas en México</w:t>
      </w:r>
      <w:r w:rsidRPr="00A76E20">
        <w:rPr>
          <w:rFonts w:ascii="Times New Roman" w:eastAsia="Times New Roman" w:hAnsi="Times New Roman" w:cs="Times New Roman"/>
          <w:sz w:val="24"/>
          <w:szCs w:val="24"/>
          <w:lang w:eastAsia="es-MX"/>
        </w:rPr>
        <w:t xml:space="preserve">. </w:t>
      </w:r>
      <w:hyperlink r:id="rId16" w:tgtFrame="_new" w:history="1">
        <w:r w:rsidRPr="00A76E20">
          <w:rPr>
            <w:rStyle w:val="Hipervnculo"/>
            <w:rFonts w:ascii="Times New Roman" w:eastAsia="Times New Roman" w:hAnsi="Times New Roman" w:cs="Times New Roman"/>
            <w:sz w:val="24"/>
            <w:szCs w:val="24"/>
            <w:lang w:val="en-US" w:eastAsia="es-MX"/>
          </w:rPr>
          <w:t>https://www.inai.org.mx</w:t>
        </w:r>
      </w:hyperlink>
    </w:p>
    <w:p w14:paraId="08D0DE21" w14:textId="54521494"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proofErr w:type="spellStart"/>
      <w:r w:rsidRPr="00DB1274">
        <w:rPr>
          <w:rFonts w:ascii="Times New Roman" w:eastAsia="Times New Roman" w:hAnsi="Times New Roman" w:cs="Times New Roman"/>
          <w:bCs/>
          <w:sz w:val="24"/>
          <w:szCs w:val="24"/>
          <w:lang w:val="en-US" w:eastAsia="es-MX"/>
        </w:rPr>
        <w:t>Monczka</w:t>
      </w:r>
      <w:proofErr w:type="spellEnd"/>
      <w:r w:rsidRPr="00DB1274">
        <w:rPr>
          <w:rFonts w:ascii="Times New Roman" w:eastAsia="Times New Roman" w:hAnsi="Times New Roman" w:cs="Times New Roman"/>
          <w:bCs/>
          <w:sz w:val="24"/>
          <w:szCs w:val="24"/>
          <w:lang w:val="en-US" w:eastAsia="es-MX"/>
        </w:rPr>
        <w:t xml:space="preserve">, R. M., Handfield, R. B., Giunipero, L. C., </w:t>
      </w:r>
      <w:r w:rsidR="00A17609" w:rsidRPr="00A76E20">
        <w:rPr>
          <w:rFonts w:ascii="Times New Roman" w:eastAsia="Times New Roman" w:hAnsi="Times New Roman" w:cs="Times New Roman"/>
          <w:bCs/>
          <w:sz w:val="24"/>
          <w:szCs w:val="24"/>
          <w:lang w:val="en-US" w:eastAsia="es-MX"/>
        </w:rPr>
        <w:t>y</w:t>
      </w:r>
      <w:r w:rsidRPr="00DB1274">
        <w:rPr>
          <w:rFonts w:ascii="Times New Roman" w:eastAsia="Times New Roman" w:hAnsi="Times New Roman" w:cs="Times New Roman"/>
          <w:bCs/>
          <w:sz w:val="24"/>
          <w:szCs w:val="24"/>
          <w:lang w:val="en-US" w:eastAsia="es-MX"/>
        </w:rPr>
        <w:t xml:space="preserve"> Patterson, J. L. (2015).</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Purchasing and supply chain management</w:t>
      </w:r>
      <w:r w:rsidRPr="00A76E20">
        <w:rPr>
          <w:rFonts w:ascii="Times New Roman" w:eastAsia="Times New Roman" w:hAnsi="Times New Roman" w:cs="Times New Roman"/>
          <w:sz w:val="24"/>
          <w:szCs w:val="24"/>
          <w:lang w:val="en-US" w:eastAsia="es-MX"/>
        </w:rPr>
        <w:t xml:space="preserve"> (6th ed.). Cengage Learning.</w:t>
      </w:r>
    </w:p>
    <w:p w14:paraId="4FE64AB7"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Navarro, J. C. (2011).</w:t>
      </w:r>
      <w:r w:rsidRPr="00171E1D">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sz w:val="24"/>
          <w:szCs w:val="24"/>
          <w:lang w:eastAsia="es-MX"/>
        </w:rPr>
        <w:t xml:space="preserve">Contabilidad gubernamental y gobernanza en América Latina. </w:t>
      </w:r>
      <w:r w:rsidRPr="00A76E20">
        <w:rPr>
          <w:rFonts w:ascii="Times New Roman" w:eastAsia="Times New Roman" w:hAnsi="Times New Roman" w:cs="Times New Roman"/>
          <w:i/>
          <w:iCs/>
          <w:sz w:val="24"/>
          <w:szCs w:val="24"/>
          <w:lang w:val="en-US" w:eastAsia="es-MX"/>
        </w:rPr>
        <w:t>Revista del CLAD Reforma y Democracia</w:t>
      </w:r>
      <w:r w:rsidRPr="00A76E20">
        <w:rPr>
          <w:rFonts w:ascii="Times New Roman" w:eastAsia="Times New Roman" w:hAnsi="Times New Roman" w:cs="Times New Roman"/>
          <w:sz w:val="24"/>
          <w:szCs w:val="24"/>
          <w:lang w:val="en-US" w:eastAsia="es-MX"/>
        </w:rPr>
        <w:t>, 49, 87–112.</w:t>
      </w:r>
    </w:p>
    <w:p w14:paraId="50CD2732" w14:textId="6BEC666D" w:rsidR="006954E7" w:rsidRPr="00A13434"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Organi</w:t>
      </w:r>
      <w:r w:rsidR="00444C78" w:rsidRPr="00A76E20">
        <w:rPr>
          <w:rFonts w:ascii="Times New Roman" w:eastAsia="Times New Roman" w:hAnsi="Times New Roman" w:cs="Times New Roman"/>
          <w:bCs/>
          <w:sz w:val="24"/>
          <w:szCs w:val="24"/>
          <w:lang w:val="en-US" w:eastAsia="es-MX"/>
        </w:rPr>
        <w:t>z</w:t>
      </w:r>
      <w:r w:rsidRPr="00DB1274">
        <w:rPr>
          <w:rFonts w:ascii="Times New Roman" w:eastAsia="Times New Roman" w:hAnsi="Times New Roman" w:cs="Times New Roman"/>
          <w:bCs/>
          <w:sz w:val="24"/>
          <w:szCs w:val="24"/>
          <w:lang w:val="en-US" w:eastAsia="es-MX"/>
        </w:rPr>
        <w:t>ation for Economic Co-operation and Development</w:t>
      </w:r>
      <w:r w:rsidR="00B76B0B" w:rsidRPr="00A76E20">
        <w:rPr>
          <w:rFonts w:ascii="Times New Roman" w:eastAsia="Times New Roman" w:hAnsi="Times New Roman" w:cs="Times New Roman"/>
          <w:bCs/>
          <w:sz w:val="24"/>
          <w:szCs w:val="24"/>
          <w:lang w:val="en-US" w:eastAsia="es-MX"/>
        </w:rPr>
        <w:t xml:space="preserve"> (OECD)</w:t>
      </w:r>
      <w:r w:rsidRPr="00DB1274">
        <w:rPr>
          <w:rFonts w:ascii="Times New Roman" w:eastAsia="Times New Roman" w:hAnsi="Times New Roman" w:cs="Times New Roman"/>
          <w:bCs/>
          <w:sz w:val="24"/>
          <w:szCs w:val="24"/>
          <w:lang w:val="en-US" w:eastAsia="es-MX"/>
        </w:rPr>
        <w:t>. (2020).</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Public governance reforms: Trends and lessons from OECD countries</w:t>
      </w:r>
      <w:r w:rsidRPr="00A76E20">
        <w:rPr>
          <w:rFonts w:ascii="Times New Roman" w:eastAsia="Times New Roman" w:hAnsi="Times New Roman" w:cs="Times New Roman"/>
          <w:sz w:val="24"/>
          <w:szCs w:val="24"/>
          <w:lang w:val="en-US" w:eastAsia="es-MX"/>
        </w:rPr>
        <w:t xml:space="preserve">. OECD Publishing. </w:t>
      </w:r>
      <w:hyperlink r:id="rId17" w:history="1">
        <w:r w:rsidR="00046729" w:rsidRPr="00A13434">
          <w:rPr>
            <w:rStyle w:val="Hipervnculo"/>
            <w:rFonts w:ascii="Times New Roman" w:hAnsi="Times New Roman" w:cs="Times New Roman"/>
            <w:lang w:val="en-US"/>
          </w:rPr>
          <w:t>https://doi.org/10.1787/5c5f9d4a-en</w:t>
        </w:r>
      </w:hyperlink>
    </w:p>
    <w:p w14:paraId="12AB5D40" w14:textId="67225CAE" w:rsidR="00046729" w:rsidRPr="00A13434"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A13434">
        <w:rPr>
          <w:rFonts w:ascii="Times New Roman" w:eastAsia="Times New Roman" w:hAnsi="Times New Roman" w:cs="Times New Roman"/>
          <w:bCs/>
          <w:sz w:val="24"/>
          <w:szCs w:val="24"/>
          <w:lang w:val="en-US" w:eastAsia="es-MX"/>
        </w:rPr>
        <w:t>Organi</w:t>
      </w:r>
      <w:r w:rsidR="00444C78" w:rsidRPr="00A13434">
        <w:rPr>
          <w:rFonts w:ascii="Times New Roman" w:eastAsia="Times New Roman" w:hAnsi="Times New Roman" w:cs="Times New Roman"/>
          <w:bCs/>
          <w:sz w:val="24"/>
          <w:szCs w:val="24"/>
          <w:lang w:val="en-US" w:eastAsia="es-MX"/>
        </w:rPr>
        <w:t>z</w:t>
      </w:r>
      <w:r w:rsidRPr="00A13434">
        <w:rPr>
          <w:rFonts w:ascii="Times New Roman" w:eastAsia="Times New Roman" w:hAnsi="Times New Roman" w:cs="Times New Roman"/>
          <w:bCs/>
          <w:sz w:val="24"/>
          <w:szCs w:val="24"/>
          <w:lang w:val="en-US" w:eastAsia="es-MX"/>
        </w:rPr>
        <w:t>ation for Economic Co-operation and Development</w:t>
      </w:r>
      <w:r w:rsidR="00B76B0B" w:rsidRPr="00A13434">
        <w:rPr>
          <w:rFonts w:ascii="Times New Roman" w:eastAsia="Times New Roman" w:hAnsi="Times New Roman" w:cs="Times New Roman"/>
          <w:bCs/>
          <w:sz w:val="24"/>
          <w:szCs w:val="24"/>
          <w:lang w:val="en-US" w:eastAsia="es-MX"/>
        </w:rPr>
        <w:t xml:space="preserve"> (OECD)</w:t>
      </w:r>
      <w:r w:rsidRPr="00A13434">
        <w:rPr>
          <w:rFonts w:ascii="Times New Roman" w:eastAsia="Times New Roman" w:hAnsi="Times New Roman" w:cs="Times New Roman"/>
          <w:bCs/>
          <w:sz w:val="24"/>
          <w:szCs w:val="24"/>
          <w:lang w:val="en-US" w:eastAsia="es-MX"/>
        </w:rPr>
        <w:t>. (2021).</w:t>
      </w:r>
      <w:r w:rsidRPr="00A13434">
        <w:rPr>
          <w:rFonts w:ascii="Times New Roman" w:eastAsia="Times New Roman" w:hAnsi="Times New Roman" w:cs="Times New Roman"/>
          <w:sz w:val="24"/>
          <w:szCs w:val="24"/>
          <w:lang w:val="en-US" w:eastAsia="es-MX"/>
        </w:rPr>
        <w:t xml:space="preserve"> </w:t>
      </w:r>
      <w:r w:rsidRPr="00A13434">
        <w:rPr>
          <w:rFonts w:ascii="Times New Roman" w:eastAsia="Times New Roman" w:hAnsi="Times New Roman" w:cs="Times New Roman"/>
          <w:i/>
          <w:iCs/>
          <w:sz w:val="24"/>
          <w:szCs w:val="24"/>
          <w:lang w:val="en-US" w:eastAsia="es-MX"/>
        </w:rPr>
        <w:t>Public procurement in Mexico: Redesigning strategies and institutions</w:t>
      </w:r>
      <w:r w:rsidRPr="00A13434">
        <w:rPr>
          <w:rFonts w:ascii="Times New Roman" w:eastAsia="Times New Roman" w:hAnsi="Times New Roman" w:cs="Times New Roman"/>
          <w:sz w:val="24"/>
          <w:szCs w:val="24"/>
          <w:lang w:val="en-US" w:eastAsia="es-MX"/>
        </w:rPr>
        <w:t xml:space="preserve">. OECD Publishing. </w:t>
      </w:r>
      <w:hyperlink r:id="rId18" w:history="1">
        <w:r w:rsidR="00046729" w:rsidRPr="00A13434">
          <w:rPr>
            <w:rStyle w:val="Hipervnculo"/>
            <w:rFonts w:ascii="Times New Roman" w:hAnsi="Times New Roman" w:cs="Times New Roman"/>
            <w:lang w:val="en-US"/>
          </w:rPr>
          <w:t>https://doi.org/10.1787/9c2f1c8e-en</w:t>
        </w:r>
      </w:hyperlink>
    </w:p>
    <w:p w14:paraId="76BB8AE5"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lastRenderedPageBreak/>
        <w:t>Osborne, D. (2010).</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The new public governance?</w:t>
      </w:r>
      <w:r w:rsidRPr="00A76E20">
        <w:rPr>
          <w:rFonts w:ascii="Times New Roman" w:eastAsia="Times New Roman" w:hAnsi="Times New Roman" w:cs="Times New Roman"/>
          <w:sz w:val="24"/>
          <w:szCs w:val="24"/>
          <w:lang w:val="en-US" w:eastAsia="es-MX"/>
        </w:rPr>
        <w:t xml:space="preserve"> Routledge.</w:t>
      </w:r>
    </w:p>
    <w:p w14:paraId="13CC622A"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Perry, J. L. (2010).</w:t>
      </w:r>
      <w:r w:rsidRPr="00A76E20">
        <w:rPr>
          <w:rFonts w:ascii="Times New Roman" w:eastAsia="Times New Roman" w:hAnsi="Times New Roman" w:cs="Times New Roman"/>
          <w:sz w:val="24"/>
          <w:szCs w:val="24"/>
          <w:lang w:val="en-US" w:eastAsia="es-MX"/>
        </w:rPr>
        <w:t xml:space="preserve"> The elements of public administration. In R. F. Durant (Ed.), </w:t>
      </w:r>
      <w:r w:rsidRPr="00A76E20">
        <w:rPr>
          <w:rFonts w:ascii="Times New Roman" w:eastAsia="Times New Roman" w:hAnsi="Times New Roman" w:cs="Times New Roman"/>
          <w:i/>
          <w:iCs/>
          <w:sz w:val="24"/>
          <w:szCs w:val="24"/>
          <w:lang w:val="en-US" w:eastAsia="es-MX"/>
        </w:rPr>
        <w:t>The handbook of public administration</w:t>
      </w:r>
      <w:r w:rsidRPr="00A76E20">
        <w:rPr>
          <w:rFonts w:ascii="Times New Roman" w:eastAsia="Times New Roman" w:hAnsi="Times New Roman" w:cs="Times New Roman"/>
          <w:sz w:val="24"/>
          <w:szCs w:val="24"/>
          <w:lang w:val="en-US" w:eastAsia="es-MX"/>
        </w:rPr>
        <w:t xml:space="preserve"> (3rd ed., pp. 45–66). Jossey-Bass.</w:t>
      </w:r>
    </w:p>
    <w:p w14:paraId="22DE992F"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Peters, B. G. (2010).</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The politics of bureaucracy: An introduction to comparative public administration</w:t>
      </w:r>
      <w:r w:rsidRPr="00A76E20">
        <w:rPr>
          <w:rFonts w:ascii="Times New Roman" w:eastAsia="Times New Roman" w:hAnsi="Times New Roman" w:cs="Times New Roman"/>
          <w:sz w:val="24"/>
          <w:szCs w:val="24"/>
          <w:lang w:val="en-US" w:eastAsia="es-MX"/>
        </w:rPr>
        <w:t xml:space="preserve"> (6th ed.). Routledge.</w:t>
      </w:r>
    </w:p>
    <w:p w14:paraId="50A77531" w14:textId="2C4A6D6F"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DB1274">
        <w:rPr>
          <w:rFonts w:ascii="Times New Roman" w:eastAsia="Times New Roman" w:hAnsi="Times New Roman" w:cs="Times New Roman"/>
          <w:bCs/>
          <w:sz w:val="24"/>
          <w:szCs w:val="24"/>
          <w:lang w:val="en-US" w:eastAsia="es-MX"/>
        </w:rPr>
        <w:t xml:space="preserve">Pollitt, C., </w:t>
      </w:r>
      <w:r w:rsidR="00B76B0B" w:rsidRPr="00A76E20">
        <w:rPr>
          <w:rFonts w:ascii="Times New Roman" w:eastAsia="Times New Roman" w:hAnsi="Times New Roman" w:cs="Times New Roman"/>
          <w:bCs/>
          <w:sz w:val="24"/>
          <w:szCs w:val="24"/>
          <w:lang w:val="en-US" w:eastAsia="es-MX"/>
        </w:rPr>
        <w:t>y</w:t>
      </w:r>
      <w:r w:rsidRPr="00DB1274">
        <w:rPr>
          <w:rFonts w:ascii="Times New Roman" w:eastAsia="Times New Roman" w:hAnsi="Times New Roman" w:cs="Times New Roman"/>
          <w:bCs/>
          <w:sz w:val="24"/>
          <w:szCs w:val="24"/>
          <w:lang w:val="en-US" w:eastAsia="es-MX"/>
        </w:rPr>
        <w:t xml:space="preserve"> Bouckaert, G. (2023).</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Public management reform: A comparative analysis</w:t>
      </w:r>
      <w:r w:rsidRPr="00A76E20">
        <w:rPr>
          <w:rFonts w:ascii="Times New Roman" w:eastAsia="Times New Roman" w:hAnsi="Times New Roman" w:cs="Times New Roman"/>
          <w:sz w:val="24"/>
          <w:szCs w:val="24"/>
          <w:lang w:val="en-US" w:eastAsia="es-MX"/>
        </w:rPr>
        <w:t xml:space="preserve"> (3rd ed.). </w:t>
      </w:r>
      <w:r w:rsidRPr="00A76E20">
        <w:rPr>
          <w:rFonts w:ascii="Times New Roman" w:eastAsia="Times New Roman" w:hAnsi="Times New Roman" w:cs="Times New Roman"/>
          <w:sz w:val="24"/>
          <w:szCs w:val="24"/>
          <w:lang w:eastAsia="es-MX"/>
        </w:rPr>
        <w:t>Oxford University Press.</w:t>
      </w:r>
    </w:p>
    <w:p w14:paraId="4347BFD4" w14:textId="7E245CF5" w:rsidR="006954E7"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DB1274">
        <w:rPr>
          <w:rFonts w:ascii="Times New Roman" w:eastAsia="Times New Roman" w:hAnsi="Times New Roman" w:cs="Times New Roman"/>
          <w:bCs/>
          <w:sz w:val="24"/>
          <w:szCs w:val="24"/>
          <w:lang w:eastAsia="es-MX"/>
        </w:rPr>
        <w:t>Salgado Remigio, S. (2023).</w:t>
      </w:r>
      <w:r w:rsidRPr="00A76E20">
        <w:rPr>
          <w:rFonts w:ascii="Times New Roman" w:eastAsia="Times New Roman" w:hAnsi="Times New Roman" w:cs="Times New Roman"/>
          <w:sz w:val="24"/>
          <w:szCs w:val="24"/>
          <w:lang w:eastAsia="es-MX"/>
        </w:rPr>
        <w:t xml:space="preserve"> Transparencia y acceso a la información en materia de contrataciones públicas en México. </w:t>
      </w:r>
      <w:r w:rsidRPr="00A76E20">
        <w:rPr>
          <w:rFonts w:ascii="Times New Roman" w:eastAsia="Times New Roman" w:hAnsi="Times New Roman" w:cs="Times New Roman"/>
          <w:i/>
          <w:iCs/>
          <w:sz w:val="24"/>
          <w:szCs w:val="24"/>
          <w:lang w:eastAsia="es-MX"/>
        </w:rPr>
        <w:t>Revista Mexicana de Ciencias Políticas y Sociales, 68</w:t>
      </w:r>
      <w:r w:rsidRPr="00A76E20">
        <w:rPr>
          <w:rFonts w:ascii="Times New Roman" w:eastAsia="Times New Roman" w:hAnsi="Times New Roman" w:cs="Times New Roman"/>
          <w:sz w:val="24"/>
          <w:szCs w:val="24"/>
          <w:lang w:eastAsia="es-MX"/>
        </w:rPr>
        <w:t>(247), 1–30.</w:t>
      </w:r>
      <w:r w:rsidR="00083DD7" w:rsidRPr="00A76E20">
        <w:rPr>
          <w:rFonts w:ascii="Times New Roman" w:eastAsia="Times New Roman" w:hAnsi="Times New Roman" w:cs="Times New Roman"/>
          <w:sz w:val="24"/>
          <w:szCs w:val="24"/>
          <w:lang w:eastAsia="es-MX"/>
        </w:rPr>
        <w:t xml:space="preserve"> </w:t>
      </w:r>
      <w:hyperlink r:id="rId19" w:history="1">
        <w:r w:rsidR="00A13434" w:rsidRPr="006D3B1F">
          <w:rPr>
            <w:rStyle w:val="Hipervnculo"/>
            <w:rFonts w:ascii="Times New Roman" w:eastAsia="Times New Roman" w:hAnsi="Times New Roman" w:cs="Times New Roman"/>
            <w:sz w:val="24"/>
            <w:szCs w:val="24"/>
            <w:lang w:eastAsia="es-MX"/>
          </w:rPr>
          <w:t>https://doi.org/10.15174/remap.v12i23.400</w:t>
        </w:r>
      </w:hyperlink>
    </w:p>
    <w:p w14:paraId="3296F87D" w14:textId="3E54F638"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DB1274">
        <w:rPr>
          <w:rFonts w:ascii="Times New Roman" w:eastAsia="Times New Roman" w:hAnsi="Times New Roman" w:cs="Times New Roman"/>
          <w:bCs/>
          <w:sz w:val="24"/>
          <w:szCs w:val="24"/>
          <w:lang w:val="en-US" w:eastAsia="es-MX"/>
        </w:rPr>
        <w:t xml:space="preserve">Tompkins, J. A., White, J. A., Bozer, Y. A., </w:t>
      </w:r>
      <w:r w:rsidR="00B76B0B" w:rsidRPr="00A732C8">
        <w:rPr>
          <w:rFonts w:ascii="Times New Roman" w:eastAsia="Times New Roman" w:hAnsi="Times New Roman" w:cs="Times New Roman"/>
          <w:bCs/>
          <w:sz w:val="24"/>
          <w:szCs w:val="24"/>
          <w:lang w:val="en-US" w:eastAsia="es-MX"/>
        </w:rPr>
        <w:t>y</w:t>
      </w:r>
      <w:r w:rsidRPr="00DB1274">
        <w:rPr>
          <w:rFonts w:ascii="Times New Roman" w:eastAsia="Times New Roman" w:hAnsi="Times New Roman" w:cs="Times New Roman"/>
          <w:bCs/>
          <w:sz w:val="24"/>
          <w:szCs w:val="24"/>
          <w:lang w:val="en-US" w:eastAsia="es-MX"/>
        </w:rPr>
        <w:t xml:space="preserve"> </w:t>
      </w:r>
      <w:proofErr w:type="spellStart"/>
      <w:r w:rsidRPr="00DB1274">
        <w:rPr>
          <w:rFonts w:ascii="Times New Roman" w:eastAsia="Times New Roman" w:hAnsi="Times New Roman" w:cs="Times New Roman"/>
          <w:bCs/>
          <w:sz w:val="24"/>
          <w:szCs w:val="24"/>
          <w:lang w:val="en-US" w:eastAsia="es-MX"/>
        </w:rPr>
        <w:t>Tanchoco</w:t>
      </w:r>
      <w:proofErr w:type="spellEnd"/>
      <w:r w:rsidRPr="00DB1274">
        <w:rPr>
          <w:rFonts w:ascii="Times New Roman" w:eastAsia="Times New Roman" w:hAnsi="Times New Roman" w:cs="Times New Roman"/>
          <w:bCs/>
          <w:sz w:val="24"/>
          <w:szCs w:val="24"/>
          <w:lang w:val="en-US" w:eastAsia="es-MX"/>
        </w:rPr>
        <w:t>, J. M. A. (2010).</w:t>
      </w:r>
      <w:r w:rsidRPr="00A732C8">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Facilities planning</w:t>
      </w:r>
      <w:r w:rsidRPr="00A76E20">
        <w:rPr>
          <w:rFonts w:ascii="Times New Roman" w:eastAsia="Times New Roman" w:hAnsi="Times New Roman" w:cs="Times New Roman"/>
          <w:sz w:val="24"/>
          <w:szCs w:val="24"/>
          <w:lang w:val="en-US" w:eastAsia="es-MX"/>
        </w:rPr>
        <w:t xml:space="preserve"> (4th ed.). John Wiley &amp; Sons.</w:t>
      </w:r>
    </w:p>
    <w:p w14:paraId="1F15F2D8" w14:textId="5C769357" w:rsidR="00992681" w:rsidRPr="00A76E20"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807E3E">
        <w:rPr>
          <w:rFonts w:ascii="Times New Roman" w:eastAsia="Times New Roman" w:hAnsi="Times New Roman" w:cs="Times New Roman"/>
          <w:bCs/>
          <w:sz w:val="24"/>
          <w:szCs w:val="24"/>
          <w:lang w:val="en-US" w:eastAsia="es-MX"/>
        </w:rPr>
        <w:t xml:space="preserve">Womack, J. P., </w:t>
      </w:r>
      <w:r w:rsidR="00B76B0B" w:rsidRPr="00807E3E">
        <w:rPr>
          <w:rFonts w:ascii="Times New Roman" w:eastAsia="Times New Roman" w:hAnsi="Times New Roman" w:cs="Times New Roman"/>
          <w:bCs/>
          <w:sz w:val="24"/>
          <w:szCs w:val="24"/>
          <w:lang w:val="en-US" w:eastAsia="es-MX"/>
        </w:rPr>
        <w:t>y</w:t>
      </w:r>
      <w:r w:rsidRPr="00807E3E">
        <w:rPr>
          <w:rFonts w:ascii="Times New Roman" w:eastAsia="Times New Roman" w:hAnsi="Times New Roman" w:cs="Times New Roman"/>
          <w:bCs/>
          <w:sz w:val="24"/>
          <w:szCs w:val="24"/>
          <w:lang w:val="en-US" w:eastAsia="es-MX"/>
        </w:rPr>
        <w:t xml:space="preserve"> Jones, D. T. (1996).</w:t>
      </w:r>
      <w:r w:rsidRPr="00807E3E">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i/>
          <w:iCs/>
          <w:sz w:val="24"/>
          <w:szCs w:val="24"/>
          <w:lang w:val="en-US" w:eastAsia="es-MX"/>
        </w:rPr>
        <w:t>Lean thinking: Banish waste and create wealth in your corporation</w:t>
      </w:r>
      <w:r w:rsidRPr="00A76E20">
        <w:rPr>
          <w:rFonts w:ascii="Times New Roman" w:eastAsia="Times New Roman" w:hAnsi="Times New Roman" w:cs="Times New Roman"/>
          <w:sz w:val="24"/>
          <w:szCs w:val="24"/>
          <w:lang w:val="en-US" w:eastAsia="es-MX"/>
        </w:rPr>
        <w:t xml:space="preserve">. </w:t>
      </w:r>
      <w:r w:rsidRPr="00A76E20">
        <w:rPr>
          <w:rFonts w:ascii="Times New Roman" w:eastAsia="Times New Roman" w:hAnsi="Times New Roman" w:cs="Times New Roman"/>
          <w:sz w:val="24"/>
          <w:szCs w:val="24"/>
          <w:lang w:eastAsia="es-MX"/>
        </w:rPr>
        <w:t>Simon &amp; Schuster.</w:t>
      </w:r>
    </w:p>
    <w:sectPr w:rsidR="00992681" w:rsidRPr="00A76E20" w:rsidSect="009D016D">
      <w:footerReference w:type="default" r:id="rId20"/>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FF01FD" w14:textId="77777777" w:rsidR="00ED3BA9" w:rsidRDefault="00ED3BA9" w:rsidP="00046729">
      <w:pPr>
        <w:spacing w:after="0" w:line="240" w:lineRule="auto"/>
      </w:pPr>
      <w:r>
        <w:separator/>
      </w:r>
    </w:p>
  </w:endnote>
  <w:endnote w:type="continuationSeparator" w:id="0">
    <w:p w14:paraId="0C0B5CBA" w14:textId="77777777" w:rsidR="00ED3BA9" w:rsidRDefault="00ED3BA9" w:rsidP="00046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4096534"/>
      <w:docPartObj>
        <w:docPartGallery w:val="Page Numbers (Bottom of Page)"/>
        <w:docPartUnique/>
      </w:docPartObj>
    </w:sdtPr>
    <w:sdtEndPr>
      <w:rPr>
        <w:rFonts w:ascii="Times New Roman" w:hAnsi="Times New Roman" w:cs="Times New Roman"/>
        <w:sz w:val="20"/>
        <w:szCs w:val="20"/>
      </w:rPr>
    </w:sdtEndPr>
    <w:sdtContent>
      <w:p w14:paraId="39B16257" w14:textId="49327F50" w:rsidR="003309D5" w:rsidRPr="003309D5" w:rsidRDefault="003309D5">
        <w:pPr>
          <w:pStyle w:val="Piedepgina"/>
          <w:jc w:val="right"/>
          <w:rPr>
            <w:rFonts w:ascii="Times New Roman" w:hAnsi="Times New Roman" w:cs="Times New Roman"/>
            <w:sz w:val="20"/>
            <w:szCs w:val="20"/>
          </w:rPr>
        </w:pPr>
        <w:r w:rsidRPr="003309D5">
          <w:rPr>
            <w:rFonts w:ascii="Times New Roman" w:hAnsi="Times New Roman" w:cs="Times New Roman"/>
            <w:sz w:val="20"/>
            <w:szCs w:val="20"/>
          </w:rPr>
          <w:fldChar w:fldCharType="begin"/>
        </w:r>
        <w:r w:rsidRPr="003309D5">
          <w:rPr>
            <w:rFonts w:ascii="Times New Roman" w:hAnsi="Times New Roman" w:cs="Times New Roman"/>
            <w:sz w:val="20"/>
            <w:szCs w:val="20"/>
          </w:rPr>
          <w:instrText>PAGE   \* MERGEFORMAT</w:instrText>
        </w:r>
        <w:r w:rsidRPr="003309D5">
          <w:rPr>
            <w:rFonts w:ascii="Times New Roman" w:hAnsi="Times New Roman" w:cs="Times New Roman"/>
            <w:sz w:val="20"/>
            <w:szCs w:val="20"/>
          </w:rPr>
          <w:fldChar w:fldCharType="separate"/>
        </w:r>
        <w:r w:rsidR="00436B45" w:rsidRPr="00436B45">
          <w:rPr>
            <w:rFonts w:ascii="Times New Roman" w:hAnsi="Times New Roman" w:cs="Times New Roman"/>
            <w:noProof/>
            <w:sz w:val="20"/>
            <w:szCs w:val="20"/>
            <w:lang w:val="es-ES"/>
          </w:rPr>
          <w:t>1</w:t>
        </w:r>
        <w:r w:rsidRPr="003309D5">
          <w:rPr>
            <w:rFonts w:ascii="Times New Roman" w:hAnsi="Times New Roman" w:cs="Times New Roman"/>
            <w:sz w:val="20"/>
            <w:szCs w:val="20"/>
          </w:rPr>
          <w:fldChar w:fldCharType="end"/>
        </w:r>
      </w:p>
    </w:sdtContent>
  </w:sdt>
  <w:p w14:paraId="0F878D89" w14:textId="77777777" w:rsidR="003309D5" w:rsidRDefault="003309D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8DAA00" w14:textId="77777777" w:rsidR="00ED3BA9" w:rsidRDefault="00ED3BA9" w:rsidP="00046729">
      <w:pPr>
        <w:spacing w:after="0" w:line="240" w:lineRule="auto"/>
      </w:pPr>
      <w:r>
        <w:separator/>
      </w:r>
    </w:p>
  </w:footnote>
  <w:footnote w:type="continuationSeparator" w:id="0">
    <w:p w14:paraId="534F155C" w14:textId="77777777" w:rsidR="00ED3BA9" w:rsidRDefault="00ED3BA9" w:rsidP="00046729">
      <w:pPr>
        <w:spacing w:after="0" w:line="240" w:lineRule="auto"/>
      </w:pPr>
      <w:r>
        <w:continuationSeparator/>
      </w:r>
    </w:p>
  </w:footnote>
  <w:footnote w:id="1">
    <w:p w14:paraId="11123C99" w14:textId="72C0643A" w:rsidR="00046729" w:rsidRPr="00DB1274" w:rsidRDefault="00046729" w:rsidP="00046729">
      <w:pPr>
        <w:pStyle w:val="Textonotapie"/>
        <w:rPr>
          <w:rFonts w:ascii="Times New Roman" w:hAnsi="Times New Roman" w:cs="Times New Roman"/>
        </w:rPr>
      </w:pPr>
      <w:r w:rsidRPr="00EF62EB">
        <w:rPr>
          <w:rStyle w:val="Refdenotaalpie"/>
          <w:rFonts w:ascii="Times New Roman" w:hAnsi="Times New Roman" w:cs="Times New Roman"/>
        </w:rPr>
        <w:footnoteRef/>
      </w:r>
      <w:r>
        <w:rPr>
          <w:rFonts w:ascii="Times New Roman" w:hAnsi="Times New Roman" w:cs="Times New Roman"/>
        </w:rPr>
        <w:t>A</w:t>
      </w:r>
      <w:r w:rsidRPr="00984059">
        <w:rPr>
          <w:rFonts w:ascii="Times New Roman" w:hAnsi="Times New Roman" w:cs="Times New Roman"/>
        </w:rPr>
        <w:t xml:space="preserve">utor de correspondencia: </w:t>
      </w:r>
      <w:r w:rsidR="00984059" w:rsidRPr="00984059">
        <w:rPr>
          <w:rFonts w:ascii="Times New Roman" w:hAnsi="Times New Roman" w:cs="Times New Roman"/>
        </w:rPr>
        <w:t>Doctor en Metodología y Líneas de Investigación en Contabilidad y Auditoría</w:t>
      </w:r>
    </w:p>
    <w:p w14:paraId="03AB8723" w14:textId="236E8702" w:rsidR="00046729" w:rsidRPr="00984059" w:rsidRDefault="00046729" w:rsidP="00046729">
      <w:pPr>
        <w:pStyle w:val="Textonotapie"/>
        <w:rPr>
          <w:rFonts w:ascii="Times New Roman" w:hAnsi="Times New Roman" w:cs="Times New Roman"/>
        </w:rPr>
      </w:pPr>
      <w:r w:rsidRPr="00984059">
        <w:rPr>
          <w:rFonts w:ascii="Times New Roman" w:hAnsi="Times New Roman" w:cs="Times New Roman"/>
        </w:rPr>
        <w:t xml:space="preserve">Maestro de </w:t>
      </w:r>
      <w:r w:rsidR="00984059" w:rsidRPr="00984059">
        <w:rPr>
          <w:rFonts w:ascii="Times New Roman" w:hAnsi="Times New Roman" w:cs="Times New Roman"/>
        </w:rPr>
        <w:t>Tiempo Completo</w:t>
      </w:r>
      <w:r w:rsidRPr="00984059">
        <w:rPr>
          <w:rFonts w:ascii="Times New Roman" w:hAnsi="Times New Roman" w:cs="Times New Roman"/>
        </w:rPr>
        <w:t>, Universidad de Sonora</w:t>
      </w:r>
    </w:p>
    <w:p w14:paraId="666BFD1D" w14:textId="0C235626" w:rsidR="00046729" w:rsidRPr="00984059" w:rsidRDefault="00046729" w:rsidP="00046729">
      <w:pPr>
        <w:pStyle w:val="Textonotapie"/>
        <w:rPr>
          <w:rFonts w:ascii="Times New Roman" w:hAnsi="Times New Roman" w:cs="Times New Roman"/>
          <w:shd w:val="clear" w:color="auto" w:fill="FFFFFF"/>
        </w:rPr>
      </w:pPr>
      <w:r w:rsidRPr="00984059">
        <w:rPr>
          <w:rFonts w:ascii="Times New Roman" w:hAnsi="Times New Roman" w:cs="Times New Roman"/>
        </w:rPr>
        <w:t xml:space="preserve">Correo electrónico: </w:t>
      </w:r>
      <w:hyperlink r:id="rId1" w:history="1">
        <w:r w:rsidR="00561382" w:rsidRPr="00813F7A">
          <w:rPr>
            <w:rStyle w:val="Hipervnculo"/>
            <w:rFonts w:ascii="Times New Roman" w:hAnsi="Times New Roman" w:cs="Times New Roman"/>
          </w:rPr>
          <w:t>j</w:t>
        </w:r>
        <w:r w:rsidR="00561382" w:rsidRPr="00DB1274">
          <w:rPr>
            <w:rStyle w:val="Hipervnculo"/>
            <w:rFonts w:ascii="Times New Roman" w:hAnsi="Times New Roman" w:cs="Times New Roman"/>
          </w:rPr>
          <w:t>uancarlos.martinez@unison.mx</w:t>
        </w:r>
      </w:hyperlink>
      <w:r w:rsidR="00984059" w:rsidRPr="00DB1274">
        <w:rPr>
          <w:rFonts w:ascii="Times New Roman" w:hAnsi="Times New Roman" w:cs="Times New Roman"/>
        </w:rPr>
        <w:t xml:space="preserve"> </w:t>
      </w:r>
      <w:r w:rsidRPr="00984059">
        <w:rPr>
          <w:rFonts w:ascii="Times New Roman" w:hAnsi="Times New Roman" w:cs="Times New Roman"/>
        </w:rPr>
        <w:t xml:space="preserve">ORCID: </w:t>
      </w:r>
      <w:hyperlink r:id="rId2" w:history="1">
        <w:r w:rsidRPr="00984059">
          <w:rPr>
            <w:rStyle w:val="Hipervnculo"/>
            <w:rFonts w:ascii="Times New Roman" w:hAnsi="Times New Roman" w:cs="Times New Roman"/>
            <w:shd w:val="clear" w:color="auto" w:fill="FFFFFF"/>
          </w:rPr>
          <w:t>http://orcid.org/</w:t>
        </w:r>
        <w:r w:rsidR="00984059" w:rsidRPr="00984059">
          <w:rPr>
            <w:rStyle w:val="Hipervnculo"/>
            <w:rFonts w:ascii="Times New Roman" w:hAnsi="Times New Roman" w:cs="Times New Roman"/>
            <w:shd w:val="clear" w:color="auto" w:fill="FFFFFF"/>
          </w:rPr>
          <w:t>0000-0003-2181-1868</w:t>
        </w:r>
      </w:hyperlink>
    </w:p>
  </w:footnote>
  <w:footnote w:id="2">
    <w:p w14:paraId="6DB19D62" w14:textId="1FB62D59" w:rsidR="00B07D80" w:rsidRPr="00DB1274" w:rsidRDefault="00B07D80" w:rsidP="00B07D80">
      <w:pPr>
        <w:pStyle w:val="Textonotapie"/>
        <w:rPr>
          <w:rFonts w:ascii="Times New Roman" w:hAnsi="Times New Roman" w:cs="Times New Roman"/>
        </w:rPr>
      </w:pPr>
      <w:r w:rsidRPr="00984059">
        <w:rPr>
          <w:rStyle w:val="Refdenotaalpie"/>
          <w:rFonts w:ascii="Times New Roman" w:hAnsi="Times New Roman" w:cs="Times New Roman"/>
        </w:rPr>
        <w:footnoteRef/>
      </w:r>
      <w:r w:rsidR="00984059" w:rsidRPr="00984059">
        <w:rPr>
          <w:rFonts w:ascii="Times New Roman" w:hAnsi="Times New Roman" w:cs="Times New Roman"/>
        </w:rPr>
        <w:t>Doctor</w:t>
      </w:r>
      <w:r w:rsidRPr="00984059">
        <w:rPr>
          <w:rFonts w:ascii="Times New Roman" w:hAnsi="Times New Roman" w:cs="Times New Roman"/>
        </w:rPr>
        <w:t xml:space="preserve"> </w:t>
      </w:r>
      <w:r w:rsidR="00984059" w:rsidRPr="00984059">
        <w:rPr>
          <w:rFonts w:ascii="Times New Roman" w:hAnsi="Times New Roman" w:cs="Times New Roman"/>
        </w:rPr>
        <w:t>en Metodología y Líneas de Investigación en Contabilidad y Auditoría.</w:t>
      </w:r>
    </w:p>
    <w:p w14:paraId="51EFBBE0" w14:textId="1E73E490" w:rsidR="00B07D80" w:rsidRPr="00984059" w:rsidRDefault="00B07D80" w:rsidP="00B07D80">
      <w:pPr>
        <w:pStyle w:val="Textonotapie"/>
        <w:rPr>
          <w:rFonts w:ascii="Times New Roman" w:hAnsi="Times New Roman" w:cs="Times New Roman"/>
        </w:rPr>
      </w:pPr>
      <w:r w:rsidRPr="00984059">
        <w:rPr>
          <w:rFonts w:ascii="Times New Roman" w:hAnsi="Times New Roman" w:cs="Times New Roman"/>
        </w:rPr>
        <w:t xml:space="preserve">Maestro de </w:t>
      </w:r>
      <w:r w:rsidR="00984059" w:rsidRPr="00984059">
        <w:rPr>
          <w:rFonts w:ascii="Times New Roman" w:hAnsi="Times New Roman" w:cs="Times New Roman"/>
        </w:rPr>
        <w:t>Tiempo Completo</w:t>
      </w:r>
      <w:r w:rsidRPr="00984059">
        <w:rPr>
          <w:rFonts w:ascii="Times New Roman" w:hAnsi="Times New Roman" w:cs="Times New Roman"/>
        </w:rPr>
        <w:t>, Universidad de</w:t>
      </w:r>
      <w:r w:rsidR="00984059" w:rsidRPr="00984059">
        <w:rPr>
          <w:rFonts w:ascii="Times New Roman" w:hAnsi="Times New Roman" w:cs="Times New Roman"/>
        </w:rPr>
        <w:t xml:space="preserve"> Colima</w:t>
      </w:r>
    </w:p>
    <w:p w14:paraId="75076334" w14:textId="18737886" w:rsidR="00B07D80" w:rsidRPr="00393A5C" w:rsidRDefault="00B07D80" w:rsidP="00B07D80">
      <w:pPr>
        <w:pStyle w:val="Textonotapie"/>
        <w:rPr>
          <w:rFonts w:ascii="Times New Roman" w:hAnsi="Times New Roman" w:cs="Times New Roman"/>
          <w:shd w:val="clear" w:color="auto" w:fill="FFFFFF"/>
        </w:rPr>
      </w:pPr>
      <w:r w:rsidRPr="00984059">
        <w:rPr>
          <w:rFonts w:ascii="Times New Roman" w:hAnsi="Times New Roman" w:cs="Times New Roman"/>
        </w:rPr>
        <w:t xml:space="preserve">Correo electrónico: </w:t>
      </w:r>
      <w:hyperlink r:id="rId3" w:history="1">
        <w:r w:rsidR="00984059" w:rsidRPr="00DB1274">
          <w:rPr>
            <w:rStyle w:val="Hipervnculo"/>
            <w:rFonts w:ascii="Times New Roman" w:hAnsi="Times New Roman" w:cs="Times New Roman"/>
          </w:rPr>
          <w:t>cpnande@ucol.mx</w:t>
        </w:r>
      </w:hyperlink>
      <w:r w:rsidRPr="00984059">
        <w:rPr>
          <w:rFonts w:ascii="Times New Roman" w:hAnsi="Times New Roman" w:cs="Times New Roman"/>
        </w:rPr>
        <w:t xml:space="preserve"> ORCID: </w:t>
      </w:r>
      <w:hyperlink r:id="rId4" w:history="1">
        <w:r w:rsidRPr="00984059">
          <w:rPr>
            <w:rStyle w:val="Hipervnculo"/>
            <w:rFonts w:ascii="Times New Roman" w:hAnsi="Times New Roman" w:cs="Times New Roman"/>
            <w:shd w:val="clear" w:color="auto" w:fill="FFFFFF"/>
          </w:rPr>
          <w:t>http://orcid.org/</w:t>
        </w:r>
        <w:hyperlink r:id="rId5" w:history="1">
          <w:r w:rsidR="00984059" w:rsidRPr="00DB1274">
            <w:rPr>
              <w:rStyle w:val="Hipervnculo"/>
              <w:rFonts w:ascii="Times New Roman" w:hAnsi="Times New Roman" w:cs="Times New Roman"/>
            </w:rPr>
            <w:t>0000-0001-9019-2242</w:t>
          </w:r>
        </w:hyperlink>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31528"/>
    <w:multiLevelType w:val="multilevel"/>
    <w:tmpl w:val="C2B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668C6"/>
    <w:multiLevelType w:val="multilevel"/>
    <w:tmpl w:val="718C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D76AA"/>
    <w:multiLevelType w:val="multilevel"/>
    <w:tmpl w:val="4FAC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7E3172"/>
    <w:multiLevelType w:val="hybridMultilevel"/>
    <w:tmpl w:val="2BC8FF6A"/>
    <w:lvl w:ilvl="0" w:tplc="080A000F">
      <w:start w:val="1"/>
      <w:numFmt w:val="decimal"/>
      <w:lvlText w:val="%1."/>
      <w:lvlJc w:val="left"/>
      <w:pPr>
        <w:ind w:left="1287" w:hanging="360"/>
      </w:pPr>
    </w:lvl>
    <w:lvl w:ilvl="1" w:tplc="080A0019" w:tentative="1">
      <w:start w:val="1"/>
      <w:numFmt w:val="lowerLetter"/>
      <w:lvlText w:val="%2."/>
      <w:lvlJc w:val="left"/>
      <w:pPr>
        <w:ind w:left="2007" w:hanging="360"/>
      </w:pPr>
    </w:lvl>
    <w:lvl w:ilvl="2" w:tplc="080A001B" w:tentative="1">
      <w:start w:val="1"/>
      <w:numFmt w:val="lowerRoman"/>
      <w:lvlText w:val="%3."/>
      <w:lvlJc w:val="right"/>
      <w:pPr>
        <w:ind w:left="2727" w:hanging="180"/>
      </w:pPr>
    </w:lvl>
    <w:lvl w:ilvl="3" w:tplc="080A000F" w:tentative="1">
      <w:start w:val="1"/>
      <w:numFmt w:val="decimal"/>
      <w:lvlText w:val="%4."/>
      <w:lvlJc w:val="left"/>
      <w:pPr>
        <w:ind w:left="3447" w:hanging="360"/>
      </w:pPr>
    </w:lvl>
    <w:lvl w:ilvl="4" w:tplc="080A0019" w:tentative="1">
      <w:start w:val="1"/>
      <w:numFmt w:val="lowerLetter"/>
      <w:lvlText w:val="%5."/>
      <w:lvlJc w:val="left"/>
      <w:pPr>
        <w:ind w:left="4167" w:hanging="360"/>
      </w:pPr>
    </w:lvl>
    <w:lvl w:ilvl="5" w:tplc="080A001B" w:tentative="1">
      <w:start w:val="1"/>
      <w:numFmt w:val="lowerRoman"/>
      <w:lvlText w:val="%6."/>
      <w:lvlJc w:val="right"/>
      <w:pPr>
        <w:ind w:left="4887" w:hanging="180"/>
      </w:pPr>
    </w:lvl>
    <w:lvl w:ilvl="6" w:tplc="080A000F" w:tentative="1">
      <w:start w:val="1"/>
      <w:numFmt w:val="decimal"/>
      <w:lvlText w:val="%7."/>
      <w:lvlJc w:val="left"/>
      <w:pPr>
        <w:ind w:left="5607" w:hanging="360"/>
      </w:pPr>
    </w:lvl>
    <w:lvl w:ilvl="7" w:tplc="080A0019" w:tentative="1">
      <w:start w:val="1"/>
      <w:numFmt w:val="lowerLetter"/>
      <w:lvlText w:val="%8."/>
      <w:lvlJc w:val="left"/>
      <w:pPr>
        <w:ind w:left="6327" w:hanging="360"/>
      </w:pPr>
    </w:lvl>
    <w:lvl w:ilvl="8" w:tplc="080A001B" w:tentative="1">
      <w:start w:val="1"/>
      <w:numFmt w:val="lowerRoman"/>
      <w:lvlText w:val="%9."/>
      <w:lvlJc w:val="right"/>
      <w:pPr>
        <w:ind w:left="7047" w:hanging="180"/>
      </w:pPr>
    </w:lvl>
  </w:abstractNum>
  <w:abstractNum w:abstractNumId="4" w15:restartNumberingAfterBreak="0">
    <w:nsid w:val="58B96BCD"/>
    <w:multiLevelType w:val="multilevel"/>
    <w:tmpl w:val="C46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94806"/>
    <w:multiLevelType w:val="multilevel"/>
    <w:tmpl w:val="C0F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681"/>
    <w:rsid w:val="0000740E"/>
    <w:rsid w:val="0002054C"/>
    <w:rsid w:val="00021E6E"/>
    <w:rsid w:val="00024531"/>
    <w:rsid w:val="00046729"/>
    <w:rsid w:val="00073B41"/>
    <w:rsid w:val="00083DD7"/>
    <w:rsid w:val="000A359E"/>
    <w:rsid w:val="000B6BE6"/>
    <w:rsid w:val="000D7D2B"/>
    <w:rsid w:val="000E115E"/>
    <w:rsid w:val="000F5BE7"/>
    <w:rsid w:val="00115C99"/>
    <w:rsid w:val="0012420E"/>
    <w:rsid w:val="001263C0"/>
    <w:rsid w:val="0013510D"/>
    <w:rsid w:val="00141160"/>
    <w:rsid w:val="0015698F"/>
    <w:rsid w:val="00171E1D"/>
    <w:rsid w:val="0017537F"/>
    <w:rsid w:val="001D016C"/>
    <w:rsid w:val="001E41B8"/>
    <w:rsid w:val="00201417"/>
    <w:rsid w:val="002617EA"/>
    <w:rsid w:val="0027199E"/>
    <w:rsid w:val="00272D94"/>
    <w:rsid w:val="0027409D"/>
    <w:rsid w:val="0028260A"/>
    <w:rsid w:val="00282BA2"/>
    <w:rsid w:val="00324612"/>
    <w:rsid w:val="003309D5"/>
    <w:rsid w:val="003321F1"/>
    <w:rsid w:val="003509E2"/>
    <w:rsid w:val="0036673A"/>
    <w:rsid w:val="0037108A"/>
    <w:rsid w:val="0039410C"/>
    <w:rsid w:val="003B2705"/>
    <w:rsid w:val="003B6E4F"/>
    <w:rsid w:val="003C6FA4"/>
    <w:rsid w:val="003D2939"/>
    <w:rsid w:val="003F0697"/>
    <w:rsid w:val="00404D7A"/>
    <w:rsid w:val="00436B45"/>
    <w:rsid w:val="00444C78"/>
    <w:rsid w:val="00447B94"/>
    <w:rsid w:val="004530D6"/>
    <w:rsid w:val="00477EB2"/>
    <w:rsid w:val="00480B56"/>
    <w:rsid w:val="00485064"/>
    <w:rsid w:val="0049150A"/>
    <w:rsid w:val="004918E3"/>
    <w:rsid w:val="004A3315"/>
    <w:rsid w:val="004A4BC5"/>
    <w:rsid w:val="004B2FDE"/>
    <w:rsid w:val="004B683B"/>
    <w:rsid w:val="004D7D40"/>
    <w:rsid w:val="004E0AC9"/>
    <w:rsid w:val="004E4A60"/>
    <w:rsid w:val="004F3B96"/>
    <w:rsid w:val="005112A1"/>
    <w:rsid w:val="005129FE"/>
    <w:rsid w:val="005131E3"/>
    <w:rsid w:val="00532952"/>
    <w:rsid w:val="00545550"/>
    <w:rsid w:val="00546FA4"/>
    <w:rsid w:val="00554C5D"/>
    <w:rsid w:val="00561382"/>
    <w:rsid w:val="0057439C"/>
    <w:rsid w:val="00575C80"/>
    <w:rsid w:val="005D313F"/>
    <w:rsid w:val="005F4856"/>
    <w:rsid w:val="005F5BE4"/>
    <w:rsid w:val="005F652A"/>
    <w:rsid w:val="00625039"/>
    <w:rsid w:val="006355CC"/>
    <w:rsid w:val="0064170E"/>
    <w:rsid w:val="00653FD4"/>
    <w:rsid w:val="0068011B"/>
    <w:rsid w:val="006954E7"/>
    <w:rsid w:val="006A6978"/>
    <w:rsid w:val="006B46E7"/>
    <w:rsid w:val="006D4FB3"/>
    <w:rsid w:val="00720762"/>
    <w:rsid w:val="0073153D"/>
    <w:rsid w:val="007758F2"/>
    <w:rsid w:val="007766BF"/>
    <w:rsid w:val="00776B57"/>
    <w:rsid w:val="00793703"/>
    <w:rsid w:val="007C07B4"/>
    <w:rsid w:val="007C3BC9"/>
    <w:rsid w:val="007F3BED"/>
    <w:rsid w:val="00807E3E"/>
    <w:rsid w:val="00831A2E"/>
    <w:rsid w:val="00844254"/>
    <w:rsid w:val="00846C08"/>
    <w:rsid w:val="00850947"/>
    <w:rsid w:val="00873200"/>
    <w:rsid w:val="0088737C"/>
    <w:rsid w:val="008A51E1"/>
    <w:rsid w:val="008B1038"/>
    <w:rsid w:val="008C1208"/>
    <w:rsid w:val="008F2C83"/>
    <w:rsid w:val="00951085"/>
    <w:rsid w:val="009640FB"/>
    <w:rsid w:val="00984059"/>
    <w:rsid w:val="00992681"/>
    <w:rsid w:val="009C1716"/>
    <w:rsid w:val="009D016D"/>
    <w:rsid w:val="009F5688"/>
    <w:rsid w:val="00A05712"/>
    <w:rsid w:val="00A13434"/>
    <w:rsid w:val="00A15346"/>
    <w:rsid w:val="00A17609"/>
    <w:rsid w:val="00A24C11"/>
    <w:rsid w:val="00A454EF"/>
    <w:rsid w:val="00A4573A"/>
    <w:rsid w:val="00A60B51"/>
    <w:rsid w:val="00A732C8"/>
    <w:rsid w:val="00A738EC"/>
    <w:rsid w:val="00A766A4"/>
    <w:rsid w:val="00A76E20"/>
    <w:rsid w:val="00A97CA4"/>
    <w:rsid w:val="00AC31A9"/>
    <w:rsid w:val="00AC3B8D"/>
    <w:rsid w:val="00B07D80"/>
    <w:rsid w:val="00B13E9F"/>
    <w:rsid w:val="00B53BAF"/>
    <w:rsid w:val="00B705E3"/>
    <w:rsid w:val="00B765E5"/>
    <w:rsid w:val="00B76B0B"/>
    <w:rsid w:val="00B8076E"/>
    <w:rsid w:val="00B82429"/>
    <w:rsid w:val="00B8558D"/>
    <w:rsid w:val="00B86D02"/>
    <w:rsid w:val="00BA5746"/>
    <w:rsid w:val="00BB083B"/>
    <w:rsid w:val="00BC389C"/>
    <w:rsid w:val="00BC5FFC"/>
    <w:rsid w:val="00BD3AC5"/>
    <w:rsid w:val="00BD7151"/>
    <w:rsid w:val="00BF6761"/>
    <w:rsid w:val="00C01653"/>
    <w:rsid w:val="00C01735"/>
    <w:rsid w:val="00C2182D"/>
    <w:rsid w:val="00C26420"/>
    <w:rsid w:val="00C3665C"/>
    <w:rsid w:val="00C57F90"/>
    <w:rsid w:val="00C73B6B"/>
    <w:rsid w:val="00C8188E"/>
    <w:rsid w:val="00CC2DF7"/>
    <w:rsid w:val="00CE4380"/>
    <w:rsid w:val="00D05FC6"/>
    <w:rsid w:val="00D2247D"/>
    <w:rsid w:val="00D361CA"/>
    <w:rsid w:val="00D4012D"/>
    <w:rsid w:val="00D43D64"/>
    <w:rsid w:val="00D72589"/>
    <w:rsid w:val="00D83B6F"/>
    <w:rsid w:val="00D87C95"/>
    <w:rsid w:val="00D91749"/>
    <w:rsid w:val="00DB1274"/>
    <w:rsid w:val="00DC7795"/>
    <w:rsid w:val="00DD1934"/>
    <w:rsid w:val="00E07541"/>
    <w:rsid w:val="00E22FBC"/>
    <w:rsid w:val="00EB64FB"/>
    <w:rsid w:val="00EC07BE"/>
    <w:rsid w:val="00ED00F5"/>
    <w:rsid w:val="00ED3BA9"/>
    <w:rsid w:val="00EE7726"/>
    <w:rsid w:val="00EF57D5"/>
    <w:rsid w:val="00F27CCF"/>
    <w:rsid w:val="00F459DC"/>
    <w:rsid w:val="00F50A60"/>
    <w:rsid w:val="00F5350D"/>
    <w:rsid w:val="00F61AC7"/>
    <w:rsid w:val="00F65802"/>
    <w:rsid w:val="00F7020B"/>
    <w:rsid w:val="00F7323D"/>
    <w:rsid w:val="00FA55E8"/>
    <w:rsid w:val="00FA70E3"/>
    <w:rsid w:val="00FB3B0F"/>
    <w:rsid w:val="00FF64B8"/>
    <w:rsid w:val="00FF6B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BEE5"/>
  <w15:chartTrackingRefBased/>
  <w15:docId w15:val="{64217680-9D20-45E2-86A0-F2E0755C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C5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6concolores">
    <w:name w:val="Grid Table 6 Colorful"/>
    <w:basedOn w:val="Tablanormal"/>
    <w:uiPriority w:val="51"/>
    <w:rsid w:val="004918E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B8558D"/>
    <w:rPr>
      <w:rFonts w:ascii="Times New Roman" w:hAnsi="Times New Roman" w:cs="Times New Roman"/>
      <w:sz w:val="24"/>
      <w:szCs w:val="24"/>
    </w:rPr>
  </w:style>
  <w:style w:type="paragraph" w:styleId="Descripcin">
    <w:name w:val="caption"/>
    <w:basedOn w:val="Normal"/>
    <w:next w:val="Normal"/>
    <w:uiPriority w:val="35"/>
    <w:unhideWhenUsed/>
    <w:qFormat/>
    <w:rsid w:val="005D313F"/>
    <w:pPr>
      <w:spacing w:after="200" w:line="240" w:lineRule="auto"/>
    </w:pPr>
    <w:rPr>
      <w:i/>
      <w:iCs/>
      <w:color w:val="44546A" w:themeColor="text2"/>
      <w:sz w:val="18"/>
      <w:szCs w:val="18"/>
    </w:rPr>
  </w:style>
  <w:style w:type="character" w:styleId="Textoennegrita">
    <w:name w:val="Strong"/>
    <w:basedOn w:val="Fuentedeprrafopredeter"/>
    <w:uiPriority w:val="22"/>
    <w:qFormat/>
    <w:rsid w:val="00115C99"/>
    <w:rPr>
      <w:b/>
      <w:bCs/>
    </w:rPr>
  </w:style>
  <w:style w:type="character" w:styleId="nfasis">
    <w:name w:val="Emphasis"/>
    <w:basedOn w:val="Fuentedeprrafopredeter"/>
    <w:uiPriority w:val="20"/>
    <w:qFormat/>
    <w:rsid w:val="008B1038"/>
    <w:rPr>
      <w:i/>
      <w:iCs/>
    </w:rPr>
  </w:style>
  <w:style w:type="character" w:styleId="Hipervnculo">
    <w:name w:val="Hyperlink"/>
    <w:basedOn w:val="Fuentedeprrafopredeter"/>
    <w:uiPriority w:val="99"/>
    <w:unhideWhenUsed/>
    <w:rsid w:val="006954E7"/>
    <w:rPr>
      <w:color w:val="0563C1" w:themeColor="hyperlink"/>
      <w:u w:val="single"/>
    </w:rPr>
  </w:style>
  <w:style w:type="character" w:customStyle="1" w:styleId="Mencinsinresolver1">
    <w:name w:val="Mención sin resolver1"/>
    <w:basedOn w:val="Fuentedeprrafopredeter"/>
    <w:uiPriority w:val="99"/>
    <w:semiHidden/>
    <w:unhideWhenUsed/>
    <w:rsid w:val="006954E7"/>
    <w:rPr>
      <w:color w:val="605E5C"/>
      <w:shd w:val="clear" w:color="auto" w:fill="E1DFDD"/>
    </w:rPr>
  </w:style>
  <w:style w:type="paragraph" w:styleId="Prrafodelista">
    <w:name w:val="List Paragraph"/>
    <w:basedOn w:val="Normal"/>
    <w:uiPriority w:val="34"/>
    <w:qFormat/>
    <w:rsid w:val="004B683B"/>
    <w:pPr>
      <w:ind w:left="720"/>
      <w:contextualSpacing/>
    </w:pPr>
  </w:style>
  <w:style w:type="character" w:styleId="Refdecomentario">
    <w:name w:val="annotation reference"/>
    <w:basedOn w:val="Fuentedeprrafopredeter"/>
    <w:uiPriority w:val="99"/>
    <w:semiHidden/>
    <w:unhideWhenUsed/>
    <w:rsid w:val="00444C78"/>
    <w:rPr>
      <w:sz w:val="16"/>
      <w:szCs w:val="16"/>
    </w:rPr>
  </w:style>
  <w:style w:type="paragraph" w:styleId="Textocomentario">
    <w:name w:val="annotation text"/>
    <w:basedOn w:val="Normal"/>
    <w:link w:val="TextocomentarioCar"/>
    <w:uiPriority w:val="99"/>
    <w:unhideWhenUsed/>
    <w:rsid w:val="00444C78"/>
    <w:pPr>
      <w:spacing w:line="240" w:lineRule="auto"/>
    </w:pPr>
    <w:rPr>
      <w:sz w:val="20"/>
      <w:szCs w:val="20"/>
    </w:rPr>
  </w:style>
  <w:style w:type="character" w:customStyle="1" w:styleId="TextocomentarioCar">
    <w:name w:val="Texto comentario Car"/>
    <w:basedOn w:val="Fuentedeprrafopredeter"/>
    <w:link w:val="Textocomentario"/>
    <w:uiPriority w:val="99"/>
    <w:rsid w:val="00444C78"/>
    <w:rPr>
      <w:sz w:val="20"/>
      <w:szCs w:val="20"/>
    </w:rPr>
  </w:style>
  <w:style w:type="paragraph" w:styleId="Asuntodelcomentario">
    <w:name w:val="annotation subject"/>
    <w:basedOn w:val="Textocomentario"/>
    <w:next w:val="Textocomentario"/>
    <w:link w:val="AsuntodelcomentarioCar"/>
    <w:uiPriority w:val="99"/>
    <w:semiHidden/>
    <w:unhideWhenUsed/>
    <w:rsid w:val="00444C78"/>
    <w:rPr>
      <w:b/>
      <w:bCs/>
    </w:rPr>
  </w:style>
  <w:style w:type="character" w:customStyle="1" w:styleId="AsuntodelcomentarioCar">
    <w:name w:val="Asunto del comentario Car"/>
    <w:basedOn w:val="TextocomentarioCar"/>
    <w:link w:val="Asuntodelcomentario"/>
    <w:uiPriority w:val="99"/>
    <w:semiHidden/>
    <w:rsid w:val="00444C78"/>
    <w:rPr>
      <w:b/>
      <w:bCs/>
      <w:sz w:val="20"/>
      <w:szCs w:val="20"/>
    </w:rPr>
  </w:style>
  <w:style w:type="paragraph" w:styleId="Textodeglobo">
    <w:name w:val="Balloon Text"/>
    <w:basedOn w:val="Normal"/>
    <w:link w:val="TextodegloboCar"/>
    <w:uiPriority w:val="99"/>
    <w:semiHidden/>
    <w:unhideWhenUsed/>
    <w:rsid w:val="00444C7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4C78"/>
    <w:rPr>
      <w:rFonts w:ascii="Segoe UI" w:hAnsi="Segoe UI" w:cs="Segoe UI"/>
      <w:sz w:val="18"/>
      <w:szCs w:val="18"/>
    </w:rPr>
  </w:style>
  <w:style w:type="paragraph" w:styleId="Textonotapie">
    <w:name w:val="footnote text"/>
    <w:basedOn w:val="Normal"/>
    <w:link w:val="TextonotapieCar"/>
    <w:uiPriority w:val="99"/>
    <w:semiHidden/>
    <w:unhideWhenUsed/>
    <w:rsid w:val="00046729"/>
    <w:pPr>
      <w:spacing w:after="0" w:line="240" w:lineRule="auto"/>
    </w:pPr>
    <w:rPr>
      <w:kern w:val="2"/>
      <w:sz w:val="20"/>
      <w:szCs w:val="20"/>
    </w:rPr>
  </w:style>
  <w:style w:type="character" w:customStyle="1" w:styleId="TextonotapieCar">
    <w:name w:val="Texto nota pie Car"/>
    <w:basedOn w:val="Fuentedeprrafopredeter"/>
    <w:link w:val="Textonotapie"/>
    <w:uiPriority w:val="99"/>
    <w:semiHidden/>
    <w:rsid w:val="00046729"/>
    <w:rPr>
      <w:kern w:val="2"/>
      <w:sz w:val="20"/>
      <w:szCs w:val="20"/>
    </w:rPr>
  </w:style>
  <w:style w:type="character" w:styleId="Refdenotaalpie">
    <w:name w:val="footnote reference"/>
    <w:basedOn w:val="Fuentedeprrafopredeter"/>
    <w:uiPriority w:val="99"/>
    <w:semiHidden/>
    <w:unhideWhenUsed/>
    <w:rsid w:val="00046729"/>
    <w:rPr>
      <w:vertAlign w:val="superscript"/>
    </w:rPr>
  </w:style>
  <w:style w:type="paragraph" w:styleId="Revisin">
    <w:name w:val="Revision"/>
    <w:hidden/>
    <w:uiPriority w:val="99"/>
    <w:semiHidden/>
    <w:rsid w:val="00F7020B"/>
    <w:pPr>
      <w:spacing w:after="0" w:line="240" w:lineRule="auto"/>
    </w:pPr>
  </w:style>
  <w:style w:type="character" w:customStyle="1" w:styleId="UnresolvedMention">
    <w:name w:val="Unresolved Mention"/>
    <w:basedOn w:val="Fuentedeprrafopredeter"/>
    <w:uiPriority w:val="99"/>
    <w:semiHidden/>
    <w:unhideWhenUsed/>
    <w:rsid w:val="00FB3B0F"/>
    <w:rPr>
      <w:color w:val="605E5C"/>
      <w:shd w:val="clear" w:color="auto" w:fill="E1DFDD"/>
    </w:rPr>
  </w:style>
  <w:style w:type="paragraph" w:styleId="Encabezado">
    <w:name w:val="header"/>
    <w:basedOn w:val="Normal"/>
    <w:link w:val="EncabezadoCar"/>
    <w:uiPriority w:val="99"/>
    <w:unhideWhenUsed/>
    <w:rsid w:val="003309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09D5"/>
  </w:style>
  <w:style w:type="paragraph" w:styleId="Piedepgina">
    <w:name w:val="footer"/>
    <w:basedOn w:val="Normal"/>
    <w:link w:val="PiedepginaCar"/>
    <w:uiPriority w:val="99"/>
    <w:unhideWhenUsed/>
    <w:rsid w:val="003309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09D5"/>
  </w:style>
  <w:style w:type="paragraph" w:customStyle="1" w:styleId="s4">
    <w:name w:val="s4"/>
    <w:basedOn w:val="Normal"/>
    <w:rsid w:val="00D9174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5">
    <w:name w:val="s5"/>
    <w:basedOn w:val="Fuentedeprrafopredeter"/>
    <w:rsid w:val="00D91749"/>
  </w:style>
  <w:style w:type="character" w:customStyle="1" w:styleId="apple-converted-space">
    <w:name w:val="apple-converted-space"/>
    <w:basedOn w:val="Fuentedeprrafopredeter"/>
    <w:rsid w:val="00D91749"/>
  </w:style>
  <w:style w:type="character" w:styleId="Hipervnculovisitado">
    <w:name w:val="FollowedHyperlink"/>
    <w:basedOn w:val="Fuentedeprrafopredeter"/>
    <w:uiPriority w:val="99"/>
    <w:semiHidden/>
    <w:unhideWhenUsed/>
    <w:rsid w:val="00F658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850276">
      <w:bodyDiv w:val="1"/>
      <w:marLeft w:val="0"/>
      <w:marRight w:val="0"/>
      <w:marTop w:val="0"/>
      <w:marBottom w:val="0"/>
      <w:divBdr>
        <w:top w:val="none" w:sz="0" w:space="0" w:color="auto"/>
        <w:left w:val="none" w:sz="0" w:space="0" w:color="auto"/>
        <w:bottom w:val="none" w:sz="0" w:space="0" w:color="auto"/>
        <w:right w:val="none" w:sz="0" w:space="0" w:color="auto"/>
      </w:divBdr>
      <w:divsChild>
        <w:div w:id="2056083733">
          <w:marLeft w:val="0"/>
          <w:marRight w:val="0"/>
          <w:marTop w:val="0"/>
          <w:marBottom w:val="0"/>
          <w:divBdr>
            <w:top w:val="single" w:sz="2" w:space="0" w:color="E3E3E3"/>
            <w:left w:val="single" w:sz="2" w:space="0" w:color="E3E3E3"/>
            <w:bottom w:val="single" w:sz="2" w:space="0" w:color="E3E3E3"/>
            <w:right w:val="single" w:sz="2" w:space="0" w:color="E3E3E3"/>
          </w:divBdr>
          <w:divsChild>
            <w:div w:id="1471747390">
              <w:marLeft w:val="0"/>
              <w:marRight w:val="0"/>
              <w:marTop w:val="0"/>
              <w:marBottom w:val="0"/>
              <w:divBdr>
                <w:top w:val="single" w:sz="2" w:space="0" w:color="E3E3E3"/>
                <w:left w:val="single" w:sz="2" w:space="0" w:color="E3E3E3"/>
                <w:bottom w:val="single" w:sz="2" w:space="0" w:color="E3E3E3"/>
                <w:right w:val="single" w:sz="2" w:space="0" w:color="E3E3E3"/>
              </w:divBdr>
              <w:divsChild>
                <w:div w:id="824130783">
                  <w:marLeft w:val="0"/>
                  <w:marRight w:val="0"/>
                  <w:marTop w:val="0"/>
                  <w:marBottom w:val="0"/>
                  <w:divBdr>
                    <w:top w:val="single" w:sz="2" w:space="0" w:color="E3E3E3"/>
                    <w:left w:val="single" w:sz="2" w:space="0" w:color="E3E3E3"/>
                    <w:bottom w:val="single" w:sz="2" w:space="0" w:color="E3E3E3"/>
                    <w:right w:val="single" w:sz="2" w:space="0" w:color="E3E3E3"/>
                  </w:divBdr>
                  <w:divsChild>
                    <w:div w:id="1527517697">
                      <w:marLeft w:val="0"/>
                      <w:marRight w:val="0"/>
                      <w:marTop w:val="0"/>
                      <w:marBottom w:val="0"/>
                      <w:divBdr>
                        <w:top w:val="single" w:sz="2" w:space="0" w:color="E3E3E3"/>
                        <w:left w:val="single" w:sz="2" w:space="0" w:color="E3E3E3"/>
                        <w:bottom w:val="single" w:sz="2" w:space="0" w:color="E3E3E3"/>
                        <w:right w:val="single" w:sz="2" w:space="0" w:color="E3E3E3"/>
                      </w:divBdr>
                      <w:divsChild>
                        <w:div w:id="390159782">
                          <w:marLeft w:val="0"/>
                          <w:marRight w:val="0"/>
                          <w:marTop w:val="0"/>
                          <w:marBottom w:val="0"/>
                          <w:divBdr>
                            <w:top w:val="single" w:sz="2" w:space="0" w:color="E3E3E3"/>
                            <w:left w:val="single" w:sz="2" w:space="0" w:color="E3E3E3"/>
                            <w:bottom w:val="single" w:sz="2" w:space="0" w:color="E3E3E3"/>
                            <w:right w:val="single" w:sz="2" w:space="0" w:color="E3E3E3"/>
                          </w:divBdr>
                          <w:divsChild>
                            <w:div w:id="1209801477">
                              <w:marLeft w:val="0"/>
                              <w:marRight w:val="0"/>
                              <w:marTop w:val="100"/>
                              <w:marBottom w:val="100"/>
                              <w:divBdr>
                                <w:top w:val="single" w:sz="2" w:space="0" w:color="E3E3E3"/>
                                <w:left w:val="single" w:sz="2" w:space="0" w:color="E3E3E3"/>
                                <w:bottom w:val="single" w:sz="2" w:space="0" w:color="E3E3E3"/>
                                <w:right w:val="single" w:sz="2" w:space="0" w:color="E3E3E3"/>
                              </w:divBdr>
                              <w:divsChild>
                                <w:div w:id="1357854309">
                                  <w:marLeft w:val="0"/>
                                  <w:marRight w:val="0"/>
                                  <w:marTop w:val="0"/>
                                  <w:marBottom w:val="0"/>
                                  <w:divBdr>
                                    <w:top w:val="single" w:sz="2" w:space="0" w:color="E3E3E3"/>
                                    <w:left w:val="single" w:sz="2" w:space="0" w:color="E3E3E3"/>
                                    <w:bottom w:val="single" w:sz="2" w:space="0" w:color="E3E3E3"/>
                                    <w:right w:val="single" w:sz="2" w:space="0" w:color="E3E3E3"/>
                                  </w:divBdr>
                                  <w:divsChild>
                                    <w:div w:id="392236802">
                                      <w:marLeft w:val="0"/>
                                      <w:marRight w:val="0"/>
                                      <w:marTop w:val="0"/>
                                      <w:marBottom w:val="0"/>
                                      <w:divBdr>
                                        <w:top w:val="single" w:sz="2" w:space="0" w:color="E3E3E3"/>
                                        <w:left w:val="single" w:sz="2" w:space="0" w:color="E3E3E3"/>
                                        <w:bottom w:val="single" w:sz="2" w:space="0" w:color="E3E3E3"/>
                                        <w:right w:val="single" w:sz="2" w:space="0" w:color="E3E3E3"/>
                                      </w:divBdr>
                                      <w:divsChild>
                                        <w:div w:id="1557080681">
                                          <w:marLeft w:val="0"/>
                                          <w:marRight w:val="0"/>
                                          <w:marTop w:val="0"/>
                                          <w:marBottom w:val="0"/>
                                          <w:divBdr>
                                            <w:top w:val="single" w:sz="2" w:space="0" w:color="E3E3E3"/>
                                            <w:left w:val="single" w:sz="2" w:space="0" w:color="E3E3E3"/>
                                            <w:bottom w:val="single" w:sz="2" w:space="0" w:color="E3E3E3"/>
                                            <w:right w:val="single" w:sz="2" w:space="0" w:color="E3E3E3"/>
                                          </w:divBdr>
                                          <w:divsChild>
                                            <w:div w:id="1666860916">
                                              <w:marLeft w:val="0"/>
                                              <w:marRight w:val="0"/>
                                              <w:marTop w:val="0"/>
                                              <w:marBottom w:val="0"/>
                                              <w:divBdr>
                                                <w:top w:val="single" w:sz="2" w:space="0" w:color="E3E3E3"/>
                                                <w:left w:val="single" w:sz="2" w:space="0" w:color="E3E3E3"/>
                                                <w:bottom w:val="single" w:sz="2" w:space="0" w:color="E3E3E3"/>
                                                <w:right w:val="single" w:sz="2" w:space="0" w:color="E3E3E3"/>
                                              </w:divBdr>
                                              <w:divsChild>
                                                <w:div w:id="700402542">
                                                  <w:marLeft w:val="0"/>
                                                  <w:marRight w:val="0"/>
                                                  <w:marTop w:val="0"/>
                                                  <w:marBottom w:val="0"/>
                                                  <w:divBdr>
                                                    <w:top w:val="single" w:sz="2" w:space="0" w:color="E3E3E3"/>
                                                    <w:left w:val="single" w:sz="2" w:space="0" w:color="E3E3E3"/>
                                                    <w:bottom w:val="single" w:sz="2" w:space="0" w:color="E3E3E3"/>
                                                    <w:right w:val="single" w:sz="2" w:space="0" w:color="E3E3E3"/>
                                                  </w:divBdr>
                                                  <w:divsChild>
                                                    <w:div w:id="1912035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876334">
          <w:marLeft w:val="0"/>
          <w:marRight w:val="0"/>
          <w:marTop w:val="0"/>
          <w:marBottom w:val="0"/>
          <w:divBdr>
            <w:top w:val="none" w:sz="0" w:space="0" w:color="auto"/>
            <w:left w:val="none" w:sz="0" w:space="0" w:color="auto"/>
            <w:bottom w:val="none" w:sz="0" w:space="0" w:color="auto"/>
            <w:right w:val="none" w:sz="0" w:space="0" w:color="auto"/>
          </w:divBdr>
        </w:div>
      </w:divsChild>
    </w:div>
    <w:div w:id="378819035">
      <w:bodyDiv w:val="1"/>
      <w:marLeft w:val="0"/>
      <w:marRight w:val="0"/>
      <w:marTop w:val="0"/>
      <w:marBottom w:val="0"/>
      <w:divBdr>
        <w:top w:val="none" w:sz="0" w:space="0" w:color="auto"/>
        <w:left w:val="none" w:sz="0" w:space="0" w:color="auto"/>
        <w:bottom w:val="none" w:sz="0" w:space="0" w:color="auto"/>
        <w:right w:val="none" w:sz="0" w:space="0" w:color="auto"/>
      </w:divBdr>
    </w:div>
    <w:div w:id="418452910">
      <w:bodyDiv w:val="1"/>
      <w:marLeft w:val="0"/>
      <w:marRight w:val="0"/>
      <w:marTop w:val="0"/>
      <w:marBottom w:val="0"/>
      <w:divBdr>
        <w:top w:val="none" w:sz="0" w:space="0" w:color="auto"/>
        <w:left w:val="none" w:sz="0" w:space="0" w:color="auto"/>
        <w:bottom w:val="none" w:sz="0" w:space="0" w:color="auto"/>
        <w:right w:val="none" w:sz="0" w:space="0" w:color="auto"/>
      </w:divBdr>
    </w:div>
    <w:div w:id="614167987">
      <w:bodyDiv w:val="1"/>
      <w:marLeft w:val="0"/>
      <w:marRight w:val="0"/>
      <w:marTop w:val="0"/>
      <w:marBottom w:val="0"/>
      <w:divBdr>
        <w:top w:val="none" w:sz="0" w:space="0" w:color="auto"/>
        <w:left w:val="none" w:sz="0" w:space="0" w:color="auto"/>
        <w:bottom w:val="none" w:sz="0" w:space="0" w:color="auto"/>
        <w:right w:val="none" w:sz="0" w:space="0" w:color="auto"/>
      </w:divBdr>
    </w:div>
    <w:div w:id="677849929">
      <w:bodyDiv w:val="1"/>
      <w:marLeft w:val="0"/>
      <w:marRight w:val="0"/>
      <w:marTop w:val="0"/>
      <w:marBottom w:val="0"/>
      <w:divBdr>
        <w:top w:val="none" w:sz="0" w:space="0" w:color="auto"/>
        <w:left w:val="none" w:sz="0" w:space="0" w:color="auto"/>
        <w:bottom w:val="none" w:sz="0" w:space="0" w:color="auto"/>
        <w:right w:val="none" w:sz="0" w:space="0" w:color="auto"/>
      </w:divBdr>
    </w:div>
    <w:div w:id="820462351">
      <w:bodyDiv w:val="1"/>
      <w:marLeft w:val="0"/>
      <w:marRight w:val="0"/>
      <w:marTop w:val="0"/>
      <w:marBottom w:val="0"/>
      <w:divBdr>
        <w:top w:val="none" w:sz="0" w:space="0" w:color="auto"/>
        <w:left w:val="none" w:sz="0" w:space="0" w:color="auto"/>
        <w:bottom w:val="none" w:sz="0" w:space="0" w:color="auto"/>
        <w:right w:val="none" w:sz="0" w:space="0" w:color="auto"/>
      </w:divBdr>
    </w:div>
    <w:div w:id="857037500">
      <w:bodyDiv w:val="1"/>
      <w:marLeft w:val="0"/>
      <w:marRight w:val="0"/>
      <w:marTop w:val="0"/>
      <w:marBottom w:val="0"/>
      <w:divBdr>
        <w:top w:val="none" w:sz="0" w:space="0" w:color="auto"/>
        <w:left w:val="none" w:sz="0" w:space="0" w:color="auto"/>
        <w:bottom w:val="none" w:sz="0" w:space="0" w:color="auto"/>
        <w:right w:val="none" w:sz="0" w:space="0" w:color="auto"/>
      </w:divBdr>
    </w:div>
    <w:div w:id="965700470">
      <w:bodyDiv w:val="1"/>
      <w:marLeft w:val="0"/>
      <w:marRight w:val="0"/>
      <w:marTop w:val="0"/>
      <w:marBottom w:val="0"/>
      <w:divBdr>
        <w:top w:val="none" w:sz="0" w:space="0" w:color="auto"/>
        <w:left w:val="none" w:sz="0" w:space="0" w:color="auto"/>
        <w:bottom w:val="none" w:sz="0" w:space="0" w:color="auto"/>
        <w:right w:val="none" w:sz="0" w:space="0" w:color="auto"/>
      </w:divBdr>
    </w:div>
    <w:div w:id="969477393">
      <w:bodyDiv w:val="1"/>
      <w:marLeft w:val="0"/>
      <w:marRight w:val="0"/>
      <w:marTop w:val="0"/>
      <w:marBottom w:val="0"/>
      <w:divBdr>
        <w:top w:val="none" w:sz="0" w:space="0" w:color="auto"/>
        <w:left w:val="none" w:sz="0" w:space="0" w:color="auto"/>
        <w:bottom w:val="none" w:sz="0" w:space="0" w:color="auto"/>
        <w:right w:val="none" w:sz="0" w:space="0" w:color="auto"/>
      </w:divBdr>
    </w:div>
    <w:div w:id="1279222039">
      <w:bodyDiv w:val="1"/>
      <w:marLeft w:val="0"/>
      <w:marRight w:val="0"/>
      <w:marTop w:val="0"/>
      <w:marBottom w:val="0"/>
      <w:divBdr>
        <w:top w:val="none" w:sz="0" w:space="0" w:color="auto"/>
        <w:left w:val="none" w:sz="0" w:space="0" w:color="auto"/>
        <w:bottom w:val="none" w:sz="0" w:space="0" w:color="auto"/>
        <w:right w:val="none" w:sz="0" w:space="0" w:color="auto"/>
      </w:divBdr>
    </w:div>
    <w:div w:id="1401899716">
      <w:bodyDiv w:val="1"/>
      <w:marLeft w:val="0"/>
      <w:marRight w:val="0"/>
      <w:marTop w:val="0"/>
      <w:marBottom w:val="0"/>
      <w:divBdr>
        <w:top w:val="none" w:sz="0" w:space="0" w:color="auto"/>
        <w:left w:val="none" w:sz="0" w:space="0" w:color="auto"/>
        <w:bottom w:val="none" w:sz="0" w:space="0" w:color="auto"/>
        <w:right w:val="none" w:sz="0" w:space="0" w:color="auto"/>
      </w:divBdr>
    </w:div>
    <w:div w:id="1404258429">
      <w:bodyDiv w:val="1"/>
      <w:marLeft w:val="0"/>
      <w:marRight w:val="0"/>
      <w:marTop w:val="0"/>
      <w:marBottom w:val="0"/>
      <w:divBdr>
        <w:top w:val="none" w:sz="0" w:space="0" w:color="auto"/>
        <w:left w:val="none" w:sz="0" w:space="0" w:color="auto"/>
        <w:bottom w:val="none" w:sz="0" w:space="0" w:color="auto"/>
        <w:right w:val="none" w:sz="0" w:space="0" w:color="auto"/>
      </w:divBdr>
    </w:div>
    <w:div w:id="1465125308">
      <w:bodyDiv w:val="1"/>
      <w:marLeft w:val="0"/>
      <w:marRight w:val="0"/>
      <w:marTop w:val="0"/>
      <w:marBottom w:val="0"/>
      <w:divBdr>
        <w:top w:val="none" w:sz="0" w:space="0" w:color="auto"/>
        <w:left w:val="none" w:sz="0" w:space="0" w:color="auto"/>
        <w:bottom w:val="none" w:sz="0" w:space="0" w:color="auto"/>
        <w:right w:val="none" w:sz="0" w:space="0" w:color="auto"/>
      </w:divBdr>
    </w:div>
    <w:div w:id="1504197595">
      <w:bodyDiv w:val="1"/>
      <w:marLeft w:val="0"/>
      <w:marRight w:val="0"/>
      <w:marTop w:val="0"/>
      <w:marBottom w:val="0"/>
      <w:divBdr>
        <w:top w:val="none" w:sz="0" w:space="0" w:color="auto"/>
        <w:left w:val="none" w:sz="0" w:space="0" w:color="auto"/>
        <w:bottom w:val="none" w:sz="0" w:space="0" w:color="auto"/>
        <w:right w:val="none" w:sz="0" w:space="0" w:color="auto"/>
      </w:divBdr>
    </w:div>
    <w:div w:id="1598101601">
      <w:bodyDiv w:val="1"/>
      <w:marLeft w:val="0"/>
      <w:marRight w:val="0"/>
      <w:marTop w:val="0"/>
      <w:marBottom w:val="0"/>
      <w:divBdr>
        <w:top w:val="none" w:sz="0" w:space="0" w:color="auto"/>
        <w:left w:val="none" w:sz="0" w:space="0" w:color="auto"/>
        <w:bottom w:val="none" w:sz="0" w:space="0" w:color="auto"/>
        <w:right w:val="none" w:sz="0" w:space="0" w:color="auto"/>
      </w:divBdr>
    </w:div>
    <w:div w:id="1699424766">
      <w:bodyDiv w:val="1"/>
      <w:marLeft w:val="0"/>
      <w:marRight w:val="0"/>
      <w:marTop w:val="0"/>
      <w:marBottom w:val="0"/>
      <w:divBdr>
        <w:top w:val="none" w:sz="0" w:space="0" w:color="auto"/>
        <w:left w:val="none" w:sz="0" w:space="0" w:color="auto"/>
        <w:bottom w:val="none" w:sz="0" w:space="0" w:color="auto"/>
        <w:right w:val="none" w:sz="0" w:space="0" w:color="auto"/>
      </w:divBdr>
    </w:div>
    <w:div w:id="1836336840">
      <w:bodyDiv w:val="1"/>
      <w:marLeft w:val="0"/>
      <w:marRight w:val="0"/>
      <w:marTop w:val="0"/>
      <w:marBottom w:val="0"/>
      <w:divBdr>
        <w:top w:val="none" w:sz="0" w:space="0" w:color="auto"/>
        <w:left w:val="none" w:sz="0" w:space="0" w:color="auto"/>
        <w:bottom w:val="none" w:sz="0" w:space="0" w:color="auto"/>
        <w:right w:val="none" w:sz="0" w:space="0" w:color="auto"/>
      </w:divBdr>
    </w:div>
    <w:div w:id="1908876860">
      <w:bodyDiv w:val="1"/>
      <w:marLeft w:val="0"/>
      <w:marRight w:val="0"/>
      <w:marTop w:val="0"/>
      <w:marBottom w:val="0"/>
      <w:divBdr>
        <w:top w:val="none" w:sz="0" w:space="0" w:color="auto"/>
        <w:left w:val="none" w:sz="0" w:space="0" w:color="auto"/>
        <w:bottom w:val="none" w:sz="0" w:space="0" w:color="auto"/>
        <w:right w:val="none" w:sz="0" w:space="0" w:color="auto"/>
      </w:divBdr>
    </w:div>
    <w:div w:id="200562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792/rvu.v28i97.509" TargetMode="External"/><Relationship Id="rId13" Type="http://schemas.openxmlformats.org/officeDocument/2006/relationships/hyperlink" Target="https://www.cinif.org.mx/assets/mejoras_nif/MejorasNIF2018.pdf" TargetMode="External"/><Relationship Id="rId18" Type="http://schemas.openxmlformats.org/officeDocument/2006/relationships/hyperlink" Target="https://doi.org/10.1787/9c2f1c8e-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08/MEDAR-10-2015-0070" TargetMode="External"/><Relationship Id="rId17" Type="http://schemas.openxmlformats.org/officeDocument/2006/relationships/hyperlink" Target="https://doi.org/10.1787/5c5f9d4a-en"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www.inai.org.m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om.2003.12.007"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doi.org/10.1016/j.ejor.2009.07.031" TargetMode="External"/><Relationship Id="rId23" Type="http://schemas.openxmlformats.org/officeDocument/2006/relationships/customXml" Target="../customXml/item2.xml"/><Relationship Id="rId10" Type="http://schemas.openxmlformats.org/officeDocument/2006/relationships/hyperlink" Target="https://www.asf.gob.mx/Section/58_Informes_de_auditoria" TargetMode="External"/><Relationship Id="rId19" Type="http://schemas.openxmlformats.org/officeDocument/2006/relationships/hyperlink" Target="https://doi.org/10.15174/remap.v12i23.400" TargetMode="External"/><Relationship Id="rId4" Type="http://schemas.openxmlformats.org/officeDocument/2006/relationships/settings" Target="settings.xml"/><Relationship Id="rId9" Type="http://schemas.openxmlformats.org/officeDocument/2006/relationships/hyperlink" Target="https://doi.org/10.1108/13598540910941948" TargetMode="External"/><Relationship Id="rId14" Type="http://schemas.openxmlformats.org/officeDocument/2006/relationships/hyperlink" Target="https://www.cinif.org.mx/assets/mejoras_nif/MejorasNIF2018.pdf"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mailto:cpnande@ucol.mx" TargetMode="External"/><Relationship Id="rId2" Type="http://schemas.openxmlformats.org/officeDocument/2006/relationships/hyperlink" Target="http://orcid.org/0000-0009-0006-2630" TargetMode="External"/><Relationship Id="rId1" Type="http://schemas.openxmlformats.org/officeDocument/2006/relationships/hyperlink" Target="mailto:juancarlos.martinez@unison.mx" TargetMode="External"/><Relationship Id="rId5" Type="http://schemas.openxmlformats.org/officeDocument/2006/relationships/hyperlink" Target="https://orcid.org/0000-0001-9019-2242" TargetMode="External"/><Relationship Id="rId4" Type="http://schemas.openxmlformats.org/officeDocument/2006/relationships/hyperlink" Target="http://orcid.org/0000-0009-0006-263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7F9530BB-6824-461E-B2D8-EA9C4896F0C7}">
  <ds:schemaRefs>
    <ds:schemaRef ds:uri="http://schemas.openxmlformats.org/officeDocument/2006/bibliography"/>
  </ds:schemaRefs>
</ds:datastoreItem>
</file>

<file path=customXml/itemProps2.xml><?xml version="1.0" encoding="utf-8"?>
<ds:datastoreItem xmlns:ds="http://schemas.openxmlformats.org/officeDocument/2006/customXml" ds:itemID="{49B63B88-597E-46D0-989A-1A441AB09830}"/>
</file>

<file path=customXml/itemProps3.xml><?xml version="1.0" encoding="utf-8"?>
<ds:datastoreItem xmlns:ds="http://schemas.openxmlformats.org/officeDocument/2006/customXml" ds:itemID="{91463220-7428-43F1-9714-05C9639D46D4}"/>
</file>

<file path=customXml/itemProps4.xml><?xml version="1.0" encoding="utf-8"?>
<ds:datastoreItem xmlns:ds="http://schemas.openxmlformats.org/officeDocument/2006/customXml" ds:itemID="{B9E41C49-DEA3-4991-A4E1-7AB802820BC0}"/>
</file>

<file path=docProps/app.xml><?xml version="1.0" encoding="utf-8"?>
<Properties xmlns="http://schemas.openxmlformats.org/officeDocument/2006/extended-properties" xmlns:vt="http://schemas.openxmlformats.org/officeDocument/2006/docPropsVTypes">
  <Template>Normal.dotm</Template>
  <TotalTime>11</TotalTime>
  <Pages>21</Pages>
  <Words>7779</Words>
  <Characters>44344</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JCMV</dc:creator>
  <cp:keywords/>
  <dc:description/>
  <cp:lastModifiedBy>Edna María Villarreal Peralta</cp:lastModifiedBy>
  <cp:revision>8</cp:revision>
  <cp:lastPrinted>2025-10-15T02:35:00Z</cp:lastPrinted>
  <dcterms:created xsi:type="dcterms:W3CDTF">2026-02-22T01:16:00Z</dcterms:created>
  <dcterms:modified xsi:type="dcterms:W3CDTF">2026-02-23T22:38:00Z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