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2D4FC9"/>
          <w:sz w:val="29"/>
          <w:szCs w:val="29"/>
        </w:rPr>
        <w:t>General tips</w:t>
      </w:r>
    </w:p>
    <w:p w:rsidR="00756EBD" w:rsidRPr="00756EBD" w:rsidRDefault="00756EBD" w:rsidP="00756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Remove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empty spaces</w:t>
      </w:r>
    </w:p>
    <w:p w:rsidR="00756EBD" w:rsidRPr="00756EBD" w:rsidRDefault="00756EBD" w:rsidP="00756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Remove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unused stuff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usings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, vars...)</w:t>
      </w:r>
    </w:p>
    <w:p w:rsidR="00756EBD" w:rsidRPr="00756EBD" w:rsidRDefault="00756EBD" w:rsidP="00756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Remove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useless comments</w:t>
      </w:r>
    </w:p>
    <w:p w:rsidR="00756EBD" w:rsidRPr="00756EBD" w:rsidRDefault="00756EBD" w:rsidP="00756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Careful at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 modifiers</w:t>
      </w:r>
    </w:p>
    <w:p w:rsidR="00756EBD" w:rsidRPr="00756EBD" w:rsidRDefault="00756EBD" w:rsidP="00756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Give </w:t>
      </w:r>
      <w:r w:rsidRPr="00756EBD">
        <w:rPr>
          <w:rFonts w:ascii="Times New Roman" w:eastAsia="Times New Roman" w:hAnsi="Times New Roman" w:cs="Times New Roman"/>
          <w:sz w:val="20"/>
          <w:szCs w:val="20"/>
        </w:rPr>
        <w:t>appropriate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b/>
          <w:bCs/>
          <w:sz w:val="27"/>
          <w:szCs w:val="27"/>
        </w:rPr>
        <w:t>naming </w:t>
      </w:r>
      <w:r w:rsidRPr="00756EBD">
        <w:rPr>
          <w:rFonts w:ascii="Times New Roman" w:eastAsia="Times New Roman" w:hAnsi="Times New Roman" w:cs="Times New Roman"/>
          <w:sz w:val="27"/>
          <w:szCs w:val="27"/>
        </w:rPr>
        <w:t>to everything(naming conventions)</w:t>
      </w: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AD0000"/>
          <w:sz w:val="29"/>
          <w:szCs w:val="29"/>
        </w:rPr>
        <w:t>Coding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group code in regions  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Fields and props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 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 Member overrides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 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methods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 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Group by interface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 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Commands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6EBD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most generic interface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possible, everywhere (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Iviewcontainer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IEnumerable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instead of entity collection...)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use of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instead of interface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do not instantiate stuff 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always resolve instances when possible, sometimes is better to add the container as parameter in the constructor even if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a anti pattern, we'll use lazy loading so it's a performance compromise we have to take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no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cases and switches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replace with </w:t>
      </w:r>
      <w:r w:rsidRPr="00756EBD">
        <w:rPr>
          <w:rFonts w:ascii="Times New Roman" w:eastAsia="Times New Roman" w:hAnsi="Times New Roman" w:cs="Times New Roman"/>
          <w:sz w:val="20"/>
          <w:szCs w:val="20"/>
        </w:rPr>
        <w:t xml:space="preserve">polymorphism(or </w:t>
      </w:r>
      <w:proofErr w:type="spellStart"/>
      <w:r w:rsidRPr="00756EBD">
        <w:rPr>
          <w:rFonts w:ascii="Times New Roman" w:eastAsia="Times New Roman" w:hAnsi="Times New Roman" w:cs="Times New Roman"/>
          <w:sz w:val="20"/>
          <w:szCs w:val="20"/>
        </w:rPr>
        <w:t>smth</w:t>
      </w:r>
      <w:proofErr w:type="spellEnd"/>
      <w:r w:rsidRPr="00756EBD">
        <w:rPr>
          <w:rFonts w:ascii="Times New Roman" w:eastAsia="Times New Roman" w:hAnsi="Times New Roman" w:cs="Times New Roman"/>
          <w:sz w:val="20"/>
          <w:szCs w:val="20"/>
        </w:rPr>
        <w:t xml:space="preserve"> else)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in case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smth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suspicious like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too many trips to the DB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use the profiler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method contains to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many conditions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, recursion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method does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more than 1 thing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method with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more than 4-5 </w:t>
      </w:r>
      <w:proofErr w:type="spellStart"/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params</w:t>
      </w:r>
      <w:proofErr w:type="spellEnd"/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27"/>
          <w:szCs w:val="27"/>
        </w:rPr>
        <w:t>Declare data member instead of prop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27"/>
          <w:szCs w:val="27"/>
        </w:rPr>
        <w:t>if not used on the outside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possible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Null reference exception</w:t>
      </w:r>
    </w:p>
    <w:p w:rsidR="00756EBD" w:rsidRPr="00756EBD" w:rsidRDefault="00756EBD" w:rsidP="00756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do not hard code 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anything except commands unique names</w:t>
      </w: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b/>
          <w:bCs/>
          <w:color w:val="A600C4"/>
          <w:sz w:val="29"/>
          <w:szCs w:val="29"/>
        </w:rPr>
        <w:t>LL</w:t>
      </w:r>
    </w:p>
    <w:p w:rsidR="00756EBD" w:rsidRPr="00756EBD" w:rsidRDefault="00756EBD" w:rsidP="00756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6EBD">
        <w:rPr>
          <w:rFonts w:ascii="Times New Roman" w:eastAsia="Times New Roman" w:hAnsi="Times New Roman" w:cs="Times New Roman"/>
          <w:sz w:val="20"/>
          <w:szCs w:val="20"/>
        </w:rPr>
        <w:t>careful not to map the</w:t>
      </w:r>
      <w:r w:rsidRPr="00756EBD">
        <w:rPr>
          <w:rFonts w:ascii="Times New Roman" w:eastAsia="Times New Roman" w:hAnsi="Times New Roman" w:cs="Times New Roman"/>
          <w:b/>
          <w:bCs/>
          <w:sz w:val="20"/>
          <w:szCs w:val="20"/>
        </w:rPr>
        <w:t> same entity twice</w:t>
      </w:r>
    </w:p>
    <w:p w:rsidR="00756EBD" w:rsidRPr="00756EBD" w:rsidRDefault="00756EBD" w:rsidP="00756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6EBD">
        <w:rPr>
          <w:rFonts w:ascii="Times New Roman" w:eastAsia="Times New Roman" w:hAnsi="Times New Roman" w:cs="Times New Roman"/>
          <w:b/>
          <w:bCs/>
          <w:sz w:val="20"/>
          <w:szCs w:val="20"/>
        </w:rPr>
        <w:t>add branches at the end</w:t>
      </w:r>
    </w:p>
    <w:p w:rsidR="00756EBD" w:rsidRPr="00756EBD" w:rsidRDefault="00756EBD" w:rsidP="00756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6EBD">
        <w:rPr>
          <w:rFonts w:ascii="Times New Roman" w:eastAsia="Times New Roman" w:hAnsi="Times New Roman" w:cs="Times New Roman"/>
          <w:sz w:val="20"/>
          <w:szCs w:val="20"/>
        </w:rPr>
        <w:t>bring only</w:t>
      </w:r>
      <w:r w:rsidRPr="00756EBD">
        <w:rPr>
          <w:rFonts w:ascii="Times New Roman" w:eastAsia="Times New Roman" w:hAnsi="Times New Roman" w:cs="Times New Roman"/>
          <w:b/>
          <w:bCs/>
          <w:sz w:val="20"/>
          <w:szCs w:val="20"/>
        </w:rPr>
        <w:t> required fields</w:t>
      </w:r>
      <w:r w:rsidRPr="00756EBD">
        <w:rPr>
          <w:rFonts w:ascii="Times New Roman" w:eastAsia="Times New Roman" w:hAnsi="Times New Roman" w:cs="Times New Roman"/>
          <w:sz w:val="20"/>
          <w:szCs w:val="20"/>
        </w:rPr>
        <w:t xml:space="preserve">(in any </w:t>
      </w:r>
      <w:proofErr w:type="spellStart"/>
      <w:r w:rsidRPr="00756EBD">
        <w:rPr>
          <w:rFonts w:ascii="Times New Roman" w:eastAsia="Times New Roman" w:hAnsi="Times New Roman" w:cs="Times New Roman"/>
          <w:sz w:val="20"/>
          <w:szCs w:val="20"/>
        </w:rPr>
        <w:t>prefetch</w:t>
      </w:r>
      <w:proofErr w:type="spellEnd"/>
      <w:r w:rsidRPr="00756EBD">
        <w:rPr>
          <w:rFonts w:ascii="Times New Roman" w:eastAsia="Times New Roman" w:hAnsi="Times New Roman" w:cs="Times New Roman"/>
          <w:sz w:val="20"/>
          <w:szCs w:val="20"/>
        </w:rPr>
        <w:t>) </w:t>
      </w:r>
    </w:p>
    <w:p w:rsidR="00756EBD" w:rsidRPr="00756EBD" w:rsidRDefault="00756EBD" w:rsidP="00756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Careful</w:t>
      </w:r>
      <w:r w:rsidRPr="00756EBD">
        <w:rPr>
          <w:rFonts w:ascii="Times New Roman" w:eastAsia="Times New Roman" w:hAnsi="Times New Roman" w:cs="Times New Roman"/>
          <w:color w:val="A600C4"/>
          <w:sz w:val="27"/>
          <w:szCs w:val="27"/>
        </w:rPr>
        <w:t> when setting the exclude/include fields to set the 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18"/>
          <w:szCs w:val="18"/>
        </w:rPr>
        <w:t>companyFields.Add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756EBD">
        <w:rPr>
          <w:rFonts w:ascii="Times New Roman" w:eastAsia="Times New Roman" w:hAnsi="Times New Roman" w:cs="Times New Roman"/>
          <w:color w:val="A600C4"/>
          <w:sz w:val="18"/>
          <w:szCs w:val="18"/>
        </w:rPr>
        <w:t>CompanyFields</w:t>
      </w:r>
      <w:r w:rsidRPr="00756EBD">
        <w:rPr>
          <w:rFonts w:ascii="Times New Roman" w:eastAsia="Times New Roman" w:hAnsi="Times New Roman" w:cs="Times New Roman"/>
          <w:color w:val="000000"/>
          <w:sz w:val="18"/>
          <w:szCs w:val="18"/>
        </w:rPr>
        <w:t>.Name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);use the company fields from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18"/>
          <w:szCs w:val="18"/>
        </w:rPr>
        <w:t>Ncoi.Olytmpus.HelperClasses</w:t>
      </w:r>
      <w:proofErr w:type="spellEnd"/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328712"/>
          <w:sz w:val="29"/>
          <w:szCs w:val="29"/>
        </w:rPr>
        <w:t>SQL</w:t>
      </w:r>
    </w:p>
    <w:p w:rsidR="00756EBD" w:rsidRPr="00756EBD" w:rsidRDefault="00756EBD" w:rsidP="00756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Check the</w:t>
      </w:r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joins inner, left </w:t>
      </w:r>
    </w:p>
    <w:p w:rsidR="00756EBD" w:rsidRPr="00756EBD" w:rsidRDefault="00756EBD" w:rsidP="00756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too many columns</w:t>
      </w:r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, not enough, </w:t>
      </w:r>
    </w:p>
    <w:p w:rsidR="00756EBD" w:rsidRPr="00756EBD" w:rsidRDefault="00756EBD" w:rsidP="00756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all entities should have the</w:t>
      </w:r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attached metadata, </w:t>
      </w:r>
    </w:p>
    <w:p w:rsidR="00756EBD" w:rsidRPr="00756EBD" w:rsidRDefault="00756EBD" w:rsidP="00756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</w:t>
      </w:r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FK name </w:t>
      </w:r>
      <w:proofErr w:type="spellStart"/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</w:t>
      </w:r>
      <w:proofErr w:type="spellEnd"/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ID</w:t>
      </w:r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 filters-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verifica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daca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nevoie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756EBD" w:rsidRPr="00756EBD" w:rsidRDefault="00756EBD" w:rsidP="00756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cand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faci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pune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cu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numele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se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foloseste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alte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views(ex company.name as </w:t>
      </w:r>
      <w:proofErr w:type="spellStart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CompanyName</w:t>
      </w:r>
      <w:proofErr w:type="spellEnd"/>
      <w:r w:rsidRPr="00756EB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FF0000"/>
          <w:sz w:val="29"/>
          <w:szCs w:val="29"/>
        </w:rPr>
        <w:lastRenderedPageBreak/>
        <w:t>View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Host text formats: </w:t>
      </w:r>
      <w:proofErr w:type="spellStart"/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HistoricalTeacherTaskEditHostTextFormat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 - Edit Historical Teacher Task [{0}],  </w:t>
      </w:r>
      <w:proofErr w:type="spellStart"/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HistoricalTeacherTaskOverviewHostTextFormat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 -  Historical Teacher Task [{0}] Overview, </w:t>
      </w:r>
      <w:proofErr w:type="spellStart"/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ProjectTeamListHostText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 - Project Teams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use directly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2 level binding source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 the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entity.property.propertyx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if it's only used in the view, if it is used in other places custom prop have to be used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return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this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.ExamSubscription</w:t>
      </w:r>
      <w:proofErr w:type="spellEnd"/>
      <w:r w:rsidRPr="00756EBD">
        <w:rPr>
          <w:rFonts w:ascii="Times New Roman" w:eastAsia="Times New Roman" w:hAnsi="Times New Roman" w:cs="Times New Roman"/>
          <w:sz w:val="18"/>
          <w:szCs w:val="18"/>
        </w:rPr>
        <w:t xml:space="preserve"> !=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null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&amp;&amp;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this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.ExamSubscription.Exam</w:t>
      </w:r>
      <w:proofErr w:type="spellEnd"/>
      <w:r w:rsidRPr="00756EBD">
        <w:rPr>
          <w:rFonts w:ascii="Times New Roman" w:eastAsia="Times New Roman" w:hAnsi="Times New Roman" w:cs="Times New Roman"/>
          <w:sz w:val="18"/>
          <w:szCs w:val="18"/>
        </w:rPr>
        <w:t xml:space="preserve"> !=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null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?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this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.ExamSubscription.Exam.ExamName</w:t>
      </w:r>
      <w:proofErr w:type="spellEnd"/>
      <w:r w:rsidRPr="00756EBD"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string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.Empty;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interface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) register the main view(the out of the box one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ModelEditPresenter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..) presenter(), such that the special ones get resolved nicely</w:t>
      </w:r>
      <w:r w:rsidRPr="00756EBD">
        <w:rPr>
          <w:rFonts w:ascii="Consolas" w:eastAsia="Times New Roman" w:hAnsi="Consolas" w:cs="Consolas"/>
          <w:sz w:val="18"/>
          <w:szCs w:val="18"/>
        </w:rPr>
        <w:t>     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  myContainer.RegisterType&lt;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IHistoricalTaskReadOnlyPresenterBrief</w:t>
      </w:r>
      <w:r w:rsidRPr="00756EBD">
        <w:rPr>
          <w:rFonts w:ascii="Consolas" w:eastAsia="Times New Roman" w:hAnsi="Consolas" w:cs="Consolas"/>
          <w:sz w:val="18"/>
          <w:szCs w:val="18"/>
        </w:rPr>
        <w:t>,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HistoricalTaskReadOnlyPresenterBriefBrief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&gt;()          myContainer.RegisterType&lt;</w:t>
      </w:r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IModelReadOnlyPresenter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&lt;</w:t>
      </w:r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HistoricalTeacherTaskEntity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&gt;,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HistoricalTeacherTaskReadOnlyPresenter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&gt;();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18"/>
          <w:szCs w:val="18"/>
        </w:rPr>
        <w:t>(specific Interface)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when opening a specific view interface from a specific list use the specific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view interface: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                  MyController.ShowReadOnlyViewCommand.Execute(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new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2B91AF"/>
          <w:sz w:val="18"/>
          <w:szCs w:val="18"/>
        </w:rPr>
        <w:t>ModelPayload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&lt;</w:t>
      </w:r>
      <w:r w:rsidRPr="00756EBD">
        <w:rPr>
          <w:rFonts w:ascii="Times New Roman" w:eastAsia="Times New Roman" w:hAnsi="Times New Roman" w:cs="Times New Roman"/>
          <w:color w:val="2B91AF"/>
          <w:sz w:val="18"/>
          <w:szCs w:val="18"/>
        </w:rPr>
        <w:t>HistoricalTeacherTaskEntity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&gt;(selectedEntity,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new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color w:val="2B91AF"/>
          <w:sz w:val="18"/>
          <w:szCs w:val="18"/>
        </w:rPr>
        <w:t>PresenterLoader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756EBD">
        <w:rPr>
          <w:rFonts w:ascii="Times New Roman" w:eastAsia="Times New Roman" w:hAnsi="Times New Roman" w:cs="Times New Roman"/>
          <w:color w:val="0000FF"/>
          <w:sz w:val="18"/>
          <w:szCs w:val="18"/>
        </w:rPr>
        <w:t>typeof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756EBD">
        <w:rPr>
          <w:rFonts w:ascii="Times New Roman" w:eastAsia="Times New Roman" w:hAnsi="Times New Roman" w:cs="Times New Roman"/>
          <w:color w:val="2B91AF"/>
          <w:sz w:val="18"/>
          <w:szCs w:val="18"/>
        </w:rPr>
        <w:t>IHistoricalTasksBriefListPresenter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Times New Roman" w:eastAsia="Times New Roman" w:hAnsi="Times New Roman" w:cs="Times New Roman"/>
          <w:sz w:val="18"/>
          <w:szCs w:val="18"/>
        </w:rPr>
        <w:t>))));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(specific interface)</w:t>
      </w:r>
      <w:r w:rsidRPr="00756EBD">
        <w:rPr>
          <w:rFonts w:ascii="Consolas" w:eastAsia="Times New Roman" w:hAnsi="Consolas" w:cs="Consolas"/>
          <w:sz w:val="18"/>
          <w:szCs w:val="18"/>
        </w:rPr>
        <w:t xml:space="preserve">  in the presenter using a custom view override </w:t>
      </w:r>
      <w:proofErr w:type="spellStart"/>
      <w:r w:rsidRPr="00756EBD">
        <w:rPr>
          <w:rFonts w:ascii="Consolas" w:eastAsia="Times New Roman" w:hAnsi="Consolas" w:cs="Consolas"/>
          <w:sz w:val="18"/>
          <w:szCs w:val="18"/>
        </w:rPr>
        <w:t>CreateView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> 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color w:val="0000FF"/>
          <w:sz w:val="18"/>
          <w:szCs w:val="18"/>
        </w:rPr>
        <w:t>protected</w:t>
      </w:r>
      <w:r w:rsidRPr="00756EBD">
        <w:rPr>
          <w:rFonts w:ascii="Consolas" w:eastAsia="Times New Roman" w:hAnsi="Consolas" w:cs="Consolas"/>
          <w:sz w:val="18"/>
          <w:szCs w:val="18"/>
        </w:rPr>
        <w:t> </w:t>
      </w:r>
      <w:r w:rsidRPr="00756EBD">
        <w:rPr>
          <w:rFonts w:ascii="Consolas" w:eastAsia="Times New Roman" w:hAnsi="Consolas" w:cs="Consolas"/>
          <w:color w:val="0000FF"/>
          <w:sz w:val="18"/>
          <w:szCs w:val="18"/>
        </w:rPr>
        <w:t>override</w:t>
      </w:r>
      <w:r w:rsidRPr="00756EBD">
        <w:rPr>
          <w:rFonts w:ascii="Consolas" w:eastAsia="Times New Roman" w:hAnsi="Consolas" w:cs="Consolas"/>
          <w:sz w:val="18"/>
          <w:szCs w:val="18"/>
        </w:rPr>
        <w:t> </w:t>
      </w:r>
      <w:r w:rsidRPr="00756EBD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756EBD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756EBD">
        <w:rPr>
          <w:rFonts w:ascii="Consolas" w:eastAsia="Times New Roman" w:hAnsi="Consolas" w:cs="Consolas"/>
          <w:sz w:val="18"/>
          <w:szCs w:val="18"/>
        </w:rPr>
        <w:t>CreateView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>()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{</w:t>
      </w:r>
      <w:proofErr w:type="spellStart"/>
      <w:r w:rsidRPr="00756EBD">
        <w:rPr>
          <w:rFonts w:ascii="Consolas" w:eastAsia="Times New Roman" w:hAnsi="Consolas" w:cs="Consolas"/>
          <w:color w:val="0000FF"/>
          <w:sz w:val="18"/>
          <w:szCs w:val="18"/>
        </w:rPr>
        <w:t>this</w:t>
      </w:r>
      <w:r w:rsidRPr="00756EBD">
        <w:rPr>
          <w:rFonts w:ascii="Consolas" w:eastAsia="Times New Roman" w:hAnsi="Consolas" w:cs="Consolas"/>
          <w:sz w:val="18"/>
          <w:szCs w:val="18"/>
        </w:rPr>
        <w:t>.View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 xml:space="preserve"> = </w:t>
      </w:r>
      <w:proofErr w:type="spellStart"/>
      <w:r w:rsidRPr="00756EBD">
        <w:rPr>
          <w:rFonts w:ascii="Consolas" w:eastAsia="Times New Roman" w:hAnsi="Consolas" w:cs="Consolas"/>
          <w:color w:val="0000FF"/>
          <w:sz w:val="18"/>
          <w:szCs w:val="18"/>
        </w:rPr>
        <w:t>this</w:t>
      </w:r>
      <w:r w:rsidRPr="00756EBD">
        <w:rPr>
          <w:rFonts w:ascii="Consolas" w:eastAsia="Times New Roman" w:hAnsi="Consolas" w:cs="Consolas"/>
          <w:sz w:val="18"/>
          <w:szCs w:val="18"/>
        </w:rPr>
        <w:t>.MyContainer.Resolve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>&lt;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6EBD">
        <w:rPr>
          <w:rFonts w:ascii="Consolas" w:eastAsia="Times New Roman" w:hAnsi="Consolas" w:cs="Consolas"/>
          <w:color w:val="2B91AF"/>
          <w:sz w:val="18"/>
          <w:szCs w:val="18"/>
        </w:rPr>
        <w:t>INewProjectEditView</w:t>
      </w:r>
      <w:proofErr w:type="spellEnd"/>
      <w:r w:rsidRPr="00756EBD">
        <w:rPr>
          <w:rFonts w:ascii="Consolas" w:eastAsia="Times New Roman" w:hAnsi="Consolas" w:cs="Consolas"/>
          <w:sz w:val="15"/>
          <w:szCs w:val="15"/>
        </w:rPr>
        <w:t> </w:t>
      </w:r>
      <w:r w:rsidRPr="00756EBD">
        <w:rPr>
          <w:rFonts w:ascii="Consolas" w:eastAsia="Times New Roman" w:hAnsi="Consolas" w:cs="Consolas"/>
          <w:sz w:val="18"/>
          <w:szCs w:val="18"/>
        </w:rPr>
        <w:t>&gt;();}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ahoma" w:eastAsia="Times New Roman" w:hAnsi="Tahoma" w:cs="Tahoma"/>
          <w:b/>
          <w:bCs/>
          <w:sz w:val="27"/>
          <w:szCs w:val="27"/>
        </w:rPr>
        <w:t>(specific interface)</w:t>
      </w:r>
      <w:r w:rsidRPr="00756EBD">
        <w:rPr>
          <w:rFonts w:ascii="Consolas" w:eastAsia="Times New Roman" w:hAnsi="Consolas" w:cs="Consolas"/>
          <w:sz w:val="18"/>
          <w:szCs w:val="18"/>
        </w:rPr>
        <w:t> if custom controller is used inject it in the presenter constructor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ahoma" w:eastAsia="Times New Roman" w:hAnsi="Tahoma" w:cs="Tahoma"/>
          <w:sz w:val="27"/>
          <w:szCs w:val="27"/>
        </w:rPr>
        <w:t>take care when creating </w:t>
      </w:r>
      <w:r w:rsidRPr="00756EBD">
        <w:rPr>
          <w:rFonts w:ascii="Tahoma" w:eastAsia="Times New Roman" w:hAnsi="Tahoma" w:cs="Tahoma"/>
          <w:b/>
          <w:bCs/>
          <w:sz w:val="27"/>
          <w:szCs w:val="27"/>
        </w:rPr>
        <w:t>lookup layouts(...),</w:t>
      </w:r>
      <w:r w:rsidRPr="00756EBD">
        <w:rPr>
          <w:rFonts w:ascii="Tahoma" w:eastAsia="Times New Roman" w:hAnsi="Tahoma" w:cs="Tahoma"/>
          <w:sz w:val="27"/>
          <w:szCs w:val="27"/>
        </w:rPr>
        <w:t xml:space="preserve"> take care that the </w:t>
      </w:r>
      <w:proofErr w:type="spellStart"/>
      <w:r w:rsidRPr="00756EBD">
        <w:rPr>
          <w:rFonts w:ascii="Tahoma" w:eastAsia="Times New Roman" w:hAnsi="Tahoma" w:cs="Tahoma"/>
          <w:sz w:val="27"/>
          <w:szCs w:val="27"/>
        </w:rPr>
        <w:t>modelName</w:t>
      </w:r>
      <w:proofErr w:type="spellEnd"/>
      <w:r w:rsidRPr="00756EBD">
        <w:rPr>
          <w:rFonts w:ascii="Tahoma" w:eastAsia="Times New Roman" w:hAnsi="Tahoma" w:cs="Tahoma"/>
          <w:sz w:val="27"/>
          <w:szCs w:val="27"/>
        </w:rPr>
        <w:t xml:space="preserve"> of the used instance is completely </w:t>
      </w:r>
      <w:proofErr w:type="spellStart"/>
      <w:r w:rsidRPr="00756EBD">
        <w:rPr>
          <w:rFonts w:ascii="Tahoma" w:eastAsia="Times New Roman" w:hAnsi="Tahoma" w:cs="Tahoma"/>
          <w:sz w:val="27"/>
          <w:szCs w:val="27"/>
        </w:rPr>
        <w:t>prefetched</w:t>
      </w:r>
      <w:proofErr w:type="spellEnd"/>
      <w:r w:rsidRPr="00756EBD">
        <w:rPr>
          <w:rFonts w:ascii="Tahoma" w:eastAsia="Times New Roman" w:hAnsi="Tahoma" w:cs="Tahoma"/>
          <w:sz w:val="27"/>
          <w:szCs w:val="27"/>
        </w:rPr>
        <w:t xml:space="preserve"> in the </w:t>
      </w:r>
      <w:proofErr w:type="spellStart"/>
      <w:r w:rsidRPr="00756EBD">
        <w:rPr>
          <w:rFonts w:ascii="Tahoma" w:eastAsia="Times New Roman" w:hAnsi="Tahoma" w:cs="Tahoma"/>
          <w:sz w:val="27"/>
          <w:szCs w:val="27"/>
        </w:rPr>
        <w:t>EditPresenter</w:t>
      </w:r>
      <w:proofErr w:type="spellEnd"/>
      <w:r w:rsidRPr="00756EBD">
        <w:rPr>
          <w:rFonts w:ascii="Tahoma" w:eastAsia="Times New Roman" w:hAnsi="Tahoma" w:cs="Tahoma"/>
          <w:sz w:val="27"/>
          <w:szCs w:val="27"/>
        </w:rPr>
        <w:t xml:space="preserve">(tip: also look in each composing element of the module name it may be a custom prop and may need additional objects in the </w:t>
      </w:r>
      <w:proofErr w:type="spellStart"/>
      <w:r w:rsidRPr="00756EBD">
        <w:rPr>
          <w:rFonts w:ascii="Tahoma" w:eastAsia="Times New Roman" w:hAnsi="Tahoma" w:cs="Tahoma"/>
          <w:sz w:val="27"/>
          <w:szCs w:val="27"/>
        </w:rPr>
        <w:t>prefetch</w:t>
      </w:r>
      <w:proofErr w:type="spellEnd"/>
      <w:r w:rsidRPr="00756EBD">
        <w:rPr>
          <w:rFonts w:ascii="Tahoma" w:eastAsia="Times New Roman" w:hAnsi="Tahoma" w:cs="Tahoma"/>
          <w:sz w:val="27"/>
          <w:szCs w:val="27"/>
        </w:rPr>
        <w:t>)</w:t>
      </w:r>
    </w:p>
    <w:p w:rsidR="00756EBD" w:rsidRPr="00756EBD" w:rsidRDefault="00756EBD" w:rsidP="00756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color w:val="FF7A74"/>
          <w:sz w:val="24"/>
          <w:szCs w:val="24"/>
        </w:rPr>
        <w:t>List View</w:t>
      </w:r>
    </w:p>
    <w:p w:rsidR="00756EBD" w:rsidRPr="00756EBD" w:rsidRDefault="00756EBD" w:rsidP="00756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Consolas" w:eastAsia="Times New Roman" w:hAnsi="Consolas" w:cs="Consolas"/>
          <w:sz w:val="18"/>
          <w:szCs w:val="18"/>
        </w:rPr>
        <w:t xml:space="preserve">check list columns names if they're ok they maybe off sometimes(also the values if a </w:t>
      </w:r>
      <w:proofErr w:type="spellStart"/>
      <w:r w:rsidRPr="00756EBD">
        <w:rPr>
          <w:rFonts w:ascii="Consolas" w:eastAsia="Times New Roman" w:hAnsi="Consolas" w:cs="Consolas"/>
          <w:sz w:val="18"/>
          <w:szCs w:val="18"/>
        </w:rPr>
        <w:t>systype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756EBD">
        <w:rPr>
          <w:rFonts w:ascii="Consolas" w:eastAsia="Times New Roman" w:hAnsi="Consolas" w:cs="Consolas"/>
          <w:sz w:val="18"/>
          <w:szCs w:val="18"/>
        </w:rPr>
        <w:t>enum</w:t>
      </w:r>
      <w:proofErr w:type="spellEnd"/>
      <w:r w:rsidRPr="00756EBD">
        <w:rPr>
          <w:rFonts w:ascii="Consolas" w:eastAsia="Times New Roman" w:hAnsi="Consolas" w:cs="Consolas"/>
          <w:sz w:val="18"/>
          <w:szCs w:val="18"/>
        </w:rPr>
        <w:t xml:space="preserve"> is used)</w:t>
      </w:r>
    </w:p>
    <w:p w:rsidR="00756EBD" w:rsidRPr="00756EBD" w:rsidRDefault="00756EBD" w:rsidP="00756E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color w:val="FF7A74"/>
          <w:sz w:val="24"/>
          <w:szCs w:val="24"/>
        </w:rPr>
        <w:t>Edit view</w:t>
      </w:r>
    </w:p>
    <w:p w:rsidR="00756EBD" w:rsidRPr="00756EBD" w:rsidRDefault="00756EBD" w:rsidP="00756E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7"/>
          <w:szCs w:val="27"/>
        </w:rPr>
        <w:t>ups padding on text boxes and other elements to allow space 20-25</w:t>
      </w:r>
    </w:p>
    <w:p w:rsidR="00756EBD" w:rsidRPr="00756EBD" w:rsidRDefault="00756EBD" w:rsidP="00756E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147191"/>
          <w:sz w:val="29"/>
          <w:szCs w:val="29"/>
        </w:rPr>
        <w:t>Presenters &amp; Controllers</w:t>
      </w:r>
    </w:p>
    <w:p w:rsidR="00756EBD" w:rsidRPr="00756EBD" w:rsidRDefault="00756EBD" w:rsidP="00756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never check validators in the controller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CanExecute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...) check only if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!=null and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arg.Item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!=null the check is made when executing (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executesavecommand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lastRenderedPageBreak/>
        <w:t>ModelController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 thus the button is always active and in case of errors the generic exception handler can display messages - set in the service in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checkPreconditionsOnExecuting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56EBD" w:rsidRPr="00756EBD" w:rsidRDefault="00756EBD" w:rsidP="00756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some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presenters can be called from others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 thus additional behavior can be added</w:t>
      </w:r>
    </w:p>
    <w:p w:rsidR="00756EBD" w:rsidRPr="00756EBD" w:rsidRDefault="00756EBD" w:rsidP="00756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 xml:space="preserve">use Presenter loader to create a new presenter, because view name resolution if loader is used an existing presenter can be set to active in case someone wants to open it again opposed to directly calling </w:t>
      </w:r>
      <w:proofErr w:type="spellStart"/>
      <w:r w:rsidRPr="00756EBD">
        <w:rPr>
          <w:rFonts w:ascii="Times New Roman" w:eastAsia="Times New Roman" w:hAnsi="Times New Roman" w:cs="Times New Roman"/>
          <w:sz w:val="24"/>
          <w:szCs w:val="24"/>
        </w:rPr>
        <w:t>presenter.Open</w:t>
      </w:r>
      <w:proofErr w:type="spellEnd"/>
      <w:r w:rsidRPr="00756EBD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56EBD" w:rsidRPr="00756EBD" w:rsidRDefault="00756EBD" w:rsidP="00756E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EBD">
        <w:rPr>
          <w:rFonts w:ascii="Times New Roman" w:eastAsia="Times New Roman" w:hAnsi="Times New Roman" w:cs="Times New Roman"/>
          <w:sz w:val="24"/>
          <w:szCs w:val="24"/>
        </w:rPr>
        <w:t>when </w:t>
      </w:r>
      <w:r w:rsidRPr="00756EBD">
        <w:rPr>
          <w:rFonts w:ascii="Times New Roman" w:eastAsia="Times New Roman" w:hAnsi="Times New Roman" w:cs="Times New Roman"/>
          <w:b/>
          <w:bCs/>
          <w:sz w:val="24"/>
          <w:szCs w:val="24"/>
        </w:rPr>
        <w:t>injecting a small presente</w:t>
      </w:r>
      <w:r w:rsidRPr="00756EBD">
        <w:rPr>
          <w:rFonts w:ascii="Times New Roman" w:eastAsia="Times New Roman" w:hAnsi="Times New Roman" w:cs="Times New Roman"/>
          <w:sz w:val="24"/>
          <w:szCs w:val="24"/>
        </w:rPr>
        <w:t>r in a large one set the PP of the large one to include the necessary fields of the little one</w:t>
      </w: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756EBD">
        <w:rPr>
          <w:rFonts w:ascii="Times New Roman" w:eastAsia="Times New Roman" w:hAnsi="Times New Roman" w:cs="Times New Roman"/>
          <w:color w:val="41AD1C"/>
          <w:sz w:val="29"/>
          <w:szCs w:val="29"/>
        </w:rPr>
        <w:t>Services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color w:val="000000"/>
          <w:sz w:val="27"/>
          <w:szCs w:val="27"/>
        </w:rPr>
        <w:t>In </w:t>
      </w:r>
      <w:r w:rsidRPr="00756EB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check preconditions</w:t>
      </w:r>
      <w:r w:rsidRPr="00756EBD">
        <w:rPr>
          <w:rFonts w:ascii="Tahoma" w:eastAsia="Times New Roman" w:hAnsi="Tahoma" w:cs="Tahoma"/>
          <w:color w:val="000000"/>
          <w:sz w:val="27"/>
          <w:szCs w:val="27"/>
        </w:rPr>
        <w:t> don't check anything that might need a refresh No properties that can change on refresh(</w:t>
      </w:r>
      <w:proofErr w:type="spellStart"/>
      <w:r w:rsidRPr="00756EBD">
        <w:rPr>
          <w:rFonts w:ascii="Tahoma" w:eastAsia="Times New Roman" w:hAnsi="Tahoma" w:cs="Tahoma"/>
          <w:color w:val="000000"/>
          <w:sz w:val="27"/>
          <w:szCs w:val="27"/>
        </w:rPr>
        <w:t>eg</w:t>
      </w:r>
      <w:proofErr w:type="spellEnd"/>
      <w:r w:rsidRPr="00756EBD">
        <w:rPr>
          <w:rFonts w:ascii="Tahoma" w:eastAsia="Times New Roman" w:hAnsi="Tahoma" w:cs="Tahoma"/>
          <w:color w:val="000000"/>
          <w:sz w:val="27"/>
          <w:szCs w:val="27"/>
        </w:rPr>
        <w:t>: if the service should be enabled for a certain flag and that flag was changed in the meantime and I'm stuck)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color w:val="000000"/>
          <w:sz w:val="27"/>
          <w:szCs w:val="27"/>
        </w:rPr>
        <w:t>When </w:t>
      </w:r>
      <w:r w:rsidRPr="00756EBD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checking preconditions on executing</w:t>
      </w:r>
      <w:r w:rsidRPr="00756EBD">
        <w:rPr>
          <w:rFonts w:ascii="Tahoma" w:eastAsia="Times New Roman" w:hAnsi="Tahoma" w:cs="Tahoma"/>
          <w:color w:val="000000"/>
          <w:sz w:val="27"/>
          <w:szCs w:val="27"/>
        </w:rPr>
        <w:t> get the preconditions result from base : 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756EBD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756EBD">
        <w:rPr>
          <w:rFonts w:ascii="Tahoma" w:eastAsia="Times New Roman" w:hAnsi="Tahoma" w:cs="Tahoma"/>
          <w:color w:val="0000FF"/>
          <w:sz w:val="18"/>
          <w:szCs w:val="18"/>
        </w:rPr>
        <w:t>var</w:t>
      </w:r>
      <w:proofErr w:type="spellEnd"/>
      <w:r w:rsidRPr="00756EBD">
        <w:rPr>
          <w:rFonts w:ascii="Tahoma" w:eastAsia="Times New Roman" w:hAnsi="Tahoma" w:cs="Tahoma"/>
          <w:color w:val="000000"/>
          <w:sz w:val="27"/>
          <w:szCs w:val="27"/>
        </w:rPr>
        <w:t> 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>result =</w:t>
      </w:r>
      <w:r w:rsidRPr="00756EBD">
        <w:rPr>
          <w:rFonts w:ascii="Tahoma" w:eastAsia="Times New Roman" w:hAnsi="Tahoma" w:cs="Tahoma"/>
          <w:color w:val="000000"/>
          <w:sz w:val="27"/>
          <w:szCs w:val="27"/>
        </w:rPr>
        <w:t> </w:t>
      </w:r>
      <w:proofErr w:type="spellStart"/>
      <w:r w:rsidRPr="00756EBD">
        <w:rPr>
          <w:rFonts w:ascii="Tahoma" w:eastAsia="Times New Roman" w:hAnsi="Tahoma" w:cs="Tahoma"/>
          <w:color w:val="0000FF"/>
          <w:sz w:val="18"/>
          <w:szCs w:val="18"/>
        </w:rPr>
        <w:t>base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>.CheckPreconditionsOnExecuting</w:t>
      </w:r>
      <w:proofErr w:type="spellEnd"/>
      <w:r w:rsidRPr="00756EBD">
        <w:rPr>
          <w:rFonts w:ascii="Tahoma" w:eastAsia="Times New Roman" w:hAnsi="Tahoma" w:cs="Tahoma"/>
          <w:color w:val="000000"/>
          <w:sz w:val="18"/>
          <w:szCs w:val="18"/>
        </w:rPr>
        <w:t>(</w:t>
      </w:r>
      <w:proofErr w:type="spellStart"/>
      <w:r w:rsidRPr="00756EBD">
        <w:rPr>
          <w:rFonts w:ascii="Tahoma" w:eastAsia="Times New Roman" w:hAnsi="Tahoma" w:cs="Tahoma"/>
          <w:color w:val="000000"/>
          <w:sz w:val="18"/>
          <w:szCs w:val="18"/>
        </w:rPr>
        <w:t>serviceArgs</w:t>
      </w:r>
      <w:proofErr w:type="spellEnd"/>
      <w:r w:rsidRPr="00756EBD">
        <w:rPr>
          <w:rFonts w:ascii="Tahoma" w:eastAsia="Times New Roman" w:hAnsi="Tahoma" w:cs="Tahoma"/>
          <w:color w:val="000000"/>
          <w:sz w:val="18"/>
          <w:szCs w:val="18"/>
        </w:rPr>
        <w:t>);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When writing tests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 xml:space="preserve"> one should name them after the method actually tested like </w:t>
      </w:r>
      <w:proofErr w:type="spellStart"/>
      <w:r w:rsidRPr="00756EBD">
        <w:rPr>
          <w:rFonts w:ascii="Tahoma" w:eastAsia="Times New Roman" w:hAnsi="Tahoma" w:cs="Tahoma"/>
          <w:color w:val="000000"/>
          <w:sz w:val="18"/>
          <w:szCs w:val="18"/>
        </w:rPr>
        <w:t>CheckPreconditionsOnExecuting</w:t>
      </w:r>
      <w:proofErr w:type="spellEnd"/>
      <w:proofErr w:type="gramStart"/>
      <w:r w:rsidRPr="00756EBD">
        <w:rPr>
          <w:rFonts w:ascii="Tahoma" w:eastAsia="Times New Roman" w:hAnsi="Tahoma" w:cs="Tahoma"/>
          <w:color w:val="000000"/>
          <w:sz w:val="18"/>
          <w:szCs w:val="18"/>
        </w:rPr>
        <w:t>..</w:t>
      </w:r>
      <w:proofErr w:type="gramEnd"/>
      <w:r w:rsidRPr="00756EBD">
        <w:rPr>
          <w:rFonts w:ascii="Tahoma" w:eastAsia="Times New Roman" w:hAnsi="Tahoma" w:cs="Tahoma"/>
          <w:color w:val="000000"/>
          <w:sz w:val="18"/>
          <w:szCs w:val="18"/>
        </w:rPr>
        <w:t> </w:t>
      </w:r>
      <w:proofErr w:type="spellStart"/>
      <w:r w:rsidRPr="00756EB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InnerExecute</w:t>
      </w:r>
      <w:proofErr w:type="spellEnd"/>
      <w:proofErr w:type="gramStart"/>
      <w:r w:rsidRPr="00756EB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_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> ..</w:t>
      </w:r>
      <w:proofErr w:type="gramEnd"/>
      <w:r w:rsidRPr="00756EBD">
        <w:rPr>
          <w:rFonts w:ascii="Tahoma" w:eastAsia="Times New Roman" w:hAnsi="Tahoma" w:cs="Tahoma"/>
          <w:color w:val="000000"/>
          <w:sz w:val="18"/>
          <w:szCs w:val="18"/>
        </w:rPr>
        <w:t>(</w:t>
      </w:r>
      <w:proofErr w:type="gramStart"/>
      <w:r w:rsidRPr="00756EBD">
        <w:rPr>
          <w:rFonts w:ascii="Tahoma" w:eastAsia="Times New Roman" w:hAnsi="Tahoma" w:cs="Tahoma"/>
          <w:color w:val="000000"/>
          <w:sz w:val="18"/>
          <w:szCs w:val="18"/>
        </w:rPr>
        <w:t>not</w:t>
      </w:r>
      <w:proofErr w:type="gramEnd"/>
      <w:r w:rsidRPr="00756EBD">
        <w:rPr>
          <w:rFonts w:ascii="Tahoma" w:eastAsia="Times New Roman" w:hAnsi="Tahoma" w:cs="Tahoma"/>
          <w:color w:val="000000"/>
          <w:sz w:val="18"/>
          <w:szCs w:val="18"/>
        </w:rPr>
        <w:t xml:space="preserve"> just Execute_...)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color w:val="000000"/>
          <w:sz w:val="18"/>
          <w:szCs w:val="18"/>
        </w:rPr>
        <w:t>test if </w:t>
      </w:r>
      <w:r w:rsidRPr="00756EBD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any of the dependencies are that the service is using are missing</w:t>
      </w:r>
      <w:r w:rsidRPr="00756EBD">
        <w:rPr>
          <w:rFonts w:ascii="Tahoma" w:eastAsia="Times New Roman" w:hAnsi="Tahoma" w:cs="Tahoma"/>
          <w:color w:val="000000"/>
          <w:sz w:val="18"/>
          <w:szCs w:val="18"/>
        </w:rPr>
        <w:t> check what exception it should throw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color w:val="000000"/>
          <w:sz w:val="20"/>
          <w:szCs w:val="20"/>
        </w:rPr>
        <w:t>test for </w:t>
      </w:r>
      <w:r w:rsidRPr="00756EB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affected entities</w:t>
      </w:r>
    </w:p>
    <w:p w:rsidR="00756EBD" w:rsidRPr="00756EBD" w:rsidRDefault="00756EBD" w:rsidP="00756E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756EBD">
        <w:rPr>
          <w:rFonts w:ascii="Tahoma" w:eastAsia="Times New Roman" w:hAnsi="Tahoma" w:cs="Tahoma"/>
          <w:color w:val="000000"/>
          <w:sz w:val="20"/>
          <w:szCs w:val="20"/>
        </w:rPr>
        <w:t>test for </w:t>
      </w:r>
      <w:r w:rsidRPr="00756EBD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no of times called</w:t>
      </w:r>
    </w:p>
    <w:p w:rsidR="00756EBD" w:rsidRPr="00756EBD" w:rsidRDefault="00756EBD" w:rsidP="0075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A06" w:rsidRDefault="00756EBD">
      <w:bookmarkStart w:id="0" w:name="_GoBack"/>
      <w:bookmarkEnd w:id="0"/>
    </w:p>
    <w:sectPr w:rsidR="00F7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6B63"/>
    <w:multiLevelType w:val="multilevel"/>
    <w:tmpl w:val="2B4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F4269"/>
    <w:multiLevelType w:val="multilevel"/>
    <w:tmpl w:val="E434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97B1B"/>
    <w:multiLevelType w:val="multilevel"/>
    <w:tmpl w:val="2206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4209B"/>
    <w:multiLevelType w:val="multilevel"/>
    <w:tmpl w:val="FF80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066B1"/>
    <w:multiLevelType w:val="multilevel"/>
    <w:tmpl w:val="AFD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B359ED"/>
    <w:multiLevelType w:val="multilevel"/>
    <w:tmpl w:val="5638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425AD"/>
    <w:multiLevelType w:val="multilevel"/>
    <w:tmpl w:val="197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15B72"/>
    <w:multiLevelType w:val="multilevel"/>
    <w:tmpl w:val="EE04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85ADD"/>
    <w:multiLevelType w:val="multilevel"/>
    <w:tmpl w:val="4F9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BD"/>
    <w:rsid w:val="00756EBD"/>
    <w:rsid w:val="0089137C"/>
    <w:rsid w:val="00D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0F764-AF88-4EBA-9514-E86429E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Coclici</dc:creator>
  <cp:keywords/>
  <dc:description/>
  <cp:lastModifiedBy>Andrei Coclici</cp:lastModifiedBy>
  <cp:revision>1</cp:revision>
  <dcterms:created xsi:type="dcterms:W3CDTF">2013-10-31T08:39:00Z</dcterms:created>
  <dcterms:modified xsi:type="dcterms:W3CDTF">2013-10-31T08:40:00Z</dcterms:modified>
</cp:coreProperties>
</file>