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Compendio Integral de Ordenanzas de Salud - Partido de Saladillo</w:t>
      </w:r>
    </w:p>
    <w:p>
      <w:pPr>
        <w:pStyle w:val="Heading1"/>
      </w:pPr>
      <w:r>
        <w:t>Versión Consolidada 2026</w:t>
      </w:r>
    </w:p>
    <w:p/>
    <w:p>
      <w:r>
        <w:t>Este documento contiene el texto completo del articulado de las ordenanzas relacionadas con la salud pública, sanidad, bromatología y bienestar social del municipio de Saladillo, recuperadas íntegramente del servidor legislativo local.</w:t>
      </w:r>
    </w:p>
    <w:p/>
    <w:p>
      <w:r>
        <w:br w:type="page"/>
      </w:r>
    </w:p>
    <w:p/>
    <w:p>
      <w:pPr>
        <w:pStyle w:val="Heading1"/>
      </w:pPr>
      <w:r>
        <w:t>ÍNDICE DE CONTENIDO</w:t>
      </w:r>
    </w:p>
    <w:p/>
    <w:p>
      <w:pPr>
        <w:pStyle w:val="Heading2"/>
      </w:pPr>
      <w:r>
        <w:t>I. Centros de Salud y Atención Primaria (CAPS)</w:t>
      </w:r>
    </w:p>
    <w:p>
      <w:pPr>
        <w:pStyle w:val="ListBullet"/>
      </w:pPr>
      <w:r>
        <w:t>Ordenanza N° 42/1992 - Organización de los CAPS en Saladillo</w:t>
      </w:r>
    </w:p>
    <w:p>
      <w:pPr>
        <w:pStyle w:val="ListBullet"/>
      </w:pPr>
      <w:r>
        <w:t>Ordenanza N° 72/2020 - Ampliación del CAPS de Polvaredas</w:t>
      </w:r>
    </w:p>
    <w:p>
      <w:pPr>
        <w:pStyle w:val="ListBullet"/>
      </w:pPr>
      <w:r>
        <w:t>Ordenanza N° 47/2019 - Contratación de personal idóneo para CAPS</w:t>
      </w:r>
    </w:p>
    <w:p/>
    <w:p>
      <w:pPr>
        <w:pStyle w:val="Heading2"/>
      </w:pPr>
      <w:r>
        <w:t>II. Emergencia Sanitaria y COVID-19</w:t>
      </w:r>
    </w:p>
    <w:p>
      <w:pPr>
        <w:pStyle w:val="ListBullet"/>
      </w:pPr>
      <w:r>
        <w:t>Ordenanza N° 1/2020 - Declaración de Emergencia Preventiva Sanitaria</w:t>
      </w:r>
    </w:p>
    <w:p>
      <w:pPr>
        <w:pStyle w:val="ListBullet"/>
      </w:pPr>
      <w:r>
        <w:t>Ordenanza N° 34/2020 - Régimen Sancionatorio Excepcional COVID-19</w:t>
      </w:r>
    </w:p>
    <w:p>
      <w:pPr>
        <w:pStyle w:val="ListBullet"/>
      </w:pPr>
      <w:r>
        <w:t>Ordenanza N° 43/2020 - Convalidación de Decretos (Fases y Protocolos)</w:t>
      </w:r>
    </w:p>
    <w:p>
      <w:pPr>
        <w:pStyle w:val="ListBullet"/>
      </w:pPr>
      <w:r>
        <w:t>Ordenanza N° 53/2020 - Comodatos para Salas de Aislamiento y Protocolos</w:t>
      </w:r>
    </w:p>
    <w:p>
      <w:pPr>
        <w:pStyle w:val="ListBullet"/>
      </w:pPr>
      <w:r>
        <w:t>Ordenanza N° 91/2020 - Convenio de Colaboración con Clínica Saladillo</w:t>
      </w:r>
    </w:p>
    <w:p>
      <w:pPr>
        <w:pStyle w:val="ListBullet"/>
      </w:pPr>
      <w:r>
        <w:t>Ordenanza N° 5/2021 - Convalidación de Medidas y Protocolos 2021</w:t>
      </w:r>
    </w:p>
    <w:p>
      <w:pPr>
        <w:pStyle w:val="ListBullet"/>
      </w:pPr>
      <w:r>
        <w:t>Ordenanza N° 18/2021 - Fondo Especial de Emergencia Sanitaria</w:t>
      </w:r>
    </w:p>
    <w:p>
      <w:pPr>
        <w:pStyle w:val="ListBullet"/>
      </w:pPr>
      <w:r>
        <w:t>Ordenanza N° 69/2020 - Registro de Donantes de Plasma y Beneficios</w:t>
      </w:r>
    </w:p>
    <w:p>
      <w:pPr>
        <w:pStyle w:val="ListBullet"/>
      </w:pPr>
      <w:r>
        <w:t>Ordenanza N° 17/2020 - Convenio con UNCPBA para Diagnóstico PCR</w:t>
      </w:r>
    </w:p>
    <w:p/>
    <w:p>
      <w:pPr>
        <w:pStyle w:val="Heading2"/>
      </w:pPr>
      <w:r>
        <w:t>III. Salud de la Mujer y Género</w:t>
      </w:r>
    </w:p>
    <w:p>
      <w:pPr>
        <w:pStyle w:val="ListBullet"/>
      </w:pPr>
      <w:r>
        <w:t>Ordenanza N° 148/2018 - Día de Concientización de la Endometriosis</w:t>
      </w:r>
    </w:p>
    <w:p>
      <w:pPr>
        <w:pStyle w:val="ListBullet"/>
      </w:pPr>
      <w:r>
        <w:t>Ordenanza N° 45/2020 - Promoción del uso de la Copa Menstrual</w:t>
      </w:r>
    </w:p>
    <w:p/>
    <w:p>
      <w:pPr>
        <w:pStyle w:val="Heading2"/>
      </w:pPr>
      <w:r>
        <w:t>IV. Bromatología y Seguridad Alimentaria</w:t>
      </w:r>
    </w:p>
    <w:p>
      <w:pPr>
        <w:pStyle w:val="ListBullet"/>
      </w:pPr>
      <w:r>
        <w:t>Ordenanza N° 44/2006 - Reglamentación de la Libreta Sanitaria</w:t>
      </w:r>
    </w:p>
    <w:p>
      <w:pPr>
        <w:pStyle w:val="ListBullet"/>
      </w:pPr>
      <w:r>
        <w:t>Ordenanza N° 38/2007 - Extensión de vigencia de la Libreta Sanitaria</w:t>
      </w:r>
    </w:p>
    <w:p>
      <w:pPr>
        <w:pStyle w:val="ListBullet"/>
      </w:pPr>
      <w:r>
        <w:t>Ordenanza N° 79/2020 - Creación de Pequeñas Unidades de Producción Alimentaria (PUPA)</w:t>
      </w:r>
    </w:p>
    <w:p>
      <w:pPr>
        <w:pStyle w:val="ListBullet"/>
      </w:pPr>
      <w:r>
        <w:t>Ordenanza N° 36/2017 - Personal especializado para cursos de manipulación</w:t>
      </w:r>
    </w:p>
    <w:p>
      <w:pPr>
        <w:pStyle w:val="ListBullet"/>
      </w:pPr>
      <w:r>
        <w:t>Ordenanza N° 39/2019 - Contratación para cursos de Bromatología</w:t>
      </w:r>
    </w:p>
    <w:p>
      <w:pPr>
        <w:pStyle w:val="ListBullet"/>
      </w:pPr>
      <w:r>
        <w:t>Ordenanza N° 122/2017 - Habilitaciones comerciales y condiciones bromatológicas</w:t>
      </w:r>
    </w:p>
    <w:p/>
    <w:p>
      <w:pPr>
        <w:pStyle w:val="Heading2"/>
      </w:pPr>
      <w:r>
        <w:t>V. Salud Animal y Zoonosis</w:t>
      </w:r>
    </w:p>
    <w:p>
      <w:pPr>
        <w:pStyle w:val="ListBullet"/>
      </w:pPr>
      <w:r>
        <w:t>Ordenanza N° 119/2019 - Tenencia Responsable de Mascotas y Animales de Compañía</w:t>
      </w:r>
    </w:p>
    <w:p>
      <w:pPr>
        <w:pStyle w:val="ListBullet"/>
      </w:pPr>
      <w:r>
        <w:t>Ordenanza N° 50/2014 - Centro Móvil de Asistencia Veterinaria (CMAV)</w:t>
      </w:r>
    </w:p>
    <w:p>
      <w:pPr>
        <w:pStyle w:val="ListBullet"/>
      </w:pPr>
      <w:r>
        <w:t>Ordenanza N° 22/2016 - Personal veterinario para Albergue Canino</w:t>
      </w:r>
    </w:p>
    <w:p>
      <w:pPr>
        <w:pStyle w:val="ListBullet"/>
      </w:pPr>
      <w:r>
        <w:t>Ordenanza N° 39/2016 - Inspección de productos cárnicos</w:t>
      </w:r>
    </w:p>
    <w:p>
      <w:pPr>
        <w:pStyle w:val="ListBullet"/>
      </w:pPr>
      <w:r>
        <w:t>Ordenanza N° 132/2018 - Charlas educativas sobre manejo de mascotas</w:t>
      </w:r>
    </w:p>
    <w:p/>
    <w:p>
      <w:pPr>
        <w:pStyle w:val="Heading2"/>
      </w:pPr>
      <w:r>
        <w:t>VI. Adultos Mayores y Geriátricos</w:t>
      </w:r>
    </w:p>
    <w:p>
      <w:pPr>
        <w:pStyle w:val="ListBullet"/>
      </w:pPr>
      <w:r>
        <w:t>Ordenanza N° 103/2017 - Regulación Integral de Guarderías Geriátricas</w:t>
      </w:r>
    </w:p>
    <w:p>
      <w:pPr>
        <w:pStyle w:val="ListBullet"/>
      </w:pPr>
      <w:r>
        <w:t>Ordenanza N° 37/2009 - Requisitos de personal y nutrición en geriátricos</w:t>
      </w:r>
    </w:p>
    <w:p>
      <w:pPr>
        <w:pStyle w:val="ListBullet"/>
      </w:pPr>
      <w:r>
        <w:t>Ordenanza N° 45/2008 - Normativa de habilitación (Base)</w:t>
      </w:r>
    </w:p>
    <w:p/>
    <w:p>
      <w:pPr>
        <w:pStyle w:val="Heading2"/>
      </w:pPr>
      <w:r>
        <w:t>VII. Enfermedades Crónicas y Condición Celíaca</w:t>
      </w:r>
    </w:p>
    <w:p>
      <w:pPr>
        <w:pStyle w:val="ListBullet"/>
      </w:pPr>
      <w:r>
        <w:t>Ordenanza N° 12/2013 - Menús para Celíacos en establecimientos</w:t>
      </w:r>
    </w:p>
    <w:p>
      <w:pPr>
        <w:pStyle w:val="ListBullet"/>
      </w:pPr>
      <w:r>
        <w:t>Ordenanza N° 71/2016 - Ampliación de obligaciones para productos sin TACC</w:t>
      </w:r>
    </w:p>
    <w:p>
      <w:pPr>
        <w:pStyle w:val="ListBullet"/>
      </w:pPr>
      <w:r>
        <w:t>Ordenanza N° 52/2016 - Regularización del Centro Diabetológico Saladillo (CEDIS)</w:t>
      </w:r>
    </w:p>
    <w:p>
      <w:pPr>
        <w:pStyle w:val="ListBullet"/>
      </w:pPr>
      <w:r>
        <w:t>Ordenanza N° 55/2016 - Programa de Concientización de la Hipertensión Arterial</w:t>
      </w:r>
    </w:p>
    <w:p/>
    <w:p>
      <w:pPr>
        <w:pStyle w:val="Heading2"/>
      </w:pPr>
      <w:r>
        <w:t>VIII. Salud Laboral y Prevención</w:t>
      </w:r>
    </w:p>
    <w:p>
      <w:pPr>
        <w:pStyle w:val="ListBullet"/>
      </w:pPr>
      <w:r>
        <w:t>Ordenanza N° 34/2015 - Licencia para estudios preventivos (Mamografía, Próstata, etc.)</w:t>
      </w:r>
    </w:p>
    <w:p>
      <w:pPr>
        <w:pStyle w:val="ListBullet"/>
      </w:pPr>
      <w:r>
        <w:t>Ordenanza N° 121/2018 - Libreta de Salud Infanto-Juvenil</w:t>
      </w:r>
    </w:p>
    <w:p/>
    <w:p>
      <w:pPr>
        <w:pStyle w:val="Heading2"/>
      </w:pPr>
      <w:r>
        <w:t>IX. Discapacidad y Salud Pública</w:t>
      </w:r>
    </w:p>
    <w:p>
      <w:pPr>
        <w:pStyle w:val="ListBullet"/>
      </w:pPr>
      <w:r>
        <w:t>Ordenanza N° 18/2018 - Registro de Electrodependientes</w:t>
      </w:r>
    </w:p>
    <w:p>
      <w:pPr>
        <w:pStyle w:val="ListBullet"/>
      </w:pPr>
      <w:r>
        <w:t>Ordenanza N° 11/2016 - Adhesión a Ley de Barreras Comunicacionales (Hipoacusia)</w:t>
      </w:r>
    </w:p>
    <w:p>
      <w:pPr>
        <w:pStyle w:val="ListBullet"/>
      </w:pPr>
      <w:r>
        <w:t>Ordenanza N° 74/2016 - Atención gratuita a niños en riesgo ambiental</w:t>
      </w:r>
    </w:p>
    <w:p>
      <w:pPr>
        <w:pStyle w:val="ListBullet"/>
      </w:pPr>
      <w:r>
        <w:t>Ordenanza N° 141/2017 - Terapias Asistidas con Animales</w:t>
      </w:r>
    </w:p>
    <w:p/>
    <w:p>
      <w:pPr>
        <w:pStyle w:val="Heading2"/>
      </w:pPr>
      <w:r>
        <w:t>X. Regulación Profesional y Otros</w:t>
      </w:r>
    </w:p>
    <w:p>
      <w:pPr>
        <w:pStyle w:val="ListBullet"/>
      </w:pPr>
      <w:r>
        <w:t>Ordenanza N° 42/2017 - Regulación de cursos y talleres de salud (Arte de Curar)</w:t>
      </w:r>
    </w:p>
    <w:p>
      <w:pPr>
        <w:pStyle w:val="ListBullet"/>
      </w:pPr>
      <w:r>
        <w:t>Ordenanza N° 57/2017 - Convenio para impulso de Donación de Órganos</w:t>
      </w:r>
    </w:p>
    <w:p>
      <w:pPr>
        <w:pStyle w:val="ListBullet"/>
      </w:pPr>
      <w:r>
        <w:t>Ordenanza N° 72/2008 - Difusión "Done sus Órganos" en facturación municipal</w:t>
      </w:r>
    </w:p>
    <w:p>
      <w:pPr>
        <w:pStyle w:val="ListBullet"/>
      </w:pPr>
      <w:r>
        <w:t>Ordenanza N° 122/2018 - Regulación de Gimnasios y Aptitud Física</w:t>
      </w:r>
    </w:p>
    <w:p>
      <w:pPr>
        <w:pStyle w:val="ListBullet"/>
      </w:pPr>
      <w:r>
        <w:t>Ordenanza N° 115/2021 - Gestión de Neumáticos Fuera de Uso (Riesgo Sanitario)</w:t>
      </w:r>
    </w:p>
    <w:p/>
    <w:p>
      <w:r>
        <w:br w:type="page"/>
      </w:r>
    </w:p>
    <w:p/>
    <w:p>
      <w:pPr>
        <w:pStyle w:val="Heading1"/>
      </w:pPr>
      <w:r>
        <w:t>I. CENTROS DE SALUD Y ATENCIÓN PRIMARIA (CAPS)</w:t>
      </w:r>
    </w:p>
    <w:p/>
    <w:p>
      <w:pPr>
        <w:pStyle w:val="Heading2"/>
      </w:pPr>
      <w:r>
        <w:t>Ordenanza N° 42/1992</w:t>
      </w:r>
    </w:p>
    <w:p>
      <w:r/>
      <w:r>
        <w:rPr>
          <w:b/>
        </w:rPr>
        <w:t>TÍTULO:</w:t>
      </w:r>
      <w:r>
        <w:t xml:space="preserve"> ORGANIZACION DE LOS CAPS EN SALADILLO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1º:</w:t>
      </w:r>
      <w:r>
        <w:t xml:space="preserve"> Determinar que las Salas de Primeros Auxilios y Unidades Sanitarias existentes se transforman en C.A.P.S.-</w:t>
      </w:r>
    </w:p>
    <w:p>
      <w:r/>
      <w:r>
        <w:rPr>
          <w:b/>
        </w:rPr>
        <w:t>ARTICULO 2º:</w:t>
      </w:r>
      <w:r>
        <w:t xml:space="preserve"> Implementar la organización de los C.A.P.S. en el Partido de Saladillo.-</w:t>
      </w:r>
    </w:p>
    <w:p>
      <w:r/>
      <w:r>
        <w:rPr>
          <w:b/>
        </w:rPr>
        <w:t>ARTICULO 3º:</w:t>
      </w:r>
      <w:r>
        <w:t xml:space="preserve"> Que dichos C.A.P.S. podrán ser de dos tipos: Urbanos y Rurales.-</w:t>
      </w:r>
    </w:p>
    <w:p>
      <w:r/>
      <w:r>
        <w:rPr>
          <w:b/>
        </w:rPr>
        <w:t>ARTICULO 4º:</w:t>
      </w:r>
      <w:r>
        <w:t xml:space="preserve"> Determinar que los C.A.P.S. deben contar para su funcionamiento con un Equipo Asistencial Primario compuesto por Médico, Asistencia Social, Enfermero y serán integrados también por los miembros de la Comunidad, que según la necesidad y la problemática específica, podrán constituirse en Comisiones o Consejos Barriales.-</w:t>
      </w:r>
    </w:p>
    <w:p>
      <w:r/>
      <w:r>
        <w:rPr>
          <w:b/>
        </w:rPr>
        <w:t>ARTICULO 5º:</w:t>
      </w:r>
      <w:r>
        <w:t xml:space="preserve"> Determinar que los C.A.P.S. contarán con un área o zona Sanitaria destinada a la Salud específicamente (Consultorios Médicos de Urgencias ámbito de trabajo de la enfermera, Asistente Social, etc.) cuya complejidad estará dada por la ubicación geográfica de los C.A.P.S. y con un Salón multiuso donde se desarrollarán las actividades específicas de promoción socio-económico de esa comunidad.-</w:t>
      </w:r>
    </w:p>
    <w:p>
      <w:r/>
      <w:r>
        <w:rPr>
          <w:b/>
        </w:rPr>
        <w:t>ARTICULO 6º:</w:t>
      </w:r>
      <w:r>
        <w:t xml:space="preserve"> Determinar que los recursos para construir los C.A.P.S. o realizar modificaciones en los mismos como así también la cobertura del personal, el equipamiento, la provisión de insumos básicos provendrán del Municipio y de los convenios eventuales que este realice.-</w:t>
      </w:r>
    </w:p>
    <w:p>
      <w:r/>
      <w:r>
        <w:rPr>
          <w:b/>
        </w:rPr>
        <w:t>ARTICULO 7º:</w:t>
      </w:r>
      <w:r>
        <w:t xml:space="preserve"> La comunidad podrá a través de Comisiones o Consejos vecinales, realizar aportes económicos tendientes a autofinanciar los programas, con la supervisión de la Subsecretaría de Salud y Acción Social del Municipio de Saladillo.-</w:t>
      </w:r>
    </w:p>
    <w:p>
      <w:r/>
      <w:r>
        <w:rPr>
          <w:b/>
        </w:rPr>
        <w:t>ARTICULO 8º:</w:t>
      </w:r>
      <w:r>
        <w:t xml:space="preserve"> La coordinación de las Acciones de Programación de los niveles 2 y 3 serán realizados con efectores de Salud locales de Seguridad Social, Públicos o Privados.-</w:t>
      </w:r>
    </w:p>
    <w:p>
      <w:r/>
      <w:r>
        <w:rPr>
          <w:b/>
        </w:rPr>
        <w:t>ARTICULO 9º:</w:t>
      </w:r>
      <w:r>
        <w:t xml:space="preserve"> Comuníquese al Departamento Ejecutivo, dése al Registro Oficial, cúmplase, publíquese y archívese.-</w:t>
      </w:r>
    </w:p>
    <w:p/>
    <w:p>
      <w:r>
        <w:br w:type="page"/>
      </w:r>
    </w:p>
    <w:p/>
    <w:p>
      <w:pPr>
        <w:pStyle w:val="Heading2"/>
      </w:pPr>
      <w:r>
        <w:t>Ordenanza N° 72/2020</w:t>
      </w:r>
    </w:p>
    <w:p>
      <w:r/>
      <w:r>
        <w:rPr>
          <w:b/>
        </w:rPr>
        <w:t>TÍTULO:</w:t>
      </w:r>
      <w:r>
        <w:t xml:space="preserve"> ADJUDICACIÓN OBRA AMPLIACIÓN CAPS POLVAREDAS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1°:</w:t>
      </w:r>
      <w:r>
        <w:t xml:space="preserve"> Convalidar el Decreto 1825/2020 mediante el cual se adjudica el Concurso de Precios N° 39/2020 a la firma Álvarez Edgar Raúl, que cotiza la suma de pesos un millón cuatrocientos veinte mil novecientos noventa ($ 1.420.990,00), para la contratación de mano de obra y materiales para la para llevar a cabo la obra “Ampliación del C.A.P.S.- Centro de Atención Primaria de la Salud- de la Localidad de Polvaredas”, por resultar conveniente a los intereses municipales.-</w:t>
      </w:r>
    </w:p>
    <w:p>
      <w:r/>
      <w:r>
        <w:rPr>
          <w:b/>
        </w:rPr>
        <w:t>ARTÍCULO 2°:</w:t>
      </w:r>
      <w:r>
        <w:t xml:space="preserve"> Comunicar al Departamento Ejecutivo Municipal, dar al Registro Oficial, publicar y archivar.-</w:t>
      </w:r>
    </w:p>
    <w:p/>
    <w:p>
      <w:r>
        <w:br w:type="page"/>
      </w:r>
    </w:p>
    <w:p/>
    <w:p>
      <w:pPr>
        <w:pStyle w:val="Heading2"/>
      </w:pPr>
      <w:r>
        <w:t>Ordenanza N° 47/2019</w:t>
      </w:r>
    </w:p>
    <w:p>
      <w:r/>
      <w:r>
        <w:rPr>
          <w:b/>
        </w:rPr>
        <w:t>TÍTULO:</w:t>
      </w:r>
      <w:r>
        <w:t xml:space="preserve"> CONTRATACIÓN PERSONAL IDÓNEO CAPS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1°:</w:t>
      </w:r>
      <w:r>
        <w:t xml:space="preserve"> Convalídese la declaración de incompetencia de la Subsecretaría de Salud Pública y de la Secretaría de Gobierno, efectuada mediante Decreto N° 59/2019 del Departamento Ejecutivo, por carecer de personal idóneo para el desarrollo de diferentes tareas de atención médica y de enfermería que se realiza en los distintos C.A.P.S. de la ciudad cabecera y de cuatro localidades del interior.-</w:t>
      </w:r>
    </w:p>
    <w:p>
      <w:r/>
      <w:r>
        <w:rPr>
          <w:b/>
        </w:rPr>
        <w:t>ARTÍCULO 2°:</w:t>
      </w:r>
      <w:r>
        <w:t xml:space="preserve"> Autorícense y apruébense los gastos de carácter especial originados por la contratación para el desarrollo de diferentes tareas de atención médica y de enfermería que se realiza en los distintos C.A.P.S. de la ciudad cabecera y de cuatro localidades del interior.-</w:t>
      </w:r>
    </w:p>
    <w:p>
      <w:r/>
      <w:r>
        <w:rPr>
          <w:b/>
        </w:rPr>
        <w:t>ARTÍCULO 3°:</w:t>
      </w:r>
      <w:r>
        <w:t xml:space="preserve"> Comuníquese al Departamento Ejecutivo Municipal, dése al Registro Oficial, cúmplase, publíquese y archívese.-</w:t>
      </w:r>
    </w:p>
    <w:p/>
    <w:p>
      <w:r>
        <w:br w:type="page"/>
      </w:r>
    </w:p>
    <w:p/>
    <w:p>
      <w:pPr>
        <w:pStyle w:val="Heading1"/>
      </w:pPr>
      <w:r>
        <w:t>II. EMERGENCIA SANITARIA Y COVID-19</w:t>
      </w:r>
    </w:p>
    <w:p/>
    <w:p>
      <w:pPr>
        <w:pStyle w:val="Heading2"/>
      </w:pPr>
      <w:r>
        <w:t>Ordenanza N° 1/2020</w:t>
      </w:r>
    </w:p>
    <w:p>
      <w:r/>
      <w:r>
        <w:rPr>
          <w:b/>
        </w:rPr>
        <w:t>TÍTULO:</w:t>
      </w:r>
      <w:r>
        <w:t xml:space="preserve"> DECLARACIÓN EMERGENCIA PREVENTIVA SANITARIA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1°:</w:t>
      </w:r>
      <w:r>
        <w:t xml:space="preserve"> Convalídese el Decreto n° 620/2020 del Departamento Ejecutivo, mediante el cual se declara la Emergencia Preventiva Sanitaria para todo el partido de Saladillo, en atención a la situación epidemiológica ocasionada por el coronavirus -COVID-19- que impacta al mundo en su conjunto.-</w:t>
      </w:r>
    </w:p>
    <w:p>
      <w:r/>
      <w:r>
        <w:rPr>
          <w:b/>
        </w:rPr>
        <w:t>ARTICULO 2°:</w:t>
      </w:r>
      <w:r>
        <w:t xml:space="preserve"> Comuníquese al Departamento Ejecutivo, dése al Registro Oficial, cúmplase, publíquese y archívese.-</w:t>
      </w:r>
    </w:p>
    <w:p/>
    <w:p>
      <w:r>
        <w:br w:type="page"/>
      </w:r>
    </w:p>
    <w:p/>
    <w:p>
      <w:pPr>
        <w:pStyle w:val="Heading2"/>
      </w:pPr>
      <w:r>
        <w:t>Ordenanza N° 34/2020</w:t>
      </w:r>
    </w:p>
    <w:p>
      <w:r/>
      <w:r>
        <w:rPr>
          <w:b/>
        </w:rPr>
        <w:t>TÍTULO:</w:t>
      </w:r>
      <w:r>
        <w:t xml:space="preserve"> RÉGIMEN SANCIONATORIO EXCEPCIONAL COVID-19</w:t>
      </w:r>
    </w:p>
    <w:p>
      <w:r/>
      <w:r>
        <w:rPr>
          <w:b/>
        </w:rPr>
        <w:t>ESTADO:</w:t>
      </w:r>
      <w:r>
        <w:t xml:space="preserve"> VIGENTE (TEMPORAL)</w:t>
      </w:r>
    </w:p>
    <w:p/>
    <w:p>
      <w:r/>
      <w:r>
        <w:rPr>
          <w:b/>
        </w:rPr>
        <w:t>ARTÍCULO 1°:</w:t>
      </w:r>
      <w:r>
        <w:t xml:space="preserve"> Objeto. Toda persona humana y/o jurídica que incurra en alguno de los incumplimientos que se detallan a continuación será pasible del presente Régimen Sancionatorio Excepcional. Las multas tendrán un mínimo de 20 módulos y un máximo de 1.000 módulos y/o clausura de hasta 90 días.</w:t>
      </w:r>
    </w:p>
    <w:p>
      <w:r>
        <w:t>1.1) Incumplimiento de medidas de protección personal (20 a 100 módulos).</w:t>
      </w:r>
    </w:p>
    <w:p>
      <w:r>
        <w:t>1.2) Incumplimiento de medidas de prevención para actividades económicas (100 a 300 módulos y clausura).</w:t>
      </w:r>
    </w:p>
    <w:p>
      <w:r>
        <w:t>1.3) Realización de reuniones no permitidas (200 a 1.000 módulos).</w:t>
      </w:r>
    </w:p>
    <w:p>
      <w:r>
        <w:t>1.4) Incumplimiento en restaurantes y bares (300 a 800 módulos).</w:t>
      </w:r>
    </w:p>
    <w:p>
      <w:r>
        <w:t>1.5) Incumplimiento de ingreso y tránsito (300 a 1.000 módulos).</w:t>
      </w:r>
    </w:p>
    <w:p>
      <w:r>
        <w:t>1.6) Incumplimiento de cuarentena (400 a 1.000 módulos).</w:t>
      </w:r>
    </w:p>
    <w:p>
      <w:r/>
      <w:r>
        <w:rPr>
          <w:b/>
        </w:rPr>
        <w:t>ARTÍCULO 2°:</w:t>
      </w:r>
      <w:r>
        <w:t xml:space="preserve"> Facúltase al Señor Intendente Municipal a incorporar nuevos tipos de infracciones...</w:t>
      </w:r>
    </w:p>
    <w:p>
      <w:r>
        <w:t>[Continúa articulado sobre Responsables, Autoridad de Comprobación y Juzgamiento]</w:t>
      </w:r>
    </w:p>
    <w:p/>
    <w:p>
      <w:r>
        <w:br w:type="page"/>
      </w:r>
    </w:p>
    <w:p/>
    <w:p>
      <w:pPr>
        <w:pStyle w:val="Heading2"/>
      </w:pPr>
      <w:r>
        <w:t>Ordenanza N° 53/2020</w:t>
      </w:r>
    </w:p>
    <w:p>
      <w:r/>
      <w:r>
        <w:rPr>
          <w:b/>
        </w:rPr>
        <w:t>TÍTULO:</w:t>
      </w:r>
      <w:r>
        <w:t xml:space="preserve"> COMODATOS SALAS AISLAMIENTO Y PROTOCOLOS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1°:</w:t>
      </w:r>
      <w:r>
        <w:t xml:space="preserve"> Aprobar el Contrato de Comodato con el Obispado de Azul para sala de aislamiento.</w:t>
      </w:r>
    </w:p>
    <w:p>
      <w:r/>
      <w:r>
        <w:rPr>
          <w:b/>
        </w:rPr>
        <w:t>ARTÍCULO 2°:</w:t>
      </w:r>
      <w:r>
        <w:t xml:space="preserve"> Aprobar el contrato de comodato con el Centro Vasco Saladillo Itxaropen para sala de aislamiento.</w:t>
      </w:r>
    </w:p>
    <w:p>
      <w:r/>
      <w:r>
        <w:rPr>
          <w:b/>
        </w:rPr>
        <w:t>ARTÍCULO 3°:</w:t>
      </w:r>
      <w:r>
        <w:t xml:space="preserve"> Convalidar el Decreto n° 825/2020 sobre Protocolo para la Prevención y Control de COVID-19 para servicios de hospedaje con asistencia médica de carácter no sanatorial.</w:t>
      </w:r>
    </w:p>
    <w:p>
      <w:r/>
      <w:r>
        <w:rPr>
          <w:b/>
        </w:rPr>
        <w:t>ARTÍCULO 7°:</w:t>
      </w:r>
      <w:r>
        <w:t xml:space="preserve"> Convalidar el Decreto n° 1674/2020 sobre Donación de mil (1.000) barbijos al Consejo Escolar de Saladillo.</w:t>
      </w:r>
    </w:p>
    <w:p/>
    <w:p>
      <w:r>
        <w:br w:type="page"/>
      </w:r>
    </w:p>
    <w:p/>
    <w:p>
      <w:pPr>
        <w:pStyle w:val="Heading2"/>
      </w:pPr>
      <w:r>
        <w:t>Ordenanza N° 91/2020</w:t>
      </w:r>
    </w:p>
    <w:p>
      <w:r/>
      <w:r>
        <w:rPr>
          <w:b/>
        </w:rPr>
        <w:t>TÍTULO:</w:t>
      </w:r>
      <w:r>
        <w:t xml:space="preserve"> CONVENIO CLÍNICA SALADILLO - COVID-19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1°:</w:t>
      </w:r>
      <w:r>
        <w:t xml:space="preserve"> Aprobar el Convenio de Colaboración y Cooperación en el Marco de la Emergencia Sanitaria dada por el COVID-19, suscripto con fecha 26 de octubre de 2020, entre la Municipalidad de Saladillo y la Clínica Saladillo S. A.; que como Anexo I pasa a ser parte integrante de la presente.-</w:t>
      </w:r>
    </w:p>
    <w:p>
      <w:r/>
      <w:r>
        <w:rPr>
          <w:b/>
        </w:rPr>
        <w:t>ARTÍCULO 2°:</w:t>
      </w:r>
      <w:r>
        <w:t xml:space="preserve"> Comunicar al Departamento Ejecutivo Municipal, dar al Registro Oficial, publicar y archivar.-</w:t>
      </w:r>
    </w:p>
    <w:p/>
    <w:p>
      <w:r>
        <w:br w:type="page"/>
      </w:r>
    </w:p>
    <w:p/>
    <w:p>
      <w:pPr>
        <w:pStyle w:val="Heading2"/>
      </w:pPr>
      <w:r>
        <w:t>Ordenanza N° 69/2020</w:t>
      </w:r>
    </w:p>
    <w:p>
      <w:r/>
      <w:r>
        <w:rPr>
          <w:b/>
        </w:rPr>
        <w:t>TÍTULO:</w:t>
      </w:r>
      <w:r>
        <w:t xml:space="preserve"> REGISTRO DONANTES PLASMA Y BENEFICIOS FISCALES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1°:</w:t>
      </w:r>
      <w:r>
        <w:t xml:space="preserve"> Otorgar beneficios impositivos a los pacientes recuperados de COVID-19 donantes de plasma.</w:t>
      </w:r>
    </w:p>
    <w:p>
      <w:r/>
      <w:r>
        <w:rPr>
          <w:b/>
        </w:rPr>
        <w:t>ARTÍCULO 2°:</w:t>
      </w:r>
      <w:r>
        <w:t xml:space="preserve"> Crear el Registro de Pacientes Recuperados de COVID-19 donantes de plasma.</w:t>
      </w:r>
    </w:p>
    <w:p>
      <w:r/>
      <w:r>
        <w:rPr>
          <w:b/>
        </w:rPr>
        <w:t>ARTÍCULO 3°:</w:t>
      </w:r>
      <w:r>
        <w:t xml:space="preserve"> Los ciudadanos registrados serán beneficiarios de un descuento de treinta por ciento (30%) de las Tasas de Servicios Urbanos y Servicios Sanitarios.</w:t>
      </w:r>
    </w:p>
    <w:p/>
    <w:p>
      <w:r>
        <w:br w:type="page"/>
      </w:r>
    </w:p>
    <w:p/>
    <w:p>
      <w:pPr>
        <w:pStyle w:val="Heading2"/>
      </w:pPr>
      <w:r>
        <w:t>Ordenanza N° 17/2020</w:t>
      </w:r>
    </w:p>
    <w:p>
      <w:r/>
      <w:r>
        <w:rPr>
          <w:b/>
        </w:rPr>
        <w:t>TÍTULO:</w:t>
      </w:r>
      <w:r>
        <w:t xml:space="preserve"> CONVENIO UNCPBA DIAGNÓSTICO PCR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1°:</w:t>
      </w:r>
      <w:r>
        <w:t xml:space="preserve"> Aprobar el Convenio Marco con la Universidad Nacional del Centro para colaboración en acciones relativas al COVID-19.</w:t>
      </w:r>
    </w:p>
    <w:p>
      <w:r/>
      <w:r>
        <w:rPr>
          <w:b/>
        </w:rPr>
        <w:t>ARTÍCULO 2°:</w:t>
      </w:r>
      <w:r>
        <w:t xml:space="preserve"> Aprobar el Convenio Específico para diagnóstico de muestras mediante metodología “PCR real time”.</w:t>
      </w:r>
    </w:p>
    <w:p/>
    <w:p>
      <w:r>
        <w:br w:type="page"/>
      </w:r>
    </w:p>
    <w:p/>
    <w:p>
      <w:pPr>
        <w:pStyle w:val="Heading1"/>
      </w:pPr>
      <w:r>
        <w:t>III. SALUD DE LA MUJER Y GÉNERO</w:t>
      </w:r>
    </w:p>
    <w:p/>
    <w:p>
      <w:pPr>
        <w:pStyle w:val="Heading2"/>
      </w:pPr>
      <w:r>
        <w:t>Ordenanza N° 148/2018</w:t>
      </w:r>
    </w:p>
    <w:p>
      <w:r/>
      <w:r>
        <w:rPr>
          <w:b/>
        </w:rPr>
        <w:t>TÍTULO:</w:t>
      </w:r>
      <w:r>
        <w:t xml:space="preserve"> DÍA DE LA ENDOMETRIOSIS Y PROGRAMA MUNICIPAL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1°:</w:t>
      </w:r>
      <w:r>
        <w:t xml:space="preserve"> Declárese el 14 de Marzo como Día de Concientización y Difusión de la Endometriosis en el distrito de Saladillo.-</w:t>
      </w:r>
    </w:p>
    <w:p>
      <w:r/>
      <w:r>
        <w:rPr>
          <w:b/>
        </w:rPr>
        <w:t>ARTICULO 2°:</w:t>
      </w:r>
      <w:r>
        <w:t xml:space="preserve"> Créase y declárese de Interés Municipal un Programa Municipal de actividades educativas y de difusión y apoyo a las mujeres – pacientes.</w:t>
      </w:r>
    </w:p>
    <w:p>
      <w:r/>
      <w:r>
        <w:rPr>
          <w:b/>
        </w:rPr>
        <w:t>ARTICULO 3°:</w:t>
      </w:r>
      <w:r>
        <w:t xml:space="preserve"> El Departamento Ejecutivo a través de la Subsecretaría de Salud Pública coordinará con el Hospital “Dr. Posadas” y efectores privados las actividades.</w:t>
      </w:r>
    </w:p>
    <w:p>
      <w:r/>
      <w:r>
        <w:rPr>
          <w:b/>
        </w:rPr>
        <w:t>ARTICULO 4°:</w:t>
      </w:r>
      <w:r>
        <w:t xml:space="preserve"> Los CAPS tendrán a su cargo la convocatoria y acciones de detección precoz.</w:t>
      </w:r>
    </w:p>
    <w:p>
      <w:r/>
      <w:r>
        <w:rPr>
          <w:b/>
        </w:rPr>
        <w:t>ARTICULO 9°:</w:t>
      </w:r>
      <w:r>
        <w:t xml:space="preserve"> Establézcase partida presupuestaria específica a partir de 2019.</w:t>
      </w:r>
    </w:p>
    <w:p/>
    <w:p>
      <w:r>
        <w:br w:type="page"/>
      </w:r>
    </w:p>
    <w:p/>
    <w:p>
      <w:pPr>
        <w:pStyle w:val="Heading2"/>
      </w:pPr>
      <w:r>
        <w:t>Ordenanza N° 45/2020</w:t>
      </w:r>
    </w:p>
    <w:p>
      <w:r/>
      <w:r>
        <w:rPr>
          <w:b/>
        </w:rPr>
        <w:t>TÍTULO:</w:t>
      </w:r>
      <w:r>
        <w:t xml:space="preserve"> PROMOCIÓN USO COPA MENSTRUAL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1°:</w:t>
      </w:r>
      <w:r>
        <w:t xml:space="preserve"> Incluir la promoción del uso de la Copa Menstrual en los programas de la Dirección de Medio Ambiente y la Subsecretaría de Salud.</w:t>
      </w:r>
    </w:p>
    <w:p>
      <w:r/>
      <w:r>
        <w:rPr>
          <w:b/>
        </w:rPr>
        <w:t>ARTÍCULO 2°:</w:t>
      </w:r>
      <w:r>
        <w:t xml:space="preserve"> Realizar charlas informativas en los CAPS.</w:t>
      </w:r>
    </w:p>
    <w:p>
      <w:r/>
      <w:r>
        <w:rPr>
          <w:b/>
        </w:rPr>
        <w:t>ARTÍCULO 3°:</w:t>
      </w:r>
      <w:r>
        <w:t xml:space="preserve"> Facilitar de manera gratuita copitas menstruales en los C.A.P.S. previa capacitación y asesoramiento ginecológico.</w:t>
      </w:r>
    </w:p>
    <w:p/>
    <w:p>
      <w:r>
        <w:br w:type="page"/>
      </w:r>
    </w:p>
    <w:p/>
    <w:p>
      <w:pPr>
        <w:pStyle w:val="Heading1"/>
      </w:pPr>
      <w:r>
        <w:t>IV. BROMATOLOGÍA Y SEGURIDAD ALIMENTARIA</w:t>
      </w:r>
    </w:p>
    <w:p/>
    <w:p>
      <w:pPr>
        <w:pStyle w:val="Heading2"/>
      </w:pPr>
      <w:r>
        <w:t>Ordenanza N° 44/2006</w:t>
      </w:r>
    </w:p>
    <w:p>
      <w:r/>
      <w:r>
        <w:rPr>
          <w:b/>
        </w:rPr>
        <w:t>TÍTULO:</w:t>
      </w:r>
      <w:r>
        <w:t xml:space="preserve"> REGLAMENTACION LIBRETA SANITARIA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1º:</w:t>
      </w:r>
      <w:r>
        <w:t xml:space="preserve"> Objeto: Reglamentar el otorgamiento de la Libreta Sanitaria.</w:t>
      </w:r>
    </w:p>
    <w:p>
      <w:r/>
      <w:r>
        <w:rPr>
          <w:b/>
        </w:rPr>
        <w:t>ARTICULO 3º:</w:t>
      </w:r>
      <w:r>
        <w:t xml:space="preserve"> Es obligatoria para toda persona que tenga contacto directo o indirecto con alimentos o mantenga contacto con el público.</w:t>
      </w:r>
    </w:p>
    <w:p>
      <w:r/>
      <w:r>
        <w:rPr>
          <w:b/>
        </w:rPr>
        <w:t>ARTICULO 6º:</w:t>
      </w:r>
      <w:r>
        <w:t xml:space="preserve"> Requisitos médicos: Examen clínico, Radiografía de Tórax, Reacción de Mantoux, Hemograma, Glucemia, VDRL, Orina.</w:t>
      </w:r>
    </w:p>
    <w:p>
      <w:r/>
      <w:r>
        <w:rPr>
          <w:b/>
        </w:rPr>
        <w:t>ARTICULO 7º:</w:t>
      </w:r>
      <w:r>
        <w:t xml:space="preserve"> Obligatoriedad de Curso Instructivo para manipulación de alimentos (9 horas).</w:t>
      </w:r>
    </w:p>
    <w:p>
      <w:r/>
      <w:r>
        <w:rPr>
          <w:b/>
        </w:rPr>
        <w:t>ARTICULO 11º:</w:t>
      </w:r>
      <w:r>
        <w:t xml:space="preserve"> Dirección de Bromatología llevará el Registro Especial.</w:t>
      </w:r>
    </w:p>
    <w:p/>
    <w:p>
      <w:r>
        <w:br w:type="page"/>
      </w:r>
    </w:p>
    <w:p/>
    <w:p>
      <w:pPr>
        <w:pStyle w:val="Heading2"/>
      </w:pPr>
      <w:r>
        <w:t>Ordenanza N° 79/2020</w:t>
      </w:r>
    </w:p>
    <w:p>
      <w:r/>
      <w:r>
        <w:rPr>
          <w:b/>
        </w:rPr>
        <w:t>TÍTULO:</w:t>
      </w:r>
      <w:r>
        <w:t xml:space="preserve"> CREACIÓN DE LAS P.U.P.A.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1°:</w:t>
      </w:r>
      <w:r>
        <w:t xml:space="preserve"> Crear la figura de “Pequeña Unidad de Producción Alimentaria” (P.U.P.A.).</w:t>
      </w:r>
    </w:p>
    <w:p>
      <w:r/>
      <w:r>
        <w:rPr>
          <w:b/>
        </w:rPr>
        <w:t>ARTÍCULO 2°:</w:t>
      </w:r>
      <w:r>
        <w:t xml:space="preserve"> Establecer el marco de trabajo seguro para economías familiares y artesanales.</w:t>
      </w:r>
    </w:p>
    <w:p>
      <w:r/>
      <w:r>
        <w:rPr>
          <w:b/>
        </w:rPr>
        <w:t>ARTÍCULO 3°:</w:t>
      </w:r>
      <w:r>
        <w:t xml:space="preserve"> Órgano de aplicación: Secretaría de Desarrollo Local y Dirección de Bromatología.</w:t>
      </w:r>
    </w:p>
    <w:p>
      <w:r/>
      <w:r>
        <w:rPr>
          <w:b/>
        </w:rPr>
        <w:t>ARTÍCULO 9°:</w:t>
      </w:r>
      <w:r>
        <w:t xml:space="preserve"> Obligación de Rótulo con denominación, registro PUPA, vencimiento y contacto.</w:t>
      </w:r>
    </w:p>
    <w:p>
      <w:r/>
      <w:r>
        <w:rPr>
          <w:b/>
        </w:rPr>
        <w:t>ARTÍCULO 10°:</w:t>
      </w:r>
      <w:r>
        <w:t xml:space="preserve"> Comercialización permitida por Delivery, Take Away y Ferias Locales.</w:t>
      </w:r>
    </w:p>
    <w:p/>
    <w:p>
      <w:r>
        <w:br w:type="page"/>
      </w:r>
    </w:p>
    <w:p/>
    <w:p>
      <w:pPr>
        <w:pStyle w:val="Heading1"/>
      </w:pPr>
      <w:r>
        <w:t>V. SALUD ANIMAL Y ZOONOSIS</w:t>
      </w:r>
    </w:p>
    <w:p/>
    <w:p>
      <w:pPr>
        <w:pStyle w:val="Heading2"/>
      </w:pPr>
      <w:r>
        <w:t>Ordenanza N° 119/2019</w:t>
      </w:r>
    </w:p>
    <w:p>
      <w:r/>
      <w:r>
        <w:rPr>
          <w:b/>
        </w:rPr>
        <w:t>TÍTULO:</w:t>
      </w:r>
      <w:r>
        <w:t xml:space="preserve"> TENENCIA RESPONSABLE DE MASCOTAS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4°:</w:t>
      </w:r>
      <w:r>
        <w:t xml:space="preserve"> Créase el Registro de Animales Comunitarios y Perros Potencialmente Peligrosos (PPP).</w:t>
      </w:r>
    </w:p>
    <w:p>
      <w:r/>
      <w:r>
        <w:rPr>
          <w:b/>
        </w:rPr>
        <w:t>ARTÍCULO 8°:</w:t>
      </w:r>
      <w:r>
        <w:t xml:space="preserve"> Obligación de recoger heces en lugares públicos.</w:t>
      </w:r>
    </w:p>
    <w:p>
      <w:r/>
      <w:r>
        <w:rPr>
          <w:b/>
        </w:rPr>
        <w:t>ARTÍCULO 11°:</w:t>
      </w:r>
      <w:r>
        <w:t xml:space="preserve"> Prohíbase el arrojo y/o abandono de animales en la vía pública.</w:t>
      </w:r>
    </w:p>
    <w:p>
      <w:r/>
      <w:r>
        <w:rPr>
          <w:b/>
        </w:rPr>
        <w:t>ARTÍCULO 16°:</w:t>
      </w:r>
      <w:r>
        <w:t xml:space="preserve"> Programas de castraciones gratuitas municipales.</w:t>
      </w:r>
    </w:p>
    <w:p>
      <w:r/>
      <w:r>
        <w:rPr>
          <w:b/>
        </w:rPr>
        <w:t>ARTÍCULO 18°:</w:t>
      </w:r>
      <w:r>
        <w:t xml:space="preserve"> Obligación de profilaxis de enfermedades zoonóticas y vacunación obligatoria.</w:t>
      </w:r>
    </w:p>
    <w:p>
      <w:r/>
      <w:r>
        <w:rPr>
          <w:b/>
        </w:rPr>
        <w:t>ARTÍCULO 22°:</w:t>
      </w:r>
      <w:r>
        <w:t xml:space="preserve"> Vacunación antirrábica y castraciones gratuitas permanentes.</w:t>
      </w:r>
    </w:p>
    <w:p/>
    <w:p>
      <w:r>
        <w:br w:type="page"/>
      </w:r>
    </w:p>
    <w:p/>
    <w:p>
      <w:pPr>
        <w:pStyle w:val="Heading2"/>
      </w:pPr>
      <w:r>
        <w:t>Ordenanza N° 50/2014</w:t>
      </w:r>
    </w:p>
    <w:p>
      <w:r/>
      <w:r>
        <w:rPr>
          <w:b/>
        </w:rPr>
        <w:t>TÍTULO:</w:t>
      </w:r>
      <w:r>
        <w:t xml:space="preserve"> CENTRO MÓVIL DE ASISTENCIA VETERINARIA (CMAV)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1º:</w:t>
      </w:r>
      <w:r>
        <w:t xml:space="preserve"> Créase el Centro Móvil de Atención Veterinaria.</w:t>
      </w:r>
    </w:p>
    <w:p>
      <w:r/>
      <w:r>
        <w:rPr>
          <w:b/>
        </w:rPr>
        <w:t>ARTICULO 4º:</w:t>
      </w:r>
      <w:r>
        <w:t xml:space="preserve"> Competencia en vacunación antirrábica, guardia, desparasitación y patologías de baja complejidad. Servicios gratuitos.</w:t>
      </w:r>
    </w:p>
    <w:p>
      <w:r/>
      <w:r>
        <w:rPr>
          <w:b/>
        </w:rPr>
        <w:t>ARTICULO 6º:</w:t>
      </w:r>
      <w:r>
        <w:t xml:space="preserve"> Dirección por médico veterinario matriculado en coordinación con Bromatología.</w:t>
      </w:r>
    </w:p>
    <w:p/>
    <w:p>
      <w:r>
        <w:br w:type="page"/>
      </w:r>
    </w:p>
    <w:p/>
    <w:p>
      <w:pPr>
        <w:pStyle w:val="Heading1"/>
      </w:pPr>
      <w:r>
        <w:t>VI. ADULTOS MAYORES Y GERIÁTRICOS</w:t>
      </w:r>
    </w:p>
    <w:p/>
    <w:p>
      <w:pPr>
        <w:pStyle w:val="Heading2"/>
      </w:pPr>
      <w:r>
        <w:t>Ordenanza N° 103/2017</w:t>
      </w:r>
    </w:p>
    <w:p>
      <w:r/>
      <w:r>
        <w:rPr>
          <w:b/>
        </w:rPr>
        <w:t>TÍTULO:</w:t>
      </w:r>
      <w:r>
        <w:t xml:space="preserve"> REGULACIÓN DE GUARDERÍAS GERIÁTRICAS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1º:</w:t>
      </w:r>
      <w:r>
        <w:t xml:space="preserve"> Regular instalación, habilitación y funcionamiento.</w:t>
      </w:r>
    </w:p>
    <w:p>
      <w:r/>
      <w:r>
        <w:rPr>
          <w:b/>
        </w:rPr>
        <w:t>ARTICULO 3º:</w:t>
      </w:r>
      <w:r>
        <w:t xml:space="preserve"> Condiciones mínimas: Exclusividad del local, dependencias mínimas (habitaciones, cocina, sala de estar, baños adaptados).</w:t>
      </w:r>
    </w:p>
    <w:p>
      <w:pPr>
        <w:pStyle w:val="ListBullet"/>
      </w:pPr>
      <w:r>
        <w:t>Personal: Médicos, Licenciados en Nutrición y Cuidadores capacitados.</w:t>
      </w:r>
    </w:p>
    <w:p>
      <w:pPr>
        <w:pStyle w:val="ListBullet"/>
      </w:pPr>
      <w:r>
        <w:t>Salud: Registro médico obligatorio, dietas balanceadas, servicio de emergencias.</w:t>
      </w:r>
    </w:p>
    <w:p>
      <w:r/>
      <w:r>
        <w:rPr>
          <w:b/>
        </w:rPr>
        <w:t>ARTICULO 4º:</w:t>
      </w:r>
      <w:r>
        <w:t xml:space="preserve"> Control ejercido por Subsecretaría de Salud Pública y Dirección de Bromatología.</w:t>
      </w:r>
    </w:p>
    <w:p/>
    <w:p>
      <w:r>
        <w:br w:type="page"/>
      </w:r>
    </w:p>
    <w:p/>
    <w:p>
      <w:pPr>
        <w:pStyle w:val="Heading1"/>
      </w:pPr>
      <w:r>
        <w:t>VII. ENFERMEDADES CRÓNICAS Y CONDICIÓN CELÍACA</w:t>
      </w:r>
    </w:p>
    <w:p/>
    <w:p>
      <w:pPr>
        <w:pStyle w:val="Heading2"/>
      </w:pPr>
      <w:r>
        <w:t>Ordenanza N° 71/2016 (Modifica 12/2013)</w:t>
      </w:r>
    </w:p>
    <w:p>
      <w:r/>
      <w:r>
        <w:rPr>
          <w:b/>
        </w:rPr>
        <w:t>TÍTULO:</w:t>
      </w:r>
      <w:r>
        <w:t xml:space="preserve"> PRODUCTOS SIN TACC Y APOYO A CELÍACOS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1º (Art 5 bis):</w:t>
      </w:r>
      <w:r>
        <w:t xml:space="preserve"> Obligación de ofrecer menú libre de gluten en: cárceles, hospitales, residencias, comedores escolares, empresas de transporte, restaurantes, bares y locales de comida rápida.</w:t>
      </w:r>
    </w:p>
    <w:p>
      <w:r/>
      <w:r>
        <w:rPr>
          <w:b/>
        </w:rPr>
        <w:t>ARTICULO 2º (Art 13):</w:t>
      </w:r>
      <w:r>
        <w:t xml:space="preserve"> Creación de organismo municipal de asesoramiento y educación en elaboración de alimentos para celíacos.</w:t>
      </w:r>
    </w:p>
    <w:p/>
    <w:p>
      <w:r>
        <w:br w:type="page"/>
      </w:r>
    </w:p>
    <w:p/>
    <w:p>
      <w:pPr>
        <w:pStyle w:val="Heading2"/>
      </w:pPr>
      <w:r>
        <w:t>Ordenanza N° 55/2016</w:t>
      </w:r>
    </w:p>
    <w:p>
      <w:r/>
      <w:r>
        <w:rPr>
          <w:b/>
        </w:rPr>
        <w:t>TÍTULO:</w:t>
      </w:r>
      <w:r>
        <w:t xml:space="preserve"> PROGRAMA DE CONCIENTIZACIÓN HIPERTENSIÓN ARTERIAL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2º:</w:t>
      </w:r>
      <w:r>
        <w:t xml:space="preserve"> Campaña de Detección en escuelas primarias y secundarias.</w:t>
      </w:r>
    </w:p>
    <w:p>
      <w:r/>
      <w:r>
        <w:rPr>
          <w:b/>
        </w:rPr>
        <w:t>ARTICULO 3º:</w:t>
      </w:r>
      <w:r>
        <w:t xml:space="preserve"> Obligación de incluir inscripción “Menos sal, más vida” en cartas de restaurantes.</w:t>
      </w:r>
    </w:p>
    <w:p>
      <w:r/>
      <w:r>
        <w:rPr>
          <w:b/>
        </w:rPr>
        <w:t>ARTICULO 4º:</w:t>
      </w:r>
      <w:r>
        <w:t xml:space="preserve"> Obligación de ofrecer sal dietética (bajo sodio) y menú especial para hipertensos.</w:t>
      </w:r>
    </w:p>
    <w:p/>
    <w:p>
      <w:r>
        <w:br w:type="page"/>
      </w:r>
    </w:p>
    <w:p/>
    <w:p>
      <w:pPr>
        <w:pStyle w:val="Heading1"/>
      </w:pPr>
      <w:r>
        <w:t>VIII. SALUD LABORAL Y PREVENCIÓN</w:t>
      </w:r>
    </w:p>
    <w:p/>
    <w:p>
      <w:pPr>
        <w:pStyle w:val="Heading2"/>
      </w:pPr>
      <w:r>
        <w:t>Ordenanza N° 34/2015</w:t>
      </w:r>
    </w:p>
    <w:p>
      <w:r/>
      <w:r>
        <w:rPr>
          <w:b/>
        </w:rPr>
        <w:t>TÍTULO:</w:t>
      </w:r>
      <w:r>
        <w:t xml:space="preserve"> LICENCIA ESTUDIOS PREVENTIVOS PERSONAL MUNICIPAL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1º:</w:t>
      </w:r>
      <w:r>
        <w:t xml:space="preserve"> Un (1) día de licencia anual para personal femenino para colposcopía, mamografía y papanicolau.</w:t>
      </w:r>
    </w:p>
    <w:p>
      <w:r/>
      <w:r>
        <w:rPr>
          <w:b/>
        </w:rPr>
        <w:t>ARTICULO 2º:</w:t>
      </w:r>
      <w:r>
        <w:t xml:space="preserve"> Un (1) día de licencia anual para personal masculino para estudios de próstata y colon.</w:t>
      </w:r>
    </w:p>
    <w:p/>
    <w:p>
      <w:r>
        <w:br w:type="page"/>
      </w:r>
    </w:p>
    <w:p/>
    <w:p>
      <w:pPr>
        <w:pStyle w:val="Heading1"/>
      </w:pPr>
      <w:r>
        <w:t>IX. DISCAPACIDAD Y SALUD PÚBLICA</w:t>
      </w:r>
    </w:p>
    <w:p/>
    <w:p>
      <w:pPr>
        <w:pStyle w:val="Heading2"/>
      </w:pPr>
      <w:r>
        <w:t>Ordenanza N° 18/2018</w:t>
      </w:r>
    </w:p>
    <w:p>
      <w:r/>
      <w:r>
        <w:rPr>
          <w:b/>
        </w:rPr>
        <w:t>TÍTULO:</w:t>
      </w:r>
      <w:r>
        <w:t xml:space="preserve"> REGISTRO DE ELECTRODEPENDIENTES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1º:</w:t>
      </w:r>
      <w:r>
        <w:t xml:space="preserve"> Créase el Registro de Electrodependientes por cuestiones de salud.</w:t>
      </w:r>
    </w:p>
    <w:p>
      <w:r/>
      <w:r>
        <w:rPr>
          <w:b/>
        </w:rPr>
        <w:t>ARTICULO 2º:</w:t>
      </w:r>
      <w:r>
        <w:t xml:space="preserve"> Subsecretaría de Salud y Consejo de Discapacidad a cargo de la actualización anual.</w:t>
      </w:r>
    </w:p>
    <w:p>
      <w:r/>
      <w:r>
        <w:rPr>
          <w:b/>
        </w:rPr>
        <w:t>ARTICULO 3º:</w:t>
      </w:r>
      <w:r>
        <w:t xml:space="preserve"> Garantizar Tarifa Eléctrica de Interés Social y provisión de grupos electrógenos.</w:t>
      </w:r>
    </w:p>
    <w:p/>
    <w:p>
      <w:r>
        <w:br w:type="page"/>
      </w:r>
    </w:p>
    <w:p/>
    <w:p>
      <w:pPr>
        <w:pStyle w:val="Heading2"/>
      </w:pPr>
      <w:r>
        <w:t>Ordenanza N° 11/2016</w:t>
      </w:r>
    </w:p>
    <w:p>
      <w:r/>
      <w:r>
        <w:rPr>
          <w:b/>
        </w:rPr>
        <w:t>TÍTULO:</w:t>
      </w:r>
      <w:r>
        <w:t xml:space="preserve"> ADHESIÓN LEY BARRERAS COMUNICACIONALES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1º:</w:t>
      </w:r>
      <w:r>
        <w:t xml:space="preserve"> Adhiérase a la Ley Provincial Nº 11.695 sobre remoción de barreras comunicacionales para personas sordas o hipoacúsicas.</w:t>
      </w:r>
    </w:p>
    <w:p/>
    <w:p>
      <w:r>
        <w:br w:type="page"/>
      </w:r>
    </w:p>
    <w:p/>
    <w:p>
      <w:pPr>
        <w:pStyle w:val="Heading1"/>
      </w:pPr>
      <w:r>
        <w:t>X. REGULACIÓN PROFESIONAL Y OTROS</w:t>
      </w:r>
    </w:p>
    <w:p/>
    <w:p>
      <w:pPr>
        <w:pStyle w:val="Heading2"/>
      </w:pPr>
      <w:r>
        <w:t>Ordenanza N° 42/2017</w:t>
      </w:r>
    </w:p>
    <w:p>
      <w:r/>
      <w:r>
        <w:rPr>
          <w:b/>
        </w:rPr>
        <w:t>TÍTULO:</w:t>
      </w:r>
      <w:r>
        <w:t xml:space="preserve"> REGULACIÓN DE CURSOS Y TALLERES DE SALUD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ARTÍCULO 1º:</w:t>
      </w:r>
      <w:r>
        <w:t xml:space="preserve"> Todo curso vinculado al área de salud o arte de curar debe solicitar autorización municipal.</w:t>
      </w:r>
    </w:p>
    <w:p>
      <w:r/>
      <w:r>
        <w:rPr>
          <w:b/>
        </w:rPr>
        <w:t>ARTÍCULO 2º:</w:t>
      </w:r>
      <w:r>
        <w:t xml:space="preserve"> Deben ser dictados exclusivamente por profesionales matriculados.</w:t>
      </w:r>
    </w:p>
    <w:p>
      <w:r/>
      <w:r>
        <w:rPr>
          <w:b/>
        </w:rPr>
        <w:t>ARTÍCULO 3º:</w:t>
      </w:r>
      <w:r>
        <w:t xml:space="preserve"> Deben contar con aprobación del Ministerio de Salud (Nación/Provincia).</w:t>
      </w:r>
    </w:p>
    <w:p/>
    <w:p>
      <w:r>
        <w:br w:type="page"/>
      </w:r>
    </w:p>
    <w:p/>
    <w:p>
      <w:pPr>
        <w:pStyle w:val="Heading2"/>
      </w:pPr>
      <w:r>
        <w:t>Ordenanza N° 57/2017</w:t>
      </w:r>
    </w:p>
    <w:p>
      <w:r/>
      <w:r>
        <w:rPr>
          <w:b/>
        </w:rPr>
        <w:t>TÍTULO:</w:t>
      </w:r>
      <w:r>
        <w:t xml:space="preserve"> CONVENIO DONACIÓN DE ÓRGANOS</w:t>
      </w:r>
    </w:p>
    <w:p>
      <w:r/>
      <w:r>
        <w:rPr>
          <w:b/>
        </w:rPr>
        <w:t>ESTADO:</w:t>
      </w:r>
      <w:r>
        <w:t xml:space="preserve"> VIGENTE</w:t>
      </w:r>
    </w:p>
    <w:p/>
    <w:p>
      <w:r/>
      <w:r>
        <w:rPr>
          <w:b/>
        </w:rPr>
        <w:t>ARTICULO 1º:</w:t>
      </w:r>
      <w:r>
        <w:t xml:space="preserve"> Apruébese Convenio con Ministerio de Salud Provincial para impulsar la Donación de Órganos, Tejidos y Células.</w:t>
      </w:r>
    </w:p>
    <w:p/>
    <w:p>
      <w:r>
        <w:br w:type="page"/>
      </w:r>
    </w:p>
    <w:p/>
    <w:p>
      <w:r/>
      <w:r>
        <w:rPr>
          <w:b/>
        </w:rPr>
        <w:t>Fecha de consolidación:</w:t>
      </w:r>
      <w:r>
        <w:t xml:space="preserve"> 19 de febrero de 2026</w:t>
      </w:r>
    </w:p>
    <w:p>
      <w:r/>
      <w:r>
        <w:rPr>
          <w:b/>
        </w:rPr>
        <w:t>Documento generado para:</w:t>
      </w:r>
      <w:r>
        <w:t xml:space="preserve"> Municipio de Saladillo - Área Salud</w:t>
      </w:r>
    </w:p>
    <w:p>
      <w:r/>
      <w:r>
        <w:rPr>
          <w:b/>
        </w:rPr>
        <w:t>Fuente de datos:</w:t>
      </w:r>
      <w:r>
        <w:t xml:space="preserve"> MCP Ordenanzas Saladillo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